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THOMSON REUTERS CORPORATION</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 OF THOMSON REUTERS CORPORATION</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884903 7 09</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SARAH K. LERCHS,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THE WOODBRIDGE COMPANY LIMITED</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65 QUEEN STREET WEST, SUITE 2400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TORONTO, ONTARIO M5H 2M8</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(416) 364-8700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left="4"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1"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7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884903 7 09</w:t>
      </w:r>
    </w:p>
    <w:p>
      <w:pPr>
        <w:spacing w:after="0" w:line="266" w:lineRule="exact"/>
        <w:rPr>
          <w:sz w:val="20"/>
          <w:szCs w:val="20"/>
          <w:color w:val="auto"/>
        </w:rPr>
      </w:pPr>
    </w:p>
    <w:p>
      <w:pPr>
        <w:ind w:left="240" w:hanging="8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WOODBRIDGE COMPANY LIMITED</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4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Joint Filing</w:t>
      </w:r>
    </w:p>
    <w:p>
      <w:pPr>
        <w:spacing w:after="0" w:line="266"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40" w:hanging="91"/>
        <w:spacing w:after="0" w:line="207" w:lineRule="exact"/>
        <w:tabs>
          <w:tab w:leader="none" w:pos="64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ONTARIO</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313,295,787 common shares of Thomson Reuters Corporation</w:t>
            </w:r>
          </w:p>
        </w:tc>
        <w:tc>
          <w:tcPr>
            <w:tcW w:w="0" w:type="dxa"/>
            <w:vAlign w:val="bottom"/>
          </w:tcPr>
          <w:p>
            <w:pPr>
              <w:spacing w:after="0"/>
              <w:rPr>
                <w:sz w:val="1"/>
                <w:szCs w:val="1"/>
                <w:color w:val="auto"/>
              </w:rPr>
            </w:pPr>
          </w:p>
        </w:tc>
      </w:tr>
      <w:tr>
        <w:trPr>
          <w:trHeight w:val="6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313,295,787 common shares of Thomson Reuters Corporation</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0" w:hanging="91"/>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313,295,787 common shares of Thomson Reuters Corporation</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0" w:hanging="91"/>
        <w:spacing w:after="0" w:line="207" w:lineRule="exact"/>
        <w:tabs>
          <w:tab w:leader="none" w:pos="64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69.3% of common shares of Thomson Reuters Corporation</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common shares (the “Common Shares”) of Thomson Reuters Corporation (“Thomson Reuters”) that are the subject matter of this Schedule 13D are beneficially owned by The Woodbridge Company Limited (“Woodbridge”).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January 31, 2024, Woodbridge is the beneficial owner of 313,295,787 Common Shares, representing approximately 69.3% of the outstanding Common Shares.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Woodbridge, a private company, is the primary investment vehicle for members of the family of the late Roy H. Thomson, the first Lord Thomson of Fleet. Prior to his death in 2006, Kenneth R. Thomson controlled Thomson Reuters through Woodbridge. He did so by holding shares of a holding company of Woodbridge, Thomson Investments Limited. Under his estate arrangements, the 2003 TIL Settlement, a trust of which The Bank of Nova Scotia Trust Company (the “Trust Company”) is trustee and members of the family of the late first Lord Thomson of Fleet are beneficiaries, holds those holding company shares. Kenneth R. Thomson established these arrangements to provide for long-term stability of the business of Woodbridge. The equity of Woodbridge continues to be owned by members of successive generations of the family of the first Lord Thomson of Fleet. Under the Kenneth R. Thomson estate arrangements, the directors and officers of Woodbridge are responsible for its business and operations. In certain limited circumstances, including very substantial dispositions of Common Shares by Woodbridge, the estate arrangements provide for approval of the Trust Company, as trustee, to be obtained.</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Schedule 13D is being filed because an amended and restated Schedule 13G is being filed today in respect of Thomson Reuters by The Bank of Nova Scotia (the “Bank”) and the Bank’s subsidiary, the Trust Company. This Schedule 13D amends and restates the Schedule 13D filed by Woodbridge on February 10, 2023. There has been no material change in the Thomson family’s beneficial ownership of Common Shares since then. The Common Shares that are the subject matter of this Schedule 13D are the same Common Shares that are the subject matter of the Schedule 13G filed today by the Bank and the Trust Company.</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This Schedule 13D relates to Common Shares. The principal executive office of Thomson Reuters is located at 19 Duncan Street, Toronto, ON, M5H 3H1.</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13D is being filed by Woodbridge, 65 Queen Street West, Suite 2400 Toronto, Ontario, Canada M5H 2M8.</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further explanation of the background of the arrangements relating to Woodbridge’s ownership of Common Shares, see the “Explanatory Note”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as to the executive officers and directors of Woodbridge: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Residence or Business</w:t>
            </w: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6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20" w:type="dxa"/>
            <w:vAlign w:val="bottom"/>
            <w:gridSpan w:val="2"/>
            <w:vMerge w:val="continue"/>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 or</w:t>
            </w:r>
          </w:p>
        </w:tc>
        <w:tc>
          <w:tcPr>
            <w:tcW w:w="120" w:type="dxa"/>
            <w:vAlign w:val="bottom"/>
          </w:tcPr>
          <w:p>
            <w:pPr>
              <w:spacing w:after="0"/>
              <w:rPr>
                <w:sz w:val="12"/>
                <w:szCs w:val="12"/>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0" w:type="dxa"/>
            <w:vAlign w:val="bottom"/>
          </w:tcPr>
          <w:p>
            <w:pPr>
              <w:spacing w:after="0"/>
              <w:rPr>
                <w:sz w:val="1"/>
                <w:szCs w:val="1"/>
                <w:color w:val="auto"/>
              </w:rPr>
            </w:pPr>
          </w:p>
        </w:tc>
      </w:tr>
      <w:tr>
        <w:trPr>
          <w:trHeight w:val="187"/>
        </w:trPr>
        <w:tc>
          <w:tcPr>
            <w:tcW w:w="3660" w:type="dxa"/>
            <w:vAlign w:val="bottom"/>
            <w:gridSpan w:val="2"/>
            <w:vMerge w:val="continue"/>
          </w:tcPr>
          <w:p>
            <w:pPr>
              <w:spacing w:after="0"/>
              <w:rPr>
                <w:sz w:val="16"/>
                <w:szCs w:val="16"/>
                <w:color w:val="auto"/>
              </w:rPr>
            </w:pPr>
          </w:p>
        </w:tc>
        <w:tc>
          <w:tcPr>
            <w:tcW w:w="3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K.R. Thomson</w:t>
            </w:r>
          </w:p>
        </w:tc>
        <w:tc>
          <w:tcPr>
            <w:tcW w:w="220" w:type="dxa"/>
            <w:vAlign w:val="bottom"/>
          </w:tcPr>
          <w:p>
            <w:pPr>
              <w:spacing w:after="0"/>
              <w:rPr>
                <w:sz w:val="16"/>
                <w:szCs w:val="16"/>
                <w:color w:val="auto"/>
              </w:rPr>
            </w:pPr>
          </w:p>
        </w:tc>
        <w:tc>
          <w:tcPr>
            <w:tcW w:w="3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65 Queen Street West,</w:t>
            </w:r>
          </w:p>
        </w:tc>
        <w:tc>
          <w:tcPr>
            <w:tcW w:w="200" w:type="dxa"/>
            <w:vAlign w:val="bottom"/>
          </w:tcPr>
          <w:p>
            <w:pPr>
              <w:spacing w:after="0"/>
              <w:rPr>
                <w:sz w:val="16"/>
                <w:szCs w:val="16"/>
                <w:color w:val="auto"/>
              </w:rPr>
            </w:pPr>
          </w:p>
        </w:tc>
        <w:tc>
          <w:tcPr>
            <w:tcW w:w="3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Director and Chairman of</w:t>
            </w: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Canadian</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Suite 2400, Toronto, ON</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Woodbridge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M5H 2M8</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Company Limited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Thomson</w:t>
            </w:r>
          </w:p>
        </w:tc>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65 Queen Street West,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and Chairman of</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Canadian</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Suite 2400, Toronto, ON</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Woodbridge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M5H 2M8</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Company Limited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 the knowledge of Woodbridge, neither Woodbridge, nor any executive officer or director of Woodbridge, has been convicted during the last five years in any criminal proceeding (excluding traffic violations or similar misdemeanors).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 to the knowledge of Woodbridge, neither Woodbridge, nor any executive officer or director of Woodbridge, has been a party during the last five years to a civil proceeding of a judicial or administrative body of competent jurisdiction and as a result of such proceeding was or is subject to a judgment, decree or final order enjoining future violation of, or prohibiting or mandating activities subject to, U.S. federal or state securities laws, or finding any violation with respect to such laws.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Source and Amount of Funds or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-210820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520" w:space="460"/>
            <w:col w:w="10020"/>
          </w:cols>
          <w:pgMar w:left="440" w:top="266"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See the “Explanatory Note” above.</w:t>
      </w:r>
    </w:p>
    <w:p>
      <w:pPr>
        <w:sectPr>
          <w:pgSz w:w="11900" w:h="16838" w:orient="portrait"/>
          <w:cols w:equalWidth="0" w:num="1">
            <w:col w:w="11000"/>
          </w:cols>
          <w:pgMar w:left="440" w:top="266"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 of Transaction</w:t>
      </w:r>
    </w:p>
    <w:p>
      <w:pPr>
        <w:spacing w:after="0" w:line="133" w:lineRule="exact"/>
        <w:rPr>
          <w:sz w:val="20"/>
          <w:szCs w:val="20"/>
          <w:color w:val="auto"/>
        </w:rPr>
      </w:pPr>
    </w:p>
    <w:p>
      <w:pPr>
        <w:sectPr>
          <w:pgSz w:w="11900" w:h="16838" w:orient="portrait"/>
          <w:cols w:equalWidth="0" w:num="2">
            <w:col w:w="520" w:space="460"/>
            <w:col w:w="1002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the “Explanatory Note” above.</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Woodbridge plans to continue to hold substantially all of its Common Shares for the long term and accordingly to maintain its controlling interest in Thomson Reuters. From time to time, Woodbridge disposes of Common Shares in amounts that are not material for liquidity and other reasons.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described above, Woodbridge has no current plans or proposals that relate to or would result in:</w:t>
      </w:r>
    </w:p>
    <w:p>
      <w:pPr>
        <w:spacing w:after="0" w:line="131" w:lineRule="exact"/>
        <w:rPr>
          <w:sz w:val="20"/>
          <w:szCs w:val="20"/>
          <w:color w:val="auto"/>
        </w:rPr>
      </w:pPr>
    </w:p>
    <w:p>
      <w:pPr>
        <w:ind w:left="960" w:right="4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Thomson Reuters Corporation, or the disposition of securities of Thomson Reuters Corporation;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extraordinary corporate transaction, such as a merger, reorganization or liquidation, involving Thomson Reuters Corporation;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transfer of a material amount of assets of Thomson Reuters Corporation;</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present board of directors or management of Thomson Reuters Corporation, including any plans or proposals to change the number or term of directors or to fill any existing vacancies on the board;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capitalization or dividend policy of Thomson Reuters Corporation;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Thomson Reuters Corporation’s business or corporate structure;</w:t>
      </w:r>
    </w:p>
    <w:p>
      <w:pPr>
        <w:spacing w:after="0" w:line="130"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charter, bylaws or instruments corresponding thereto of Thomson Reuters Corporation or other actions which may impede the acquisition of control of Thomson Reuters Corporation by any person;</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class of securities of Thomson Reuters Corporation to be delisted from a national securities exchange or to cease to be authorized to be quoted in an inter-dealer quotation system of a registered national securities association;</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of equity securities of Thomson Reuters Corporation becoming eligible for termination of registration pursuant to Section 12(g)(4) of the Securities Exchange Act of 1934; or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similar to any of those enumerated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type w:val="continuous"/>
        </w:sectPr>
      </w:pPr>
    </w:p>
    <w:bookmarkStart w:id="4" w:name="page5"/>
    <w:bookmarkEnd w:id="4"/>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35" w:lineRule="exact"/>
        <w:rPr>
          <w:sz w:val="20"/>
          <w:szCs w:val="20"/>
          <w:color w:val="auto"/>
        </w:rPr>
      </w:pPr>
    </w:p>
    <w:p>
      <w:pPr>
        <w:ind w:left="964" w:hanging="539"/>
        <w:spacing w:after="0" w:line="266" w:lineRule="auto"/>
        <w:rPr>
          <w:sz w:val="20"/>
          <w:szCs w:val="20"/>
          <w:color w:val="auto"/>
        </w:rPr>
      </w:pPr>
      <w:r>
        <w:rPr>
          <w:rFonts w:ascii="Times New Roman" w:cs="Times New Roman" w:eastAsia="Times New Roman" w:hAnsi="Times New Roman"/>
          <w:sz w:val="18"/>
          <w:szCs w:val="18"/>
          <w:color w:val="auto"/>
        </w:rPr>
        <w:t>(a)-(b) The ownership percentages set forth herein are based on the 452,364,132 Common Shares outstanding as of January 31, 2024. Woodbridge is the beneficial owner of 313,295,787 Common Shares, representing approximately 69.3% of the outstanding Common Shares as of that date.</w:t>
      </w:r>
    </w:p>
    <w:p>
      <w:pPr>
        <w:spacing w:after="0" w:line="81" w:lineRule="exact"/>
        <w:rPr>
          <w:sz w:val="20"/>
          <w:szCs w:val="20"/>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Woodbridge has not effected any transactions in Common Shares during the past 60 days except as set forth below.</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Approximate Price</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8"/>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Nature of Transaction</w:t>
            </w:r>
          </w:p>
        </w:tc>
        <w:tc>
          <w:tcPr>
            <w:tcW w:w="14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 of Shares</w:t>
            </w:r>
          </w:p>
        </w:tc>
        <w:tc>
          <w:tcPr>
            <w:tcW w:w="14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0" w:type="dxa"/>
            <w:vAlign w:val="bottom"/>
          </w:tcPr>
          <w:p>
            <w:pPr>
              <w:spacing w:after="0"/>
              <w:rPr>
                <w:sz w:val="1"/>
                <w:szCs w:val="1"/>
                <w:color w:val="auto"/>
              </w:rPr>
            </w:pPr>
          </w:p>
        </w:tc>
      </w:tr>
      <w:tr>
        <w:trPr>
          <w:trHeight w:val="173"/>
        </w:trPr>
        <w:tc>
          <w:tcPr>
            <w:tcW w:w="3300" w:type="dxa"/>
            <w:vAlign w:val="bottom"/>
            <w:gridSpan w:val="2"/>
            <w:vMerge w:val="continue"/>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commissions)</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42"/>
        </w:trPr>
        <w:tc>
          <w:tcPr>
            <w:tcW w:w="3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(Cdn.$)</w:t>
            </w:r>
          </w:p>
        </w:tc>
        <w:tc>
          <w:tcPr>
            <w:tcW w:w="68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15, 2023</w:t>
            </w:r>
          </w:p>
        </w:tc>
        <w:tc>
          <w:tcPr>
            <w:tcW w:w="3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Acquisition pursuant to a purchase/ownership plan</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+46,742</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182.43</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w:t>
      </w:r>
    </w:p>
    <w:p>
      <w:pPr>
        <w:spacing w:after="0" w:line="131" w:lineRule="exact"/>
        <w:rPr>
          <w:sz w:val="20"/>
          <w:szCs w:val="20"/>
          <w:color w:val="auto"/>
        </w:rPr>
      </w:pPr>
    </w:p>
    <w:p>
      <w:pPr>
        <w:ind w:left="424" w:right="40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has been converted from Canadian dollars to U.S. dollars based on the Bank of Canada daily exchange rate reported on February 13, 2024, which was C$1.00 = US$0.7377.</w:t>
      </w:r>
    </w:p>
    <w:p>
      <w:pPr>
        <w:spacing w:after="0" w:line="54" w:lineRule="exact"/>
        <w:rPr>
          <w:sz w:val="20"/>
          <w:szCs w:val="20"/>
          <w:color w:val="auto"/>
        </w:rPr>
      </w:pPr>
    </w:p>
    <w:p>
      <w:pPr>
        <w:jc w:val="both"/>
        <w:ind w:left="984" w:right="60"/>
        <w:spacing w:after="0" w:line="289" w:lineRule="auto"/>
        <w:rPr>
          <w:sz w:val="20"/>
          <w:szCs w:val="20"/>
          <w:color w:val="auto"/>
        </w:rPr>
      </w:pPr>
      <w:r>
        <w:rPr>
          <w:rFonts w:ascii="Times New Roman" w:cs="Times New Roman" w:eastAsia="Times New Roman" w:hAnsi="Times New Roman"/>
          <w:sz w:val="17"/>
          <w:szCs w:val="17"/>
          <w:color w:val="auto"/>
        </w:rPr>
        <w:t>None of the executive officers or directors of Woodbridge has effected any transactions in Common Shares during the past 60 days except for Peter J. Thomson, Director and Co-Chairman of Woodbridge, who acquired 98 Common Shares in the public market on December 15, 2023 at a price of US$139.66 per Common Share (acquired as a portion of compensation for serving as a director of Thomson Reuters).</w:t>
      </w:r>
    </w:p>
    <w:p>
      <w:pPr>
        <w:spacing w:after="0" w:line="63" w:lineRule="exact"/>
        <w:rPr>
          <w:sz w:val="20"/>
          <w:szCs w:val="20"/>
          <w:color w:val="auto"/>
        </w:rPr>
      </w:pPr>
    </w:p>
    <w:p>
      <w:pPr>
        <w:ind w:left="964" w:right="60" w:hanging="532"/>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in the “Explanatory Note” above, no person is known to Woodbridge to have the right to receive or the power to direct the receipt of dividends from, or proceeds from the sale of, any such Common Shares as of that date.</w:t>
      </w:r>
    </w:p>
    <w:p>
      <w:pPr>
        <w:sectPr>
          <w:pgSz w:w="11900" w:h="16838" w:orient="portrait"/>
          <w:cols w:equalWidth="0" w:num="1">
            <w:col w:w="11004"/>
          </w:cols>
          <w:pgMar w:left="436" w:top="266" w:right="459" w:bottom="1440" w:gutter="0" w:footer="0" w:header="0"/>
        </w:sectPr>
      </w:pP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133" w:lineRule="exact"/>
        <w:rPr>
          <w:sz w:val="20"/>
          <w:szCs w:val="20"/>
          <w:color w:val="auto"/>
        </w:rPr>
      </w:pPr>
    </w:p>
    <w:p>
      <w:pPr>
        <w:sectPr>
          <w:pgSz w:w="11900" w:h="16838" w:orient="portrait"/>
          <w:cols w:equalWidth="0" w:num="2">
            <w:col w:w="524" w:space="460"/>
            <w:col w:w="10020"/>
          </w:cols>
          <w:pgMar w:left="436" w:top="266" w:right="459" w:bottom="1440" w:gutter="0" w:footer="0" w:header="0"/>
          <w:type w:val="continuous"/>
        </w:sectPr>
      </w:pPr>
    </w:p>
    <w:p>
      <w:pPr>
        <w:ind w:left="984"/>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004"/>
          </w:cols>
          <w:pgMar w:left="436" w:top="266" w:right="459" w:bottom="1440" w:gutter="0" w:footer="0" w:header="0"/>
          <w:type w:val="continuous"/>
        </w:sectPr>
      </w:pPr>
    </w:p>
    <w:p>
      <w:pPr>
        <w:spacing w:after="0" w:line="3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to be Filed as Exhibits</w:t>
      </w:r>
    </w:p>
    <w:p>
      <w:pPr>
        <w:spacing w:after="0" w:line="121" w:lineRule="exact"/>
        <w:rPr>
          <w:sz w:val="20"/>
          <w:szCs w:val="20"/>
          <w:color w:val="auto"/>
        </w:rPr>
      </w:pPr>
    </w:p>
    <w:p>
      <w:pPr>
        <w:sectPr>
          <w:pgSz w:w="11900" w:h="16838" w:orient="portrait"/>
          <w:cols w:equalWidth="0" w:num="2">
            <w:col w:w="524" w:space="460"/>
            <w:col w:w="10020"/>
          </w:cols>
          <w:pgMar w:left="436" w:top="266" w:right="459" w:bottom="1440" w:gutter="0" w:footer="0" w:header="0"/>
          <w:type w:val="continuous"/>
        </w:sectPr>
      </w:pPr>
    </w:p>
    <w:p>
      <w:pPr>
        <w:ind w:left="984"/>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04"/>
          </w:cols>
          <w:pgMar w:left="436" w:top="266" w:right="459" w:bottom="1440" w:gutter="0" w:footer="0" w:header="0"/>
          <w:type w:val="continuous"/>
        </w:sectPr>
      </w:pPr>
    </w:p>
    <w:bookmarkStart w:id="5" w:name="page6"/>
    <w:bookmarkEnd w:id="5"/>
    <w:p>
      <w:pPr>
        <w:ind w:left="5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WOODBRIDGE COMPANY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K.R.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David K.R. Thomson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Co-Chairman</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
      <w:numFmt w:val="bullet"/>
      <w:start w:val="1"/>
    </w:lvl>
    <w:lvl w:ilvl="1">
      <w:lvlJc w:val="left"/>
      <w:lvlText w:val=" "/>
      <w:numFmt w:val="bullet"/>
      <w:start w:val="1"/>
    </w:lvl>
  </w:abstractNum>
  <w:abstractNum w:abstractNumId="2">
    <w:nsid w:val="3D1B58B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507ED7AB"/>
    <w:multiLevelType w:val="hybridMultilevel"/>
    <w:lvl w:ilvl="0">
      <w:lvlJc w:val="left"/>
      <w:lvlText w:val="%1."/>
      <w:numFmt w:val="decimal"/>
      <w:start w:val="11"/>
    </w:lvl>
    <w:lvl w:ilvl="1">
      <w:lvlJc w:val="left"/>
      <w:lvlText w:val=" "/>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2024-02-14T17:16:43Z</dcterms:created>
  <dcterms:modified xsi:type="dcterms:W3CDTF">2024-02-14T17:16:43Z</dcterms:modified>
</cp:coreProperties>
</file>