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246380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247650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 Duncan Street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Toronto, Ontario M5H 3H1, Canada</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216535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information contained in Exhibit 99.1 of this Form 6-K is incorporated by reference into, or as an additional exhibit to, as applicable, the registrant’s outstanding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00"/>
          </w:cols>
          <w:pgMar w:left="480" w:top="373" w:right="51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(Registrant)</w:t>
      </w:r>
    </w:p>
    <w:p>
      <w:pPr>
        <w:spacing w:after="0" w:line="2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3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Title:     Deputy Company Secretary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ectPr>
          <w:pgSz w:w="11900" w:h="16838" w:orient="portrait"/>
          <w:cols w:equalWidth="0" w:num="1">
            <w:col w:w="10180"/>
          </w:cols>
          <w:pgMar w:left="480" w:top="264"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8800" w:type="dxa"/>
            <w:vAlign w:val="bottom"/>
            <w:gridSpan w:val="3"/>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800" w:type="dxa"/>
            <w:vAlign w:val="bottom"/>
            <w:gridSpan w:val="3"/>
          </w:tcPr>
          <w:p>
            <w:pPr>
              <w:ind w:left="5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1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w w:val="98"/>
              </w:rPr>
              <w:t>Notice of Annual and Special Meeting of Shareholders and Management Proxy Circular dated April 22, 2024</w:t>
            </w: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Form of Proxy for Registered Shareholders</w:t>
            </w: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8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Notice of Availability of Proxy Materials</w:t>
            </w: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8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Corporate Governance Guidelines</w:t>
            </w:r>
          </w:p>
        </w:tc>
      </w:tr>
    </w:tbl>
    <w:p>
      <w:pPr>
        <w:ind w:left="1000"/>
        <w:spacing w:after="0"/>
        <w:rPr>
          <w:sz w:val="20"/>
          <w:szCs w:val="20"/>
          <w:color w:val="auto"/>
        </w:rPr>
        <w:sectPr>
          <w:pgSz w:w="11900" w:h="16838" w:orient="portrait"/>
          <w:cols w:equalWidth="0" w:num="1">
            <w:col w:w="9979"/>
          </w:cols>
          <w:pgMar w:left="480" w:top="264" w:right="1440"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7094855" cy="4984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4855" cy="498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right="1700"/>
        <w:spacing w:after="0" w:line="254" w:lineRule="auto"/>
        <w:rPr>
          <w:sz w:val="20"/>
          <w:szCs w:val="20"/>
          <w:color w:val="auto"/>
        </w:rPr>
      </w:pPr>
      <w:r>
        <w:rPr>
          <w:rFonts w:ascii="Arial" w:cs="Arial" w:eastAsia="Arial" w:hAnsi="Arial"/>
          <w:sz w:val="64"/>
          <w:szCs w:val="64"/>
          <w:color w:val="4C4C4C"/>
        </w:rPr>
        <w:t>Management Proxy Circular and Notice of Annual Meeting of Shareholders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94831"/>
        </w:rPr>
        <w:t>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283210</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80"/>
        <w:spacing w:after="0"/>
        <w:rPr>
          <w:sz w:val="20"/>
          <w:szCs w:val="20"/>
          <w:color w:val="auto"/>
        </w:rPr>
      </w:pPr>
      <w:r>
        <w:rPr>
          <w:sz w:val="1"/>
          <w:szCs w:val="1"/>
          <w:color w:val="auto"/>
        </w:rPr>
        <w:drawing>
          <wp:inline distT="0" distB="0" distL="0" distR="0">
            <wp:extent cx="2564765" cy="3314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4765" cy="33147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53340</wp:posOffset>
            </wp:positionV>
            <wp:extent cx="3966210" cy="271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66210" cy="271780"/>
                    </a:xfrm>
                    <a:prstGeom prst="rect">
                      <a:avLst/>
                    </a:prstGeom>
                    <a:noFill/>
                  </pic:spPr>
                </pic:pic>
              </a:graphicData>
            </a:graphic>
          </wp:anchor>
        </w:drawing>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YOUR VOTE AND PARTICIPATION AS A SHAREHOLDER IS IMPORTANT.</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Please read this document and vote.</w:t>
      </w:r>
    </w:p>
    <w:p>
      <w:pPr>
        <w:sectPr>
          <w:pgSz w:w="11900" w:h="16838" w:orient="portrait"/>
          <w:cols w:equalWidth="0" w:num="1">
            <w:col w:w="11080"/>
          </w:cols>
          <w:pgMar w:left="320" w:top="120"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right="1820"/>
        <w:spacing w:after="0" w:line="275" w:lineRule="auto"/>
        <w:rPr>
          <w:sz w:val="20"/>
          <w:szCs w:val="20"/>
          <w:color w:val="auto"/>
        </w:rPr>
      </w:pPr>
      <w:r>
        <w:rPr>
          <w:rFonts w:ascii="Arial" w:cs="Arial" w:eastAsia="Arial" w:hAnsi="Arial"/>
          <w:sz w:val="46"/>
          <w:szCs w:val="46"/>
          <w:color w:val="B94831"/>
        </w:rPr>
        <w:t>Notice of Annual Meeting of Shareholders of Thomson Reuters Corporation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We are pleased to invite you to attend our 2024 annual meeting of shareholders.</w:t>
      </w:r>
    </w:p>
    <w:p>
      <w:pPr>
        <w:spacing w:after="0" w:line="247" w:lineRule="exact"/>
        <w:rPr>
          <w:sz w:val="20"/>
          <w:szCs w:val="20"/>
          <w:color w:val="auto"/>
        </w:rPr>
      </w:pPr>
    </w:p>
    <w:p>
      <w:pPr>
        <w:ind w:left="1140"/>
        <w:spacing w:after="0"/>
        <w:tabs>
          <w:tab w:leader="none" w:pos="4920" w:val="left"/>
        </w:tabs>
        <w:rPr>
          <w:sz w:val="20"/>
          <w:szCs w:val="20"/>
          <w:color w:val="auto"/>
        </w:rPr>
      </w:pPr>
      <w:r>
        <w:rPr>
          <w:rFonts w:ascii="Arial" w:cs="Arial" w:eastAsia="Arial" w:hAnsi="Arial"/>
          <w:sz w:val="25"/>
          <w:szCs w:val="25"/>
          <w:b w:val="1"/>
          <w:bCs w:val="1"/>
          <w:color w:val="auto"/>
        </w:rPr>
        <w:t>When</w:t>
      </w:r>
      <w:r>
        <w:rPr>
          <w:sz w:val="20"/>
          <w:szCs w:val="20"/>
          <w:color w:val="auto"/>
        </w:rPr>
        <w:tab/>
      </w:r>
      <w:r>
        <w:rPr>
          <w:rFonts w:ascii="Arial" w:cs="Arial" w:eastAsia="Arial" w:hAnsi="Arial"/>
          <w:sz w:val="25"/>
          <w:szCs w:val="25"/>
          <w:b w:val="1"/>
          <w:bCs w:val="1"/>
          <w:color w:val="auto"/>
        </w:rPr>
        <w:t>Where</w:t>
      </w:r>
    </w:p>
    <w:p>
      <w:pPr>
        <w:spacing w:after="0" w:line="24" w:lineRule="exact"/>
        <w:rPr>
          <w:sz w:val="20"/>
          <w:szCs w:val="20"/>
          <w:color w:val="auto"/>
        </w:rPr>
      </w:pPr>
    </w:p>
    <w:p>
      <w:pPr>
        <w:ind w:left="160"/>
        <w:spacing w:after="0"/>
        <w:tabs>
          <w:tab w:leader="none" w:pos="1120" w:val="left"/>
          <w:tab w:leader="none" w:pos="492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Wednesday, June 5, 2024</w:t>
      </w:r>
      <w:r>
        <w:rPr>
          <w:sz w:val="20"/>
          <w:szCs w:val="20"/>
          <w:color w:val="auto"/>
        </w:rPr>
        <w:tab/>
      </w:r>
      <w:r>
        <w:rPr>
          <w:rFonts w:ascii="Arial" w:cs="Arial" w:eastAsia="Arial" w:hAnsi="Arial"/>
          <w:sz w:val="17"/>
          <w:szCs w:val="17"/>
          <w:color w:val="auto"/>
        </w:rPr>
        <w:t>Roy Thomson Hall</w:t>
      </w:r>
    </w:p>
    <w:p>
      <w:pPr>
        <w:ind w:left="1140"/>
        <w:spacing w:after="0"/>
        <w:tabs>
          <w:tab w:leader="none" w:pos="4920" w:val="left"/>
        </w:tabs>
        <w:rPr>
          <w:sz w:val="20"/>
          <w:szCs w:val="20"/>
          <w:color w:val="auto"/>
        </w:rPr>
      </w:pPr>
      <w:r>
        <w:rPr>
          <w:rFonts w:ascii="Arial" w:cs="Arial" w:eastAsia="Arial" w:hAnsi="Arial"/>
          <w:sz w:val="18"/>
          <w:szCs w:val="18"/>
          <w:color w:val="auto"/>
        </w:rPr>
        <w:t>12:00 p.m. (Eastern Daylight Time)</w:t>
      </w:r>
      <w:r>
        <w:rPr>
          <w:sz w:val="20"/>
          <w:szCs w:val="20"/>
          <w:color w:val="auto"/>
        </w:rPr>
        <w:tab/>
      </w:r>
      <w:r>
        <w:rPr>
          <w:rFonts w:ascii="Arial" w:cs="Arial" w:eastAsia="Arial" w:hAnsi="Arial"/>
          <w:sz w:val="17"/>
          <w:szCs w:val="17"/>
          <w:color w:val="auto"/>
        </w:rPr>
        <w:t>60 Simcoe Street</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Toronto, Ontario, Canada</w:t>
      </w:r>
    </w:p>
    <w:p>
      <w:pPr>
        <w:spacing w:after="0" w:line="9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live audio webcast will be available on our website</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at www.thomsonreuters.com. A replay of the</w:t>
      </w:r>
    </w:p>
    <w:p>
      <w:pPr>
        <w:ind w:left="4940"/>
        <w:spacing w:after="0" w:line="232" w:lineRule="auto"/>
        <w:rPr>
          <w:sz w:val="20"/>
          <w:szCs w:val="20"/>
          <w:color w:val="auto"/>
        </w:rPr>
      </w:pPr>
      <w:r>
        <w:rPr>
          <w:rFonts w:ascii="Arial" w:cs="Arial" w:eastAsia="Arial" w:hAnsi="Arial"/>
          <w:sz w:val="18"/>
          <w:szCs w:val="18"/>
          <w:color w:val="auto"/>
        </w:rPr>
        <w:t>webcast will be posted on our website after the</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meeting.</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our Shareholders,</w:t>
      </w:r>
    </w:p>
    <w:p>
      <w:pPr>
        <w:spacing w:after="0" w:line="101"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We are pleased to invite you to attend the 2024 Thomson Reuters annual meeting of shareholders on Wednesday, June 5, 2024 at 12:00 p.m. (Eastern Daylight Time). Our company will be holding this meeting in-person at Roy Thomson Hall, 60 Simcoe Street, Toronto, Ontario, Canada. A live audio webcast of the meeting will also be available on our website at www.thomsonreuters.com. A replay of the webcast will be posted on our website after the meeting.</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Business of the Meeting</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At the meeting, shareholders will be asked to:</w:t>
      </w:r>
    </w:p>
    <w:p>
      <w:pPr>
        <w:spacing w:after="0" w:line="97" w:lineRule="exact"/>
        <w:rPr>
          <w:sz w:val="20"/>
          <w:szCs w:val="20"/>
          <w:color w:val="auto"/>
        </w:rPr>
      </w:pPr>
    </w:p>
    <w:p>
      <w:pPr>
        <w:ind w:left="360" w:hanging="193"/>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 our consolidated financial statements for the year ended December 31, 2023 and the auditor’s report on those statements;</w:t>
      </w:r>
    </w:p>
    <w:p>
      <w:pPr>
        <w:spacing w:after="0" w:line="100" w:lineRule="exact"/>
        <w:rPr>
          <w:rFonts w:ascii="Arial" w:cs="Arial" w:eastAsia="Arial" w:hAnsi="Arial"/>
          <w:sz w:val="18"/>
          <w:szCs w:val="18"/>
          <w:color w:val="auto"/>
        </w:rPr>
      </w:pPr>
    </w:p>
    <w:p>
      <w:pPr>
        <w:ind w:left="360" w:hanging="193"/>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 directors;</w:t>
      </w:r>
    </w:p>
    <w:p>
      <w:pPr>
        <w:spacing w:after="0" w:line="100" w:lineRule="exact"/>
        <w:rPr>
          <w:rFonts w:ascii="Arial" w:cs="Arial" w:eastAsia="Arial" w:hAnsi="Arial"/>
          <w:sz w:val="18"/>
          <w:szCs w:val="18"/>
          <w:color w:val="auto"/>
        </w:rPr>
      </w:pPr>
    </w:p>
    <w:p>
      <w:pPr>
        <w:ind w:left="360" w:hanging="193"/>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 PricewaterhouseCoopers LLP as the auditor and authorize the directors to fix the auditor’s remuneration;</w:t>
      </w:r>
    </w:p>
    <w:p>
      <w:pPr>
        <w:spacing w:after="0" w:line="100" w:lineRule="exact"/>
        <w:rPr>
          <w:rFonts w:ascii="Arial" w:cs="Arial" w:eastAsia="Arial" w:hAnsi="Arial"/>
          <w:sz w:val="18"/>
          <w:szCs w:val="18"/>
          <w:color w:val="auto"/>
        </w:rPr>
      </w:pPr>
    </w:p>
    <w:p>
      <w:pPr>
        <w:ind w:left="360" w:hanging="193"/>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 an advisory resolution on executive compensation; and</w:t>
      </w:r>
    </w:p>
    <w:p>
      <w:pPr>
        <w:spacing w:after="0" w:line="100" w:lineRule="exact"/>
        <w:rPr>
          <w:rFonts w:ascii="Arial" w:cs="Arial" w:eastAsia="Arial" w:hAnsi="Arial"/>
          <w:sz w:val="18"/>
          <w:szCs w:val="18"/>
          <w:color w:val="auto"/>
        </w:rPr>
      </w:pPr>
    </w:p>
    <w:p>
      <w:pPr>
        <w:ind w:left="360" w:hanging="193"/>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meeting and any adjourned or postponed meeting.</w:t>
      </w:r>
    </w:p>
    <w:p>
      <w:pPr>
        <w:spacing w:after="0" w:line="10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You can read about each of these items in more detail in the accompanying management proxy circular. At the meeting, you will also have an opportunity to hear about our 2023 performance and our plans for Thomson Reuters going forward. Shareholders in attendance will have an opportunity to ask questions.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Participating in the Meeting</w:t>
      </w:r>
    </w:p>
    <w:p>
      <w:pPr>
        <w:spacing w:after="0" w:line="119" w:lineRule="exact"/>
        <w:rPr>
          <w:sz w:val="20"/>
          <w:szCs w:val="20"/>
          <w:color w:val="auto"/>
        </w:rPr>
      </w:pPr>
    </w:p>
    <w:p>
      <w:pPr>
        <w:jc w:val="both"/>
        <w:ind w:left="160" w:right="380"/>
        <w:spacing w:after="0" w:line="295" w:lineRule="auto"/>
        <w:rPr>
          <w:sz w:val="20"/>
          <w:szCs w:val="20"/>
          <w:color w:val="auto"/>
        </w:rPr>
      </w:pPr>
      <w:r>
        <w:rPr>
          <w:rFonts w:ascii="Arial" w:cs="Arial" w:eastAsia="Arial" w:hAnsi="Arial"/>
          <w:sz w:val="17"/>
          <w:szCs w:val="17"/>
          <w:color w:val="auto"/>
        </w:rPr>
        <w:t>The process for participating in the meeting depends on whether you’re a registered or non-registered shareholder. You can find more information about these terms in the “Voting Information and How to Attend” section of the accompanying management proxy circular.</w:t>
      </w:r>
    </w:p>
    <w:p>
      <w:pPr>
        <w:sectPr>
          <w:pgSz w:w="11900" w:h="16838" w:orient="portrait"/>
          <w:cols w:equalWidth="0" w:num="1">
            <w:col w:w="11080"/>
          </w:cols>
          <w:pgMar w:left="320" w:top="454" w:right="499" w:bottom="1440" w:gutter="0" w:footer="0" w:header="0"/>
        </w:sectPr>
      </w:pP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b w:val="1"/>
          <w:bCs w:val="1"/>
          <w:color w:val="B94831"/>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920"/>
        <w:spacing w:after="0" w:line="295" w:lineRule="auto"/>
        <w:rPr>
          <w:sz w:val="20"/>
          <w:szCs w:val="20"/>
          <w:color w:val="auto"/>
        </w:rPr>
      </w:pPr>
      <w:r>
        <w:rPr>
          <w:rFonts w:ascii="Arial" w:cs="Arial" w:eastAsia="Arial" w:hAnsi="Arial"/>
          <w:sz w:val="17"/>
          <w:szCs w:val="17"/>
          <w:color w:val="auto"/>
        </w:rPr>
        <w:t>Registered shareholders and duly appointed proxyholders (including non-registered shareholders who have duly appointed themselves as proxyholder) will be able to attend the meeting, submit or ask questions and vote at the meeting in person.</w:t>
      </w:r>
    </w:p>
    <w:p>
      <w:pPr>
        <w:spacing w:after="0" w:line="41" w:lineRule="exact"/>
        <w:rPr>
          <w:sz w:val="20"/>
          <w:szCs w:val="20"/>
          <w:color w:val="auto"/>
        </w:rPr>
      </w:pPr>
    </w:p>
    <w:p>
      <w:pPr>
        <w:ind w:right="60"/>
        <w:spacing w:after="0"/>
        <w:rPr>
          <w:sz w:val="20"/>
          <w:szCs w:val="20"/>
          <w:color w:val="auto"/>
        </w:rPr>
      </w:pPr>
      <w:r>
        <w:rPr>
          <w:rFonts w:ascii="Arial" w:cs="Arial" w:eastAsia="Arial" w:hAnsi="Arial"/>
          <w:sz w:val="18"/>
          <w:szCs w:val="18"/>
          <w:b w:val="1"/>
          <w:bCs w:val="1"/>
          <w:color w:val="auto"/>
        </w:rPr>
        <w:t>If you are a non-registered shareholder (or “beneficial owner”) who wishes to attend the meeting, submit or ask questions and vote in-person, you have to appoint yourself as proxyholder first and then also register with our transfer agent, Computershare Trust Company of Canada. If you’re a non-registered shareholder and don’t appoint yourself as proxyholder, you can still attend the meeting as a guest, but you won’t be able to submit or ask questions or vote at the meeting. If you are a non-registered shareholder located in the United States and wish to appoint yourself as a proxyholder in order to attend, participate or vote at the meeting, you MUST also obtain a valid legal proxy from your intermediary and submit it to Computershare Trust Company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111125</wp:posOffset>
            </wp:positionV>
            <wp:extent cx="69297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spacing w:after="0" w:line="96" w:lineRule="exact"/>
        <w:rPr>
          <w:sz w:val="20"/>
          <w:szCs w:val="20"/>
          <w:color w:val="auto"/>
        </w:rPr>
      </w:pPr>
    </w:p>
    <w:p>
      <w:pPr>
        <w:ind w:left="6660"/>
        <w:spacing w:after="0"/>
        <w:rPr>
          <w:sz w:val="20"/>
          <w:szCs w:val="20"/>
          <w:color w:val="auto"/>
        </w:rPr>
      </w:pPr>
      <w:r>
        <w:rPr>
          <w:rFonts w:ascii="Arial" w:cs="Arial" w:eastAsia="Arial" w:hAnsi="Arial"/>
          <w:sz w:val="13"/>
          <w:szCs w:val="13"/>
          <w:color w:val="auto"/>
        </w:rPr>
        <w:t>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500" w:right="80"/>
        <w:spacing w:after="0" w:line="265" w:lineRule="auto"/>
        <w:rPr>
          <w:sz w:val="20"/>
          <w:szCs w:val="20"/>
          <w:color w:val="auto"/>
        </w:rPr>
      </w:pPr>
      <w:r>
        <w:rPr>
          <w:rFonts w:ascii="Arial" w:cs="Arial" w:eastAsia="Arial" w:hAnsi="Arial"/>
          <w:sz w:val="18"/>
          <w:szCs w:val="18"/>
          <w:color w:val="auto"/>
        </w:rPr>
        <w:t>Please carefully follow the instructions in the “Voting Information and How to Attend” section of the accompanying management proxy circular and on your form of proxy or voting instruction form (VIF).</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Record Date</w:t>
      </w:r>
    </w:p>
    <w:p>
      <w:pPr>
        <w:spacing w:after="0" w:line="56" w:lineRule="exact"/>
        <w:rPr>
          <w:sz w:val="20"/>
          <w:szCs w:val="20"/>
          <w:color w:val="auto"/>
        </w:rPr>
      </w:pPr>
    </w:p>
    <w:p>
      <w:pPr>
        <w:ind w:left="160" w:right="660"/>
        <w:spacing w:after="0" w:line="261" w:lineRule="auto"/>
        <w:rPr>
          <w:sz w:val="20"/>
          <w:szCs w:val="20"/>
          <w:color w:val="auto"/>
        </w:rPr>
      </w:pPr>
      <w:r>
        <w:rPr>
          <w:rFonts w:ascii="Arial" w:cs="Arial" w:eastAsia="Arial" w:hAnsi="Arial"/>
          <w:sz w:val="18"/>
          <w:szCs w:val="18"/>
          <w:color w:val="auto"/>
        </w:rPr>
        <w:t>You are entitled to vote at the meeting, and any adjourned or postponed meeting, if you were a holder of our common shares as of 5:00 p.m. (Eastern Daylight Time) on April 19, 2024.</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Notice-And-Access</w:t>
      </w:r>
    </w:p>
    <w:p>
      <w:pPr>
        <w:spacing w:after="0" w:line="56"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 xml:space="preserve">We are using the “notice-and-access” system for the delivery of our proxy materials through our website, </w:t>
      </w:r>
      <w:r>
        <w:rPr>
          <w:rFonts w:ascii="Arial" w:cs="Arial" w:eastAsia="Arial" w:hAnsi="Arial"/>
          <w:sz w:val="18"/>
          <w:szCs w:val="18"/>
          <w:b w:val="1"/>
          <w:bCs w:val="1"/>
          <w:color w:val="335367"/>
        </w:rPr>
        <w:t>www.thomsonreuters.com</w:t>
      </w:r>
      <w:r>
        <w:rPr>
          <w:rFonts w:ascii="Arial" w:cs="Arial" w:eastAsia="Arial" w:hAnsi="Arial"/>
          <w:sz w:val="18"/>
          <w:szCs w:val="18"/>
          <w:color w:val="auto"/>
        </w:rPr>
        <w:t>,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 Electronic delivery reduces the cost and environmental impact of producing and distributing paper copies of documents in very large quantities. It also provides shareholders with faster access to information about Thomson Reuters.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Shareholders who have already signed up for electronic delivery of proxy materials will continue to receive them by e-mail.</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Voting</w:t>
      </w:r>
    </w:p>
    <w:p>
      <w:pPr>
        <w:spacing w:after="0" w:line="56"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Your vote is important. If you’re unable to attend the meeting in person, please vote by proxy. A proxy is a document that authorizes someone else to attend the meeting and cast votes for you. The proxy form contains instructions on how to complete and send your voting instructions. If you hold your shares through a broker or other intermediary, you should follow the procedures provided by your broker or intermediary.</w:t>
      </w:r>
    </w:p>
    <w:p>
      <w:pPr>
        <w:spacing w:after="0" w:line="75"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If you’re a registered shareholder, our transfer agent, Computershare Trust Company of Canada, must receive your proxy or voting instructions no later than 5:00 p.m. (Eastern Daylight Time) on Monday, June 3, 2024 or if the meeting is adjourned or postponed, no later than 48 hours (excluding Saturdays, Sundays and holidays) before any adjourned or postponed meeting. If you’re a registered shareholder and have any questions or need assistance voting your shares, please call Computershare Trust Company of Canada, toll-free in Canada and the United States, at 1.800.564.6253.</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Non-registered/beneficial shareholders will be subject to earlier voting deadlines as specified in their proxy or voting instructions.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Thank you for your continued support of, and interest in, Thomson Reuters.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474980</wp:posOffset>
            </wp:positionV>
            <wp:extent cx="1061720" cy="28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1720" cy="28892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492125</wp:posOffset>
            </wp:positionV>
            <wp:extent cx="1588135" cy="271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8135"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060" w:type="dxa"/>
            <w:vAlign w:val="bottom"/>
          </w:tcPr>
          <w:p>
            <w:pPr>
              <w:spacing w:after="0"/>
              <w:rPr>
                <w:sz w:val="20"/>
                <w:szCs w:val="20"/>
                <w:color w:val="auto"/>
              </w:rPr>
            </w:pPr>
            <w:r>
              <w:rPr>
                <w:rFonts w:ascii="Arial" w:cs="Arial" w:eastAsia="Arial" w:hAnsi="Arial"/>
                <w:sz w:val="18"/>
                <w:szCs w:val="18"/>
                <w:b w:val="1"/>
                <w:bCs w:val="1"/>
                <w:color w:val="auto"/>
              </w:rPr>
              <w:t>David Thomson</w:t>
            </w:r>
          </w:p>
        </w:tc>
        <w:tc>
          <w:tcPr>
            <w:tcW w:w="5860" w:type="dxa"/>
            <w:vAlign w:val="bottom"/>
          </w:tcPr>
          <w:p>
            <w:pPr>
              <w:ind w:left="640"/>
              <w:spacing w:after="0"/>
              <w:rPr>
                <w:sz w:val="20"/>
                <w:szCs w:val="20"/>
                <w:color w:val="auto"/>
              </w:rPr>
            </w:pPr>
            <w:r>
              <w:rPr>
                <w:rFonts w:ascii="Arial" w:cs="Arial" w:eastAsia="Arial" w:hAnsi="Arial"/>
                <w:sz w:val="18"/>
                <w:szCs w:val="18"/>
                <w:b w:val="1"/>
                <w:bCs w:val="1"/>
                <w:color w:val="auto"/>
              </w:rPr>
              <w:t>Steve Hasker</w:t>
            </w:r>
          </w:p>
        </w:tc>
      </w:t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Chairman of the Board</w:t>
            </w:r>
          </w:p>
        </w:tc>
        <w:tc>
          <w:tcPr>
            <w:tcW w:w="5860" w:type="dxa"/>
            <w:vAlign w:val="bottom"/>
          </w:tcPr>
          <w:p>
            <w:pPr>
              <w:ind w:left="640"/>
              <w:spacing w:after="0"/>
              <w:rPr>
                <w:sz w:val="20"/>
                <w:szCs w:val="20"/>
                <w:color w:val="auto"/>
              </w:rPr>
            </w:pPr>
            <w:r>
              <w:rPr>
                <w:rFonts w:ascii="Arial" w:cs="Arial" w:eastAsia="Arial" w:hAnsi="Arial"/>
                <w:sz w:val="18"/>
                <w:szCs w:val="18"/>
                <w:color w:val="auto"/>
              </w:rPr>
              <w:t>President &amp; Chief Executive Officer</w:t>
            </w:r>
          </w:p>
        </w:tc>
      </w:tr>
      <w:tr>
        <w:trPr>
          <w:trHeight w:val="321"/>
        </w:trPr>
        <w:tc>
          <w:tcPr>
            <w:tcW w:w="5060" w:type="dxa"/>
            <w:vAlign w:val="bottom"/>
          </w:tcPr>
          <w:p>
            <w:pPr>
              <w:spacing w:after="0"/>
              <w:rPr>
                <w:sz w:val="20"/>
                <w:szCs w:val="20"/>
                <w:color w:val="auto"/>
              </w:rPr>
            </w:pPr>
            <w:r>
              <w:rPr>
                <w:rFonts w:ascii="Arial" w:cs="Arial" w:eastAsia="Arial" w:hAnsi="Arial"/>
                <w:sz w:val="18"/>
                <w:szCs w:val="18"/>
                <w:color w:val="auto"/>
              </w:rPr>
              <w:t>April 22, 2024</w:t>
            </w:r>
          </w:p>
        </w:tc>
        <w:tc>
          <w:tcPr>
            <w:tcW w:w="5860" w:type="dxa"/>
            <w:vAlign w:val="bottom"/>
          </w:tcPr>
          <w:p>
            <w:pPr>
              <w:spacing w:after="0"/>
              <w:rPr>
                <w:sz w:val="24"/>
                <w:szCs w:val="24"/>
                <w:color w:val="auto"/>
              </w:rPr>
            </w:pPr>
          </w:p>
        </w:tc>
      </w:tr>
      <w:tr>
        <w:trPr>
          <w:trHeight w:val="218"/>
        </w:trPr>
        <w:tc>
          <w:tcPr>
            <w:tcW w:w="5060" w:type="dxa"/>
            <w:vAlign w:val="bottom"/>
            <w:tcBorders>
              <w:bottom w:val="single" w:sz="8" w:color="B94831"/>
            </w:tcBorders>
          </w:tcPr>
          <w:p>
            <w:pPr>
              <w:spacing w:after="0"/>
              <w:rPr>
                <w:sz w:val="18"/>
                <w:szCs w:val="18"/>
                <w:color w:val="auto"/>
              </w:rPr>
            </w:pPr>
          </w:p>
        </w:tc>
        <w:tc>
          <w:tcPr>
            <w:tcW w:w="5860" w:type="dxa"/>
            <w:vAlign w:val="bottom"/>
            <w:tcBorders>
              <w:bottom w:val="single" w:sz="8" w:color="B94831"/>
            </w:tcBorders>
          </w:tcPr>
          <w:p>
            <w:pPr>
              <w:spacing w:after="0"/>
              <w:rPr>
                <w:sz w:val="18"/>
                <w:szCs w:val="18"/>
                <w:color w:val="auto"/>
              </w:rPr>
            </w:pPr>
          </w:p>
        </w:tc>
      </w:tr>
      <w:tr>
        <w:trPr>
          <w:trHeight w:val="202"/>
        </w:trPr>
        <w:tc>
          <w:tcPr>
            <w:tcW w:w="5060" w:type="dxa"/>
            <w:vAlign w:val="bottom"/>
          </w:tcPr>
          <w:p>
            <w:pPr>
              <w:spacing w:after="0"/>
              <w:rPr>
                <w:sz w:val="20"/>
                <w:szCs w:val="20"/>
                <w:color w:val="auto"/>
              </w:rPr>
            </w:pPr>
            <w:r>
              <w:rPr>
                <w:rFonts w:ascii="Arial" w:cs="Arial" w:eastAsia="Arial" w:hAnsi="Arial"/>
                <w:sz w:val="13"/>
                <w:szCs w:val="13"/>
                <w:color w:val="auto"/>
              </w:rPr>
              <w:t>Management Proxy Circular and Notice of Annual Meeting of Shareholders</w:t>
            </w:r>
          </w:p>
        </w:tc>
        <w:tc>
          <w:tcPr>
            <w:tcW w:w="5860" w:type="dxa"/>
            <w:vAlign w:val="bottom"/>
          </w:tcPr>
          <w:p>
            <w:pPr>
              <w:spacing w:after="0"/>
              <w:rPr>
                <w:sz w:val="17"/>
                <w:szCs w:val="17"/>
                <w:color w:val="auto"/>
              </w:rPr>
            </w:pPr>
          </w:p>
        </w:tc>
      </w:tr>
    </w:tbl>
    <w:p>
      <w:pPr>
        <w:sectPr>
          <w:pgSz w:w="11900" w:h="16838" w:orient="portrait"/>
          <w:cols w:equalWidth="0" w:num="1">
            <w:col w:w="11080"/>
          </w:cols>
          <w:pgMar w:left="320" w:top="454"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38010" cy="38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8010" cy="382270"/>
                    </a:xfrm>
                    <a:prstGeom prst="rect">
                      <a:avLst/>
                    </a:prstGeom>
                    <a:noFill/>
                  </pic:spPr>
                </pic:pic>
              </a:graphicData>
            </a:graphic>
          </wp:anchor>
        </w:drawing>
      </w:r>
    </w:p>
    <w:p>
      <w:pPr>
        <w:spacing w:after="0" w:line="192" w:lineRule="exact"/>
        <w:rPr>
          <w:sz w:val="20"/>
          <w:szCs w:val="20"/>
          <w:color w:val="auto"/>
        </w:rPr>
      </w:pPr>
    </w:p>
    <w:p>
      <w:pPr>
        <w:ind w:left="420" w:right="360"/>
        <w:spacing w:after="0" w:line="265" w:lineRule="auto"/>
        <w:rPr>
          <w:sz w:val="20"/>
          <w:szCs w:val="20"/>
          <w:color w:val="auto"/>
        </w:rPr>
      </w:pPr>
      <w:r>
        <w:rPr>
          <w:rFonts w:ascii="Arial" w:cs="Arial" w:eastAsia="Arial" w:hAnsi="Arial"/>
          <w:sz w:val="18"/>
          <w:szCs w:val="18"/>
          <w:color w:val="auto"/>
        </w:rPr>
        <w:t xml:space="preserve">We will be holding this year’s annual meeting of shareholders </w:t>
      </w:r>
      <w:r>
        <w:rPr>
          <w:rFonts w:ascii="Arial" w:cs="Arial" w:eastAsia="Arial" w:hAnsi="Arial"/>
          <w:sz w:val="18"/>
          <w:szCs w:val="18"/>
          <w:b w:val="1"/>
          <w:bCs w:val="1"/>
          <w:color w:val="auto"/>
        </w:rPr>
        <w:t>in-person</w:t>
      </w:r>
      <w:r>
        <w:rPr>
          <w:rFonts w:ascii="Arial" w:cs="Arial" w:eastAsia="Arial" w:hAnsi="Arial"/>
          <w:sz w:val="18"/>
          <w:szCs w:val="18"/>
          <w:color w:val="auto"/>
        </w:rPr>
        <w:t xml:space="preserve"> at Roy Thomson Hall, 60 Simcoe Street, Toronto, Ontario, Canada. This circular provides information and instructions regarding how to participate in the annual meeting.</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our Shareholders,</w:t>
      </w:r>
    </w:p>
    <w:p>
      <w:pPr>
        <w:spacing w:after="0" w:line="10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Agility and resilience are recurring themes for our business and customers. The latter became more important in 2023 with a convergence of challenges across the international landscape. 2023 was also a year of significant innovation despite continued macro-economic uncertainty and geopolitical tensions. A new chapter in technological transformation began to unfold with the roll out of generative artificial intelligence (generative AI), bringing with it the potential to expedite significant change across business and society.</w:t>
      </w:r>
    </w:p>
    <w:p>
      <w:pPr>
        <w:spacing w:after="0" w:line="71"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color w:val="auto"/>
        </w:rPr>
        <w:t xml:space="preserve">Thomson Reuters is resolved in our purpose, </w:t>
      </w:r>
      <w:r>
        <w:rPr>
          <w:rFonts w:ascii="Arial" w:cs="Arial" w:eastAsia="Arial" w:hAnsi="Arial"/>
          <w:sz w:val="18"/>
          <w:szCs w:val="18"/>
          <w:i w:val="1"/>
          <w:iCs w:val="1"/>
          <w:color w:val="auto"/>
        </w:rPr>
        <w:t>To Inform the Way Forward</w:t>
      </w:r>
      <w:r>
        <w:rPr>
          <w:rFonts w:ascii="Arial" w:cs="Arial" w:eastAsia="Arial" w:hAnsi="Arial"/>
          <w:sz w:val="18"/>
          <w:szCs w:val="18"/>
          <w:color w:val="auto"/>
        </w:rPr>
        <w:t>. We have embraced this period of seismic change as an opportunity to lead, assisting our customers to address their most complex challenges and providing them with the information and tools required to make confident decisions in a fast-moving environment.</w:t>
      </w:r>
    </w:p>
    <w:p>
      <w:pPr>
        <w:spacing w:after="0" w:line="6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Our Trust Principles guide us as we deliver trusted and meaningful applications of generative AI cutting-edge technology to our customers. Our long history in leveraging the latest innovations, coupled with our expertise and vision, enables us to guide professionals towards an understanding of generative AI’s potential, and to harnessing the opportunity.</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2023 Achievements</w:t>
      </w:r>
    </w:p>
    <w:p>
      <w:pPr>
        <w:spacing w:after="0" w:line="101"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Thomson Reuters is ideally placed to lead professionals on generative AI, being pioneers in the application of AI and machine learning in our professional information products. Our company seized the recent opportunities from generative AI and began to integrate the technology into our flagship information and research solutions for legal professionals. This was made possible through the transformation of our own business through our Change Program.</w:t>
      </w:r>
    </w:p>
    <w:p>
      <w:pPr>
        <w:spacing w:after="0" w:line="71" w:lineRule="exact"/>
        <w:rPr>
          <w:sz w:val="20"/>
          <w:szCs w:val="20"/>
          <w:color w:val="auto"/>
        </w:rPr>
      </w:pPr>
    </w:p>
    <w:p>
      <w:pPr>
        <w:ind w:left="160" w:right="380"/>
        <w:spacing w:after="0" w:line="262" w:lineRule="auto"/>
        <w:rPr>
          <w:sz w:val="20"/>
          <w:szCs w:val="20"/>
          <w:color w:val="auto"/>
        </w:rPr>
      </w:pPr>
      <w:r>
        <w:rPr>
          <w:rFonts w:ascii="Arial" w:cs="Arial" w:eastAsia="Arial" w:hAnsi="Arial"/>
          <w:sz w:val="17"/>
          <w:szCs w:val="17"/>
          <w:color w:val="auto"/>
        </w:rPr>
        <w:t>The multi-year Change Program, completed in 2022, accomplished the transition of Thomson Reuters from a holding company to a streamlined and focused operating company with multiple businesses concentrated on content-driven technology. The refinement and simplification of our product portfolio and the streamlining of our infrastructure enables us to respond more nimbly to changing market conditions. We have rapidly deployed new innovations, which help to redefine professional work and enable our customers to thrive.</w:t>
      </w:r>
    </w:p>
    <w:p>
      <w:pPr>
        <w:spacing w:after="0" w:line="56"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With this new foundation firmly in place, in 2023 we delivered on our “build, partner, buy” strategy. We accelerated our ability to provide the best solutions at pace across our portfolio, with unprecedented speed and decisiveness. In 2023, we also announced an additional investment of more than $100 million per year in the next few years in AI, focused upon integrating responsible AI into our flagship content and technology solutions.</w:t>
      </w:r>
    </w:p>
    <w:p>
      <w:pPr>
        <w:spacing w:after="0" w:line="7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For the ‘build’ component of our strategy we enhanced those products in which we have the content, the technology and the domain expertise to excel, adding generative AI capabilities to Westlaw Precision and Practical Law. This helps us equip professionals with better, faster answers to complex research questions drawn from the industry’s most comprehensive curated content.</w:t>
      </w:r>
    </w:p>
    <w:p>
      <w:pPr>
        <w:spacing w:after="0" w:line="65"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For the ‘partner’ element, we are integrating with major technology providers to provide connections to the solutions our customers employ every day. An example of this is our collaboration with Microsoft to enhance our contract drafting solution with Microsoft 365 Copilot for Word.</w:t>
      </w:r>
    </w:p>
    <w:p>
      <w:pPr>
        <w:spacing w:after="0" w:line="65" w:lineRule="exact"/>
        <w:rPr>
          <w:sz w:val="20"/>
          <w:szCs w:val="20"/>
          <w:color w:val="auto"/>
        </w:rPr>
      </w:pPr>
    </w:p>
    <w:p>
      <w:pPr>
        <w:jc w:val="both"/>
        <w:ind w:left="160" w:right="180"/>
        <w:spacing w:after="0" w:line="270" w:lineRule="auto"/>
        <w:rPr>
          <w:sz w:val="20"/>
          <w:szCs w:val="20"/>
          <w:color w:val="auto"/>
        </w:rPr>
      </w:pPr>
      <w:r>
        <w:rPr>
          <w:rFonts w:ascii="Arial" w:cs="Arial" w:eastAsia="Arial" w:hAnsi="Arial"/>
          <w:sz w:val="17"/>
          <w:szCs w:val="17"/>
          <w:color w:val="auto"/>
        </w:rPr>
        <w:t>In support of the ‘buy’ element of our strategy, we made strategic acquisitions that are enabling us to move faster, most significantly with our acquisition of Casetext in August 2023. We are building upon the AI-assistant experience Casetext pioneered, with plans to launch a comprehensive AI assistant in 2024 that will become the customer interface across all Thomson Reuters’ generative AI products.</w:t>
      </w:r>
    </w:p>
    <w:p>
      <w:pPr>
        <w:spacing w:after="0" w:line="49"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In addition, in March 2024 we closed on the acquisition of Pagero, a global leader in e-invoicing and indirect tax solutions. We believe Thomson Reuters is the best home for Pagero and are excited about our shared vision to provide corporate customers with automated, secure and compliant tax solutions. We look forward to working together with the talented team at Pagero.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color w:val="auto"/>
        </w:rPr>
        <w:t>This three-pronged approach provides the flexibility to deliver innovative, technology-driven solutions that meet our customers’ evolving needs, which in turn enables them to best serve their clients. In fact, according to our recent Future of Professionals Report, which surveyed more than 1,200 professionals working across legal, tax, accounting, global trade and risk and compliance industries, improving productivity and producing high-quality advice were their top priorities. We will continue to build our understanding of how emerging technologies are impacting the professionals and industries we serve as well as the greater society at large – today and tomorrow.</w:t>
      </w:r>
    </w:p>
    <w:p>
      <w:pPr>
        <w:spacing w:after="0" w:line="59"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Our ability to deliver on our strategy is also underpinned by our development of the Thomson Reuters’ generative AI platform, a common platform for application development, including AI features and functionality. The latter features an “AI skills factory” that allows subject-matter experts who are not engineers or software developers to safely experiment with building new AI tools to address business needs. The new generative AI platform will help drive faster innovation at scale across our product portfolio delivering skills like AI Assisted Research on Westlaw Precision at a pace.</w:t>
      </w:r>
    </w:p>
    <w:p>
      <w:pPr>
        <w:spacing w:after="0" w:line="75"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In support of our key business initiatives, we are committed to ensuring our global workforce of approximately 26,000 colleagues is upskilled and ready to serve professionals. Starting from our foundational Data and AI Ethics Principles (https://www.thomsonreuters.com/en/artificial-intelligence/ai-principles.html), we deliver training and technology that enhances colleague understanding and creates a safe and effective environment for application and learning. In addition, Thomson Reuters Labs created Open Arena, an enterprise-wide large language model (LLM) learning environment for colleagues, which has truly unlocked company-wide experimentation with generative AI in a safe and controlled environment.</w:t>
      </w:r>
    </w:p>
    <w:p>
      <w:pPr>
        <w:spacing w:after="0" w:line="74"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Elsewhere in our business, we continue to set new standards for the delivery of trusted, timely information and insight and demonstrate courage and strength in the face of great challenges. In 2023, our Reuters News division received more than 150 journalism award recognitions for its exceptional investigative, breaking news and visuals coverage while delivering truly exceptional work in the areas of banking, crypto, economics and from the front lines of two major conflict zones.</w:t>
      </w:r>
    </w:p>
    <w:p>
      <w:pPr>
        <w:spacing w:after="0" w:line="71" w:lineRule="exact"/>
        <w:rPr>
          <w:sz w:val="20"/>
          <w:szCs w:val="20"/>
          <w:color w:val="auto"/>
        </w:rPr>
      </w:pPr>
    </w:p>
    <w:p>
      <w:pPr>
        <w:ind w:left="160" w:right="40"/>
        <w:spacing w:after="0" w:line="238" w:lineRule="auto"/>
        <w:rPr>
          <w:sz w:val="20"/>
          <w:szCs w:val="20"/>
          <w:color w:val="auto"/>
        </w:rPr>
      </w:pPr>
      <w:r>
        <w:rPr>
          <w:rFonts w:ascii="Arial" w:cs="Arial" w:eastAsia="Arial" w:hAnsi="Arial"/>
          <w:sz w:val="18"/>
          <w:szCs w:val="18"/>
          <w:color w:val="auto"/>
        </w:rPr>
        <w:t>Throughout this incredibly volatile period of technological, geopolitical and economic change, we drove strong financial performance for the year, meeting our key 2023 guidance metrics. We met or exceeded the targets for all our financial metrics, including organic revenue growth, adjusted EBITDA margin and free cash flow. Our company’s revenues increased 3%, despite the loss of revenues from divested businesses, while organic revenues increased 6%*, and our core markets remain stable. Operating profit was over $2.3 billion, and our diluted earnings per share was $5.80. Our adjusted EBITDA for the year increased 15% to nearly $2.7 billion* and the related margin rose 420bp to 39.3%*. Adjusted earnings per share was up to $3.51*, compared to $2.62* in 2022. We generated net cash from our operating activities of $2.3 billion and free cash flow of $1.9 billion*.</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Opportunity</w:t>
      </w:r>
    </w:p>
    <w:p>
      <w:pPr>
        <w:spacing w:after="0" w:line="101" w:lineRule="exact"/>
        <w:rPr>
          <w:sz w:val="20"/>
          <w:szCs w:val="20"/>
          <w:color w:val="auto"/>
        </w:rPr>
      </w:pPr>
    </w:p>
    <w:p>
      <w:pPr>
        <w:ind w:left="160" w:right="60"/>
        <w:spacing w:after="0" w:line="253" w:lineRule="auto"/>
        <w:rPr>
          <w:sz w:val="20"/>
          <w:szCs w:val="20"/>
          <w:color w:val="auto"/>
        </w:rPr>
      </w:pPr>
      <w:r>
        <w:rPr>
          <w:rFonts w:ascii="Arial" w:cs="Arial" w:eastAsia="Arial" w:hAnsi="Arial"/>
          <w:sz w:val="17"/>
          <w:szCs w:val="17"/>
          <w:color w:val="auto"/>
        </w:rPr>
        <w:t>The pace of change witnessed in the past 12 months will accelerate in the year ahead and beyond. 2023 was a year of significant innovation and widespread experimentation with new technologies and the next year is likely to be defined by the ability to extract measurable and scalable value from that technology. Thomson Reuters is already leading this transition. We are primed to seize opportunities emerging from this evolving landscape, given the foundations firmly in place. Our company has a clear roadmap in place for the further roll out of generative AI capabilities across our product suite throughout 2024. Our solutions focus upon our strongest assets, being our proprietary content databases and our extensive teams of experts who train generative AI models to produce trusted and reliable results. This enables us to create intelligent, customer-centric products, services and workflows which improve productivity, obtain the right answers faster and deliver the highest quality insights to our customers and their clients, helping to transform professional work.</w:t>
      </w:r>
    </w:p>
    <w:p>
      <w:pPr>
        <w:spacing w:after="0" w:line="63"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We will continue to invest in building trusted AI in a scalable and responsible way. The Thomson Reuters Ethics Advisory Committee was launched by a cross functional team of experts that builds upon existing governance tools to oversee and ensure the delivery of trusted AI and compliance with newly proposed AI legislation, ethics safeguards and best practices. Our Data and AI Ethics Principles were revitalized, as they remain at the forefront in our efforts to promote trustworthiness in our continuous design, development and deployment of AI and our use of data. This will enable us to continue to deliver solutions that set the bar for accuracy and reliability. We were proud to be selected as participants in the National Institute of Standards (NIST) U.S. Safety Institute Consortium focused on responsible AI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Role in the World</w:t>
      </w:r>
    </w:p>
    <w:p>
      <w:pPr>
        <w:spacing w:after="0" w:line="10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Thomson Reuters occupies an important space in a world that is changing rapidly, as both a technology leader and a trusted source of critical information. Our professional solutions are relied upon by the world’s leading professionals to deliver the foundational facts and insights that support justice and transparency. Our technology is helping to set the standard for how the world will interact with, and benefit from AI. While the world around us continues to grow more complex with the stakes rising, we proceed with confidence. Our Trust Principles inspire the gravity of our actions not just in the growth of our company, but also the lives and livelihoods of our colleagues, our customers and investors, and our communities.</w:t>
      </w:r>
    </w:p>
    <w:p>
      <w:pPr>
        <w:spacing w:after="0" w:line="74"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We were reminded of those high stakes of our work in October when Reuters visuals journalist Issam Abdallah was killed when a shell hit him while filming cross-border fire between Israel and Lebanon. The enormous risk associated with reporting from conflict zones is immense and the frequency with which devastating global conflicts have flared up in recent years is of grave concern for our global community of news gatherers. Reporting on world events with accuracy, integrity, independence and freedom from bias is core to our purpose, and it is critically important for our journalists to be able to do so safely.</w:t>
      </w:r>
    </w:p>
    <w:p>
      <w:pPr>
        <w:spacing w:after="0" w:line="75" w:lineRule="exact"/>
        <w:rPr>
          <w:sz w:val="20"/>
          <w:szCs w:val="20"/>
          <w:color w:val="auto"/>
        </w:rPr>
      </w:pPr>
    </w:p>
    <w:p>
      <w:pPr>
        <w:ind w:left="160" w:right="140"/>
        <w:spacing w:after="0" w:line="243" w:lineRule="auto"/>
        <w:rPr>
          <w:sz w:val="20"/>
          <w:szCs w:val="20"/>
          <w:color w:val="auto"/>
        </w:rPr>
      </w:pPr>
      <w:r>
        <w:rPr>
          <w:rFonts w:ascii="Arial" w:cs="Arial" w:eastAsia="Arial" w:hAnsi="Arial"/>
          <w:sz w:val="18"/>
          <w:szCs w:val="18"/>
          <w:color w:val="auto"/>
        </w:rPr>
        <w:t>Our company’s focus upon making the foundations of societies stronger, compels us to do so by creating opportunities for innovation, community investment, volunteer impact and sustainable corporate citizenship. Our longstanding commitment to supporting communities in which we live and work was displayed through programmatic activities, volunteering and acts of service. Please visit our Social Impact Institute for more information about our company’s and colleagues’ commitment to social impact in our communities.</w:t>
      </w:r>
    </w:p>
    <w:p>
      <w:pPr>
        <w:spacing w:after="0" w:line="71" w:lineRule="exact"/>
        <w:rPr>
          <w:sz w:val="20"/>
          <w:szCs w:val="20"/>
          <w:color w:val="auto"/>
        </w:rPr>
      </w:pPr>
    </w:p>
    <w:p>
      <w:pPr>
        <w:ind w:left="160" w:right="240"/>
        <w:spacing w:after="0" w:line="243" w:lineRule="auto"/>
        <w:rPr>
          <w:sz w:val="20"/>
          <w:szCs w:val="20"/>
          <w:color w:val="auto"/>
        </w:rPr>
      </w:pPr>
      <w:r>
        <w:rPr>
          <w:rFonts w:ascii="Arial" w:cs="Arial" w:eastAsia="Arial" w:hAnsi="Arial"/>
          <w:sz w:val="18"/>
          <w:szCs w:val="18"/>
          <w:color w:val="auto"/>
        </w:rPr>
        <w:t>The success of our colleagues is of paramount importance to us. We have consistently launched new programs to support them in managing their personal and professional responsibilities. In 2023, we launched a first-of-its-kind global parental leave standard, as well as running quarterly Global Learning Days on strategic learning topics. Our Flex My Way program of supportive workplace policies continues to evolve and we are committed to making the wellbeing of our colleagues a priority</w:t>
      </w:r>
      <w:r>
        <w:rPr>
          <w:rFonts w:ascii="Arial" w:cs="Arial" w:eastAsia="Arial" w:hAnsi="Arial"/>
          <w:sz w:val="18"/>
          <w:szCs w:val="18"/>
          <w:i w:val="1"/>
          <w:iCs w:val="1"/>
          <w:color w:val="auto"/>
        </w:rPr>
        <w:t>.</w:t>
      </w:r>
    </w:p>
    <w:p>
      <w:pPr>
        <w:spacing w:after="0" w:line="71"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At Thomson Reuters, we have always recognized the importance of speed, innovation and boldness of mission, but we have also never lost sight of our priorities to support our customers and our colleagues as our company grows and evolves. We are making good progress as we embark on this new chapter of AI-driven transformation and we look forward to celebrating our successes with you and our customers as this exciting journey continues. We remain grateful for your ongoing commitment to Thomson Reuters and for your trust in us to seek the right course with humility and conviction. Your support allows us to help inform the way forward in a time of such monumental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220345</wp:posOffset>
            </wp:positionV>
            <wp:extent cx="1061720" cy="28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1720" cy="28892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237490</wp:posOffset>
            </wp:positionV>
            <wp:extent cx="1588135" cy="271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8135" cy="27178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David Thomson</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Hasker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Chief Executive Officer</w:t>
      </w:r>
    </w:p>
    <w:p>
      <w:pPr>
        <w:spacing w:after="0" w:line="200" w:lineRule="exact"/>
        <w:rPr>
          <w:sz w:val="20"/>
          <w:szCs w:val="20"/>
          <w:color w:val="auto"/>
        </w:rPr>
      </w:pPr>
    </w:p>
    <w:p>
      <w:pPr>
        <w:sectPr>
          <w:pgSz w:w="11900" w:h="16838" w:orient="portrait"/>
          <w:cols w:equalWidth="0" w:num="2">
            <w:col w:w="5140" w:space="720"/>
            <w:col w:w="5220"/>
          </w:cols>
          <w:pgMar w:left="320" w:top="454" w:right="499" w:bottom="1440" w:gutter="0" w:footer="0" w:header="0"/>
          <w:type w:val="continuous"/>
        </w:sectPr>
      </w:pPr>
    </w:p>
    <w:p>
      <w:pPr>
        <w:spacing w:after="0" w:line="21" w:lineRule="exact"/>
        <w:rPr>
          <w:sz w:val="20"/>
          <w:szCs w:val="20"/>
          <w:color w:val="auto"/>
        </w:rPr>
      </w:pPr>
    </w:p>
    <w:p>
      <w:pPr>
        <w:ind w:left="160" w:right="180"/>
        <w:spacing w:after="0" w:line="244" w:lineRule="auto"/>
        <w:rPr>
          <w:sz w:val="20"/>
          <w:szCs w:val="20"/>
          <w:color w:val="auto"/>
        </w:rPr>
      </w:pPr>
      <w:r>
        <w:rPr>
          <w:rFonts w:ascii="Arial" w:cs="Arial" w:eastAsia="Arial" w:hAnsi="Arial"/>
          <w:sz w:val="13"/>
          <w:szCs w:val="13"/>
          <w:color w:val="auto"/>
        </w:rPr>
        <w:t>Certain statements in the letter are forward-looking. These forward-looking statements are based on certain assumptions and reflect our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the “Risk Factors” section of our 2023 annual report as well as in other materials that we from time to time file with, or furnish to, the Canadian securities regulatory authorities and the U.S. Securities and Exchange Commission (SEC). There is no assurance that any forward-looking statements will materialize. You are cautioned not to place undue reliance on forward-looking statements, which reflect expectations only as of this date. Except as may be required by applicable law, we disclaim any intention or obligation to update or revise any forward-looking statements.</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Non-International Financial Reporting Standards (non-IFRS) financial measures. Please see the note in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133985</wp:posOffset>
            </wp:positionV>
            <wp:extent cx="69297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Shareholder resources on our website</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Annual Meeting of Shareholders</w:t>
      </w:r>
    </w:p>
    <w:p>
      <w:pPr>
        <w:sectPr>
          <w:pgSz w:w="11900" w:h="16838" w:orient="portrait"/>
          <w:cols w:equalWidth="0" w:num="1">
            <w:col w:w="11080"/>
          </w:cols>
          <w:pgMar w:left="320" w:top="454" w:right="499" w:bottom="1440" w:gutter="0" w:footer="0" w:header="0"/>
        </w:sectPr>
      </w:pP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4140"/>
        <w:spacing w:after="0" w:line="467" w:lineRule="auto"/>
        <w:rPr>
          <w:sz w:val="20"/>
          <w:szCs w:val="20"/>
          <w:color w:val="auto"/>
        </w:rPr>
      </w:pPr>
      <w:r>
        <w:rPr>
          <w:rFonts w:ascii="Arial" w:cs="Arial" w:eastAsia="Arial" w:hAnsi="Arial"/>
          <w:sz w:val="17"/>
          <w:szCs w:val="17"/>
          <w:color w:val="auto"/>
        </w:rPr>
        <w:t xml:space="preserve">Management proxy circular – </w:t>
      </w:r>
      <w:r>
        <w:rPr>
          <w:rFonts w:ascii="Arial" w:cs="Arial" w:eastAsia="Arial" w:hAnsi="Arial"/>
          <w:sz w:val="17"/>
          <w:szCs w:val="17"/>
          <w:b w:val="1"/>
          <w:bCs w:val="1"/>
          <w:color w:val="335367"/>
        </w:rPr>
        <w:t>www.thomsonreuters.com/2024AGMcircular/</w:t>
      </w:r>
      <w:r>
        <w:rPr>
          <w:rFonts w:ascii="Arial" w:cs="Arial" w:eastAsia="Arial" w:hAnsi="Arial"/>
          <w:sz w:val="17"/>
          <w:szCs w:val="17"/>
          <w:color w:val="auto"/>
        </w:rPr>
        <w:t xml:space="preserve"> Annual report – </w:t>
      </w:r>
      <w:r>
        <w:rPr>
          <w:rFonts w:ascii="Arial" w:cs="Arial" w:eastAsia="Arial" w:hAnsi="Arial"/>
          <w:sz w:val="17"/>
          <w:szCs w:val="17"/>
          <w:b w:val="1"/>
          <w:bCs w:val="1"/>
          <w:color w:val="335367"/>
        </w:rPr>
        <w:t>www.thomsonreuters.com/2023annualreport/</w:t>
      </w:r>
    </w:p>
    <w:p>
      <w:pPr>
        <w:spacing w:after="0" w:line="2" w:lineRule="exact"/>
        <w:rPr>
          <w:sz w:val="20"/>
          <w:szCs w:val="20"/>
          <w:color w:val="auto"/>
        </w:rPr>
      </w:pPr>
    </w:p>
    <w:p>
      <w:pPr>
        <w:sectPr>
          <w:pgSz w:w="11900" w:h="16838" w:orient="portrait"/>
          <w:cols w:equalWidth="0" w:num="2">
            <w:col w:w="500" w:space="300"/>
            <w:col w:w="1028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8"/>
          <w:szCs w:val="18"/>
          <w:b w:val="1"/>
          <w:bCs w:val="1"/>
          <w:color w:val="auto"/>
        </w:rPr>
        <w:t>Corporate Governance Documents</w:t>
      </w:r>
    </w:p>
    <w:p>
      <w:pPr>
        <w:spacing w:after="0" w:line="114" w:lineRule="exact"/>
        <w:rPr>
          <w:sz w:val="20"/>
          <w:szCs w:val="20"/>
          <w:color w:val="auto"/>
        </w:rPr>
      </w:pPr>
    </w:p>
    <w:p>
      <w:pPr>
        <w:ind w:left="800" w:right="300" w:hanging="312"/>
        <w:spacing w:after="0" w:line="277" w:lineRule="auto"/>
        <w:tabs>
          <w:tab w:leader="none" w:pos="800" w:val="left"/>
        </w:tabs>
        <w:numPr>
          <w:ilvl w:val="0"/>
          <w:numId w:val="2"/>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Corporate Governance Guidelines, Board committee charters, and position descriptions – </w:t>
      </w:r>
      <w:r>
        <w:rPr>
          <w:rFonts w:ascii="Arial" w:cs="Arial" w:eastAsia="Arial" w:hAnsi="Arial"/>
          <w:sz w:val="18"/>
          <w:szCs w:val="18"/>
          <w:b w:val="1"/>
          <w:bCs w:val="1"/>
          <w:color w:val="335367"/>
        </w:rPr>
        <w:t>ir.thomsonreuters.com/corporate-governance/governance-highlights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14" w:lineRule="exact"/>
        <w:rPr>
          <w:sz w:val="20"/>
          <w:szCs w:val="20"/>
          <w:color w:val="auto"/>
        </w:rPr>
      </w:pPr>
    </w:p>
    <w:p>
      <w:pPr>
        <w:ind w:left="800" w:hanging="312"/>
        <w:spacing w:after="0"/>
        <w:tabs>
          <w:tab w:leader="none" w:pos="800" w:val="left"/>
        </w:tabs>
        <w:numPr>
          <w:ilvl w:val="0"/>
          <w:numId w:val="3"/>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Social Impact &amp; ESG Report – </w:t>
      </w:r>
      <w:r>
        <w:rPr>
          <w:rFonts w:ascii="Arial" w:cs="Arial" w:eastAsia="Arial" w:hAnsi="Arial"/>
          <w:sz w:val="18"/>
          <w:szCs w:val="18"/>
          <w:b w:val="1"/>
          <w:bCs w:val="1"/>
          <w:color w:val="335367"/>
        </w:rPr>
        <w:t>www.thomsonreuters.com/en/about-us/social-impact.html</w:t>
      </w:r>
    </w:p>
    <w:p>
      <w:pPr>
        <w:spacing w:after="0" w:line="127" w:lineRule="exact"/>
        <w:rPr>
          <w:rFonts w:ascii="Times New Roman" w:cs="Times New Roman" w:eastAsia="Times New Roman" w:hAnsi="Times New Roman"/>
          <w:sz w:val="16"/>
          <w:szCs w:val="16"/>
          <w:color w:val="B94831"/>
          <w:vertAlign w:val="superscript"/>
        </w:rPr>
      </w:pPr>
    </w:p>
    <w:p>
      <w:pPr>
        <w:ind w:left="800" w:hanging="312"/>
        <w:spacing w:after="0"/>
        <w:tabs>
          <w:tab w:leader="none" w:pos="800" w:val="left"/>
        </w:tabs>
        <w:numPr>
          <w:ilvl w:val="0"/>
          <w:numId w:val="3"/>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Code of Business Conduct and Ethics – </w:t>
      </w:r>
      <w:r>
        <w:rPr>
          <w:rFonts w:ascii="Arial" w:cs="Arial" w:eastAsia="Arial" w:hAnsi="Arial"/>
          <w:sz w:val="18"/>
          <w:szCs w:val="18"/>
          <w:b w:val="1"/>
          <w:bCs w:val="1"/>
          <w:color w:val="335367"/>
        </w:rPr>
        <w:t>ir.thomsonreuters.com/corporate-governance/code-conduct</w:t>
      </w:r>
    </w:p>
    <w:p>
      <w:pPr>
        <w:spacing w:after="0" w:line="127" w:lineRule="exact"/>
        <w:rPr>
          <w:rFonts w:ascii="Times New Roman" w:cs="Times New Roman" w:eastAsia="Times New Roman" w:hAnsi="Times New Roman"/>
          <w:sz w:val="16"/>
          <w:szCs w:val="16"/>
          <w:color w:val="B94831"/>
          <w:vertAlign w:val="superscript"/>
        </w:rPr>
      </w:pPr>
    </w:p>
    <w:p>
      <w:pPr>
        <w:ind w:left="800" w:hanging="312"/>
        <w:spacing w:after="0"/>
        <w:tabs>
          <w:tab w:leader="none" w:pos="800" w:val="left"/>
        </w:tabs>
        <w:numPr>
          <w:ilvl w:val="0"/>
          <w:numId w:val="3"/>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Supply Chain Ethical Code – </w:t>
      </w:r>
      <w:r>
        <w:rPr>
          <w:rFonts w:ascii="Arial" w:cs="Arial" w:eastAsia="Arial" w:hAnsi="Arial"/>
          <w:sz w:val="18"/>
          <w:szCs w:val="18"/>
          <w:b w:val="1"/>
          <w:bCs w:val="1"/>
          <w:color w:val="335367"/>
        </w:rPr>
        <w:t>www.thomsonreuters.com/en/resources/global-sourcing-procurement.html</w:t>
      </w:r>
    </w:p>
    <w:p>
      <w:pPr>
        <w:spacing w:after="0" w:line="127" w:lineRule="exact"/>
        <w:rPr>
          <w:rFonts w:ascii="Times New Roman" w:cs="Times New Roman" w:eastAsia="Times New Roman" w:hAnsi="Times New Roman"/>
          <w:sz w:val="16"/>
          <w:szCs w:val="16"/>
          <w:color w:val="B94831"/>
          <w:vertAlign w:val="superscript"/>
        </w:rPr>
      </w:pPr>
    </w:p>
    <w:p>
      <w:pPr>
        <w:ind w:left="800" w:hanging="312"/>
        <w:spacing w:after="0"/>
        <w:tabs>
          <w:tab w:leader="none" w:pos="800" w:val="left"/>
        </w:tabs>
        <w:numPr>
          <w:ilvl w:val="0"/>
          <w:numId w:val="3"/>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Human Rights Policy – </w:t>
      </w:r>
      <w:r>
        <w:rPr>
          <w:rFonts w:ascii="Arial" w:cs="Arial" w:eastAsia="Arial" w:hAnsi="Arial"/>
          <w:sz w:val="18"/>
          <w:szCs w:val="18"/>
          <w:b w:val="1"/>
          <w:bCs w:val="1"/>
          <w:color w:val="335367"/>
        </w:rPr>
        <w:t>www.thomsonreuters.com/en/policies/human-rights-policy.html</w:t>
      </w:r>
    </w:p>
    <w:p>
      <w:pPr>
        <w:spacing w:after="0" w:line="127" w:lineRule="exact"/>
        <w:rPr>
          <w:rFonts w:ascii="Times New Roman" w:cs="Times New Roman" w:eastAsia="Times New Roman" w:hAnsi="Times New Roman"/>
          <w:sz w:val="16"/>
          <w:szCs w:val="16"/>
          <w:color w:val="B94831"/>
          <w:vertAlign w:val="superscript"/>
        </w:rPr>
      </w:pPr>
    </w:p>
    <w:p>
      <w:pPr>
        <w:ind w:left="800" w:hanging="312"/>
        <w:spacing w:after="0"/>
        <w:tabs>
          <w:tab w:leader="none" w:pos="800" w:val="left"/>
        </w:tabs>
        <w:numPr>
          <w:ilvl w:val="0"/>
          <w:numId w:val="3"/>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Modern Slavery Act Transparency Statement – </w:t>
      </w:r>
      <w:r>
        <w:rPr>
          <w:rFonts w:ascii="Arial" w:cs="Arial" w:eastAsia="Arial" w:hAnsi="Arial"/>
          <w:sz w:val="18"/>
          <w:szCs w:val="18"/>
          <w:b w:val="1"/>
          <w:bCs w:val="1"/>
          <w:color w:val="335367"/>
        </w:rPr>
        <w:t>www.thomsonreuters.com/en/modern-slavery-act.html</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Products and Services – </w:t>
      </w:r>
      <w:r>
        <w:rPr>
          <w:rFonts w:ascii="Arial" w:cs="Arial" w:eastAsia="Arial" w:hAnsi="Arial"/>
          <w:sz w:val="18"/>
          <w:szCs w:val="18"/>
          <w:b w:val="1"/>
          <w:bCs w:val="1"/>
          <w:color w:val="335367"/>
        </w:rPr>
        <w:t>www.thomsonreuters.com</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Investor Relations – </w:t>
      </w:r>
      <w:r>
        <w:rPr>
          <w:rFonts w:ascii="Arial" w:cs="Arial" w:eastAsia="Arial" w:hAnsi="Arial"/>
          <w:sz w:val="18"/>
          <w:szCs w:val="18"/>
          <w:b w:val="1"/>
          <w:bCs w:val="1"/>
          <w:color w:val="335367"/>
        </w:rPr>
        <w:t>ir.thomsonreuters.com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Frequently Referenced Information</w:t>
      </w:r>
    </w:p>
    <w:p>
      <w:pPr>
        <w:spacing w:after="0" w:line="200" w:lineRule="exact"/>
        <w:rPr>
          <w:sz w:val="20"/>
          <w:szCs w:val="20"/>
          <w:color w:val="auto"/>
        </w:rPr>
      </w:pP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Auditor Fees</w:t>
            </w:r>
          </w:p>
        </w:tc>
        <w:tc>
          <w:tcPr>
            <w:tcW w:w="9380" w:type="dxa"/>
            <w:vAlign w:val="bottom"/>
            <w:gridSpan w:val="34"/>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1"/>
        </w:trPr>
        <w:tc>
          <w:tcPr>
            <w:tcW w:w="10400" w:type="dxa"/>
            <w:vAlign w:val="bottom"/>
            <w:gridSpan w:val="38"/>
          </w:tcPr>
          <w:p>
            <w:pPr>
              <w:spacing w:after="0" w:line="181" w:lineRule="exact"/>
              <w:rPr>
                <w:sz w:val="20"/>
                <w:szCs w:val="20"/>
                <w:color w:val="auto"/>
              </w:rPr>
            </w:pPr>
            <w:r>
              <w:rPr>
                <w:rFonts w:ascii="Arial" w:cs="Arial" w:eastAsia="Arial" w:hAnsi="Arial"/>
                <w:sz w:val="18"/>
                <w:szCs w:val="18"/>
                <w:color w:val="0000EE"/>
              </w:rPr>
              <w:t>Director Biographies</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5"/>
              </w:rPr>
              <w:t>20-26</w:t>
            </w:r>
          </w:p>
        </w:tc>
        <w:tc>
          <w:tcPr>
            <w:tcW w:w="0" w:type="dxa"/>
            <w:vAlign w:val="bottom"/>
          </w:tcPr>
          <w:p>
            <w:pPr>
              <w:spacing w:after="0"/>
              <w:rPr>
                <w:sz w:val="1"/>
                <w:szCs w:val="1"/>
                <w:color w:val="auto"/>
              </w:rPr>
            </w:pPr>
          </w:p>
        </w:tc>
      </w:tr>
      <w:tr>
        <w:trPr>
          <w:trHeight w:val="181"/>
        </w:trPr>
        <w:tc>
          <w:tcPr>
            <w:tcW w:w="1620" w:type="dxa"/>
            <w:vAlign w:val="bottom"/>
            <w:tcBorders>
              <w:top w:val="single" w:sz="8" w:color="0000EE"/>
              <w:bottom w:val="single" w:sz="8" w:color="0000EE"/>
            </w:tcBorders>
            <w:gridSpan w:val="10"/>
          </w:tcPr>
          <w:p>
            <w:pPr>
              <w:spacing w:after="0" w:line="181" w:lineRule="exact"/>
              <w:rPr>
                <w:sz w:val="20"/>
                <w:szCs w:val="20"/>
                <w:color w:val="auto"/>
              </w:rPr>
            </w:pPr>
            <w:r>
              <w:rPr>
                <w:rFonts w:ascii="Arial" w:cs="Arial" w:eastAsia="Arial" w:hAnsi="Arial"/>
                <w:sz w:val="18"/>
                <w:szCs w:val="18"/>
                <w:color w:val="0000EE"/>
                <w:w w:val="86"/>
              </w:rPr>
              <w:t>Director Compensation</w:t>
            </w:r>
          </w:p>
        </w:tc>
        <w:tc>
          <w:tcPr>
            <w:tcW w:w="18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5"/>
              </w:rPr>
              <w:t>27-30</w:t>
            </w:r>
          </w:p>
        </w:tc>
        <w:tc>
          <w:tcPr>
            <w:tcW w:w="0" w:type="dxa"/>
            <w:vAlign w:val="bottom"/>
          </w:tcPr>
          <w:p>
            <w:pPr>
              <w:spacing w:after="0"/>
              <w:rPr>
                <w:sz w:val="1"/>
                <w:szCs w:val="1"/>
                <w:color w:val="auto"/>
              </w:rPr>
            </w:pPr>
          </w:p>
        </w:tc>
      </w:tr>
      <w:tr>
        <w:trPr>
          <w:trHeight w:val="181"/>
        </w:trPr>
        <w:tc>
          <w:tcPr>
            <w:tcW w:w="1860" w:type="dxa"/>
            <w:vAlign w:val="bottom"/>
            <w:gridSpan w:val="14"/>
          </w:tcPr>
          <w:p>
            <w:pPr>
              <w:spacing w:after="0" w:line="181" w:lineRule="exact"/>
              <w:rPr>
                <w:sz w:val="20"/>
                <w:szCs w:val="20"/>
                <w:color w:val="auto"/>
              </w:rPr>
            </w:pPr>
            <w:r>
              <w:rPr>
                <w:rFonts w:ascii="Arial" w:cs="Arial" w:eastAsia="Arial" w:hAnsi="Arial"/>
                <w:sz w:val="18"/>
                <w:szCs w:val="18"/>
                <w:color w:val="0000EE"/>
              </w:rPr>
              <w:t>Director Independence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5"/>
              </w:rPr>
              <w:t>17-18</w:t>
            </w:r>
          </w:p>
        </w:tc>
        <w:tc>
          <w:tcPr>
            <w:tcW w:w="0" w:type="dxa"/>
            <w:vAlign w:val="bottom"/>
          </w:tcPr>
          <w:p>
            <w:pPr>
              <w:spacing w:after="0"/>
              <w:rPr>
                <w:sz w:val="1"/>
                <w:szCs w:val="1"/>
                <w:color w:val="auto"/>
              </w:rPr>
            </w:pPr>
          </w:p>
        </w:tc>
      </w:tr>
      <w:tr>
        <w:trPr>
          <w:trHeight w:val="181"/>
        </w:trPr>
        <w:tc>
          <w:tcPr>
            <w:tcW w:w="1820" w:type="dxa"/>
            <w:vAlign w:val="bottom"/>
            <w:tcBorders>
              <w:top w:val="single" w:sz="8" w:color="0000EE"/>
            </w:tcBorders>
            <w:gridSpan w:val="12"/>
          </w:tcPr>
          <w:p>
            <w:pPr>
              <w:spacing w:after="0" w:line="181" w:lineRule="exact"/>
              <w:rPr>
                <w:sz w:val="20"/>
                <w:szCs w:val="20"/>
                <w:color w:val="auto"/>
              </w:rPr>
            </w:pPr>
            <w:r>
              <w:rPr>
                <w:rFonts w:ascii="Arial" w:cs="Arial" w:eastAsia="Arial" w:hAnsi="Arial"/>
                <w:sz w:val="18"/>
                <w:szCs w:val="18"/>
                <w:color w:val="0000EE"/>
              </w:rPr>
              <w:t>ESG</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w w:val="95"/>
              </w:rPr>
              <w:t>87-98</w:t>
            </w:r>
          </w:p>
        </w:tc>
        <w:tc>
          <w:tcPr>
            <w:tcW w:w="0" w:type="dxa"/>
            <w:vAlign w:val="bottom"/>
          </w:tcPr>
          <w:p>
            <w:pPr>
              <w:spacing w:after="0" w:line="20" w:lineRule="exact"/>
              <w:rPr>
                <w:sz w:val="1"/>
                <w:szCs w:val="1"/>
                <w:color w:val="auto"/>
              </w:rPr>
            </w:pPr>
          </w:p>
        </w:tc>
      </w:tr>
      <w:tr>
        <w:trPr>
          <w:trHeight w:val="181"/>
        </w:trPr>
        <w:tc>
          <w:tcPr>
            <w:tcW w:w="10400" w:type="dxa"/>
            <w:vAlign w:val="bottom"/>
            <w:gridSpan w:val="38"/>
          </w:tcPr>
          <w:p>
            <w:pPr>
              <w:spacing w:after="0" w:line="181" w:lineRule="exact"/>
              <w:rPr>
                <w:sz w:val="20"/>
                <w:szCs w:val="20"/>
                <w:color w:val="auto"/>
              </w:rPr>
            </w:pPr>
            <w:r>
              <w:rPr>
                <w:rFonts w:ascii="Arial" w:cs="Arial" w:eastAsia="Arial" w:hAnsi="Arial"/>
                <w:sz w:val="18"/>
                <w:szCs w:val="18"/>
                <w:color w:val="0000EE"/>
              </w:rPr>
              <w:t>Executive Compensation</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00" w:type="dxa"/>
            <w:vAlign w:val="bottom"/>
            <w:tcBorders>
              <w:top w:val="single" w:sz="8" w:color="0000EE"/>
              <w:bottom w:val="single" w:sz="8" w:color="0000EE"/>
            </w:tcBorders>
            <w:gridSpan w:val="11"/>
          </w:tcPr>
          <w:p>
            <w:pPr>
              <w:spacing w:after="0" w:line="181" w:lineRule="exact"/>
              <w:rPr>
                <w:sz w:val="20"/>
                <w:szCs w:val="20"/>
                <w:color w:val="auto"/>
              </w:rPr>
            </w:pPr>
            <w:r>
              <w:rPr>
                <w:rFonts w:ascii="Arial" w:cs="Arial" w:eastAsia="Arial" w:hAnsi="Arial"/>
                <w:sz w:val="18"/>
                <w:szCs w:val="18"/>
                <w:color w:val="0000EE"/>
                <w:w w:val="98"/>
              </w:rPr>
              <w:t>Financial Performance</w:t>
            </w:r>
          </w:p>
        </w:tc>
        <w:tc>
          <w:tcPr>
            <w:tcW w:w="180" w:type="dxa"/>
            <w:vAlign w:val="bottom"/>
            <w:tcBorders>
              <w:top w:val="single" w:sz="8" w:color="0000EE"/>
            </w:tcBorders>
            <w:gridSpan w:val="8"/>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1"/>
        </w:trPr>
        <w:tc>
          <w:tcPr>
            <w:tcW w:w="10400" w:type="dxa"/>
            <w:vAlign w:val="bottom"/>
            <w:gridSpan w:val="38"/>
          </w:tcPr>
          <w:p>
            <w:pPr>
              <w:spacing w:after="0" w:line="181" w:lineRule="exact"/>
              <w:rPr>
                <w:sz w:val="20"/>
                <w:szCs w:val="20"/>
                <w:color w:val="auto"/>
              </w:rPr>
            </w:pPr>
            <w:r>
              <w:rPr>
                <w:rFonts w:ascii="Arial" w:cs="Arial" w:eastAsia="Arial" w:hAnsi="Arial"/>
                <w:sz w:val="18"/>
                <w:szCs w:val="18"/>
                <w:color w:val="0000EE"/>
              </w:rPr>
              <w:t>Human Capital Management</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5"/>
              </w:rPr>
              <w:t>48-49</w:t>
            </w:r>
          </w:p>
        </w:tc>
        <w:tc>
          <w:tcPr>
            <w:tcW w:w="0" w:type="dxa"/>
            <w:vAlign w:val="bottom"/>
          </w:tcPr>
          <w:p>
            <w:pPr>
              <w:spacing w:after="0"/>
              <w:rPr>
                <w:sz w:val="1"/>
                <w:szCs w:val="1"/>
                <w:color w:val="auto"/>
              </w:rPr>
            </w:pPr>
          </w:p>
        </w:tc>
      </w:tr>
      <w:tr>
        <w:trPr>
          <w:trHeight w:val="181"/>
        </w:trPr>
        <w:tc>
          <w:tcPr>
            <w:tcW w:w="2280" w:type="dxa"/>
            <w:vAlign w:val="bottom"/>
            <w:tcBorders>
              <w:top w:val="single" w:sz="8" w:color="0000EE"/>
            </w:tcBorders>
            <w:gridSpan w:val="21"/>
          </w:tcPr>
          <w:p>
            <w:pPr>
              <w:spacing w:after="0" w:line="181" w:lineRule="exact"/>
              <w:rPr>
                <w:sz w:val="20"/>
                <w:szCs w:val="20"/>
                <w:color w:val="auto"/>
              </w:rPr>
            </w:pPr>
            <w:r>
              <w:rPr>
                <w:rFonts w:ascii="Arial" w:cs="Arial" w:eastAsia="Arial" w:hAnsi="Arial"/>
                <w:sz w:val="18"/>
                <w:szCs w:val="18"/>
                <w:color w:val="0000EE"/>
              </w:rPr>
              <w:t>Peer Groups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w w:val="95"/>
              </w:rPr>
              <w:t>68-69</w:t>
            </w:r>
          </w:p>
        </w:tc>
        <w:tc>
          <w:tcPr>
            <w:tcW w:w="0" w:type="dxa"/>
            <w:vAlign w:val="bottom"/>
          </w:tcPr>
          <w:p>
            <w:pPr>
              <w:spacing w:after="0"/>
              <w:rPr>
                <w:sz w:val="1"/>
                <w:szCs w:val="1"/>
                <w:color w:val="auto"/>
              </w:rPr>
            </w:pPr>
          </w:p>
        </w:tc>
      </w:tr>
      <w:tr>
        <w:trPr>
          <w:trHeight w:val="181"/>
        </w:trPr>
        <w:tc>
          <w:tcPr>
            <w:tcW w:w="920" w:type="dxa"/>
            <w:vAlign w:val="bottom"/>
            <w:tcBorders>
              <w:top w:val="single" w:sz="8" w:color="0000EE"/>
              <w:bottom w:val="single" w:sz="8" w:color="0000EE"/>
            </w:tcBorders>
            <w:gridSpan w:val="3"/>
          </w:tcPr>
          <w:p>
            <w:pPr>
              <w:spacing w:after="0" w:line="181" w:lineRule="exact"/>
              <w:rPr>
                <w:sz w:val="20"/>
                <w:szCs w:val="20"/>
                <w:color w:val="auto"/>
              </w:rPr>
            </w:pPr>
            <w:r>
              <w:rPr>
                <w:rFonts w:ascii="Arial" w:cs="Arial" w:eastAsia="Arial" w:hAnsi="Arial"/>
                <w:sz w:val="18"/>
                <w:szCs w:val="18"/>
                <w:color w:val="0000EE"/>
                <w:w w:val="97"/>
              </w:rPr>
              <w:t>Say on Pay</w:t>
            </w:r>
          </w:p>
        </w:tc>
        <w:tc>
          <w:tcPr>
            <w:tcW w:w="10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973"/>
        </w:trPr>
        <w:tc>
          <w:tcPr>
            <w:tcW w:w="10400" w:type="dxa"/>
            <w:vAlign w:val="bottom"/>
            <w:gridSpan w:val="38"/>
          </w:tcPr>
          <w:p>
            <w:pPr>
              <w:spacing w:after="0"/>
              <w:rPr>
                <w:sz w:val="20"/>
                <w:szCs w:val="20"/>
                <w:color w:val="auto"/>
              </w:rPr>
            </w:pPr>
            <w:r>
              <w:rPr>
                <w:rFonts w:ascii="Arial" w:cs="Arial" w:eastAsia="Arial" w:hAnsi="Arial"/>
                <w:sz w:val="46"/>
                <w:szCs w:val="46"/>
                <w:color w:val="B94831"/>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10400" w:type="dxa"/>
            <w:vAlign w:val="bottom"/>
            <w:gridSpan w:val="38"/>
          </w:tcPr>
          <w:p>
            <w:pPr>
              <w:spacing w:after="0"/>
              <w:rPr>
                <w:sz w:val="20"/>
                <w:szCs w:val="20"/>
                <w:color w:val="auto"/>
              </w:rPr>
            </w:pPr>
            <w:r>
              <w:rPr>
                <w:rFonts w:ascii="Arial" w:cs="Arial" w:eastAsia="Arial" w:hAnsi="Arial"/>
                <w:sz w:val="18"/>
                <w:szCs w:val="18"/>
                <w:color w:val="0000EE"/>
              </w:rPr>
              <w:t>Fast Facts About Thomson Reuters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1"/>
        </w:trPr>
        <w:tc>
          <w:tcPr>
            <w:tcW w:w="10400" w:type="dxa"/>
            <w:vAlign w:val="bottom"/>
            <w:gridSpan w:val="38"/>
          </w:tcPr>
          <w:p>
            <w:pPr>
              <w:spacing w:after="0" w:line="181" w:lineRule="exact"/>
              <w:rPr>
                <w:sz w:val="20"/>
                <w:szCs w:val="20"/>
                <w:color w:val="auto"/>
              </w:rPr>
            </w:pPr>
            <w:r>
              <w:rPr>
                <w:rFonts w:ascii="Arial" w:cs="Arial" w:eastAsia="Arial" w:hAnsi="Arial"/>
                <w:sz w:val="18"/>
                <w:szCs w:val="18"/>
                <w:color w:val="0000EE"/>
              </w:rPr>
              <w:t>About this Circular and Related Proxy Materials</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tcBorders>
              <w:top w:val="single" w:sz="8" w:color="0000EE"/>
            </w:tcBorders>
            <w:gridSpan w:val="30"/>
          </w:tcPr>
          <w:p>
            <w:pPr>
              <w:spacing w:after="0" w:line="181" w:lineRule="exact"/>
              <w:rPr>
                <w:sz w:val="20"/>
                <w:szCs w:val="20"/>
                <w:color w:val="auto"/>
              </w:rPr>
            </w:pPr>
            <w:r>
              <w:rPr>
                <w:rFonts w:ascii="Arial" w:cs="Arial" w:eastAsia="Arial" w:hAnsi="Arial"/>
                <w:sz w:val="18"/>
                <w:szCs w:val="18"/>
                <w:color w:val="0000EE"/>
              </w:rPr>
              <w:t>Business of the Meeting</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1"/>
        </w:trPr>
        <w:tc>
          <w:tcPr>
            <w:tcW w:w="1940" w:type="dxa"/>
            <w:vAlign w:val="bottom"/>
            <w:tcBorders>
              <w:top w:val="single" w:sz="8" w:color="0000EE"/>
            </w:tcBorders>
            <w:gridSpan w:val="18"/>
          </w:tcPr>
          <w:p>
            <w:pPr>
              <w:spacing w:after="0" w:line="181" w:lineRule="exact"/>
              <w:rPr>
                <w:sz w:val="20"/>
                <w:szCs w:val="20"/>
                <w:color w:val="auto"/>
              </w:rPr>
            </w:pPr>
            <w:r>
              <w:rPr>
                <w:rFonts w:ascii="Arial" w:cs="Arial" w:eastAsia="Arial" w:hAnsi="Arial"/>
                <w:sz w:val="18"/>
                <w:szCs w:val="18"/>
                <w:color w:val="0000EE"/>
              </w:rPr>
              <w:t>Voting Information and</w:t>
            </w:r>
          </w:p>
        </w:tc>
        <w:tc>
          <w:tcPr>
            <w:tcW w:w="8460" w:type="dxa"/>
            <w:vAlign w:val="bottom"/>
            <w:gridSpan w:val="20"/>
          </w:tcPr>
          <w:p>
            <w:pPr>
              <w:spacing w:after="0" w:line="181" w:lineRule="exact"/>
              <w:rPr>
                <w:sz w:val="20"/>
                <w:szCs w:val="20"/>
                <w:color w:val="auto"/>
              </w:rPr>
            </w:pPr>
            <w:r>
              <w:rPr>
                <w:rFonts w:ascii="Arial" w:cs="Arial" w:eastAsia="Arial" w:hAnsi="Arial"/>
                <w:sz w:val="18"/>
                <w:szCs w:val="18"/>
                <w:color w:val="0000EE"/>
              </w:rPr>
              <w:t>How to Attend</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81"/>
        </w:trPr>
        <w:tc>
          <w:tcPr>
            <w:tcW w:w="10400" w:type="dxa"/>
            <w:vAlign w:val="bottom"/>
            <w:gridSpan w:val="38"/>
          </w:tcPr>
          <w:p>
            <w:pPr>
              <w:spacing w:after="0" w:line="181" w:lineRule="exact"/>
              <w:rPr>
                <w:sz w:val="20"/>
                <w:szCs w:val="20"/>
                <w:color w:val="auto"/>
              </w:rPr>
            </w:pPr>
            <w:r>
              <w:rPr>
                <w:rFonts w:ascii="Arial" w:cs="Arial" w:eastAsia="Arial" w:hAnsi="Arial"/>
                <w:sz w:val="18"/>
                <w:szCs w:val="18"/>
                <w:color w:val="0000EE"/>
              </w:rPr>
              <w:t>Annual and Quarterly Financial Statements and Related MD&amp;A</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80" w:type="dxa"/>
            <w:vAlign w:val="bottom"/>
            <w:tcBorders>
              <w:top w:val="single" w:sz="8" w:color="0000EE"/>
            </w:tcBorders>
            <w:gridSpan w:val="36"/>
          </w:tcPr>
          <w:p>
            <w:pPr>
              <w:spacing w:after="0" w:line="181" w:lineRule="exact"/>
              <w:rPr>
                <w:sz w:val="20"/>
                <w:szCs w:val="20"/>
                <w:color w:val="auto"/>
              </w:rPr>
            </w:pPr>
            <w:r>
              <w:rPr>
                <w:rFonts w:ascii="Arial" w:cs="Arial" w:eastAsia="Arial" w:hAnsi="Arial"/>
                <w:sz w:val="18"/>
                <w:szCs w:val="18"/>
                <w:color w:val="0000EE"/>
              </w:rPr>
              <w:t>Notice-and-Access</w:t>
            </w:r>
          </w:p>
        </w:tc>
        <w:tc>
          <w:tcPr>
            <w:tcW w:w="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1520" w:type="dxa"/>
            <w:vAlign w:val="bottom"/>
            <w:tcBorders>
              <w:top w:val="single" w:sz="8" w:color="0000EE"/>
            </w:tcBorders>
            <w:gridSpan w:val="8"/>
          </w:tcPr>
          <w:p>
            <w:pPr>
              <w:spacing w:after="0" w:line="181" w:lineRule="exact"/>
              <w:rPr>
                <w:sz w:val="20"/>
                <w:szCs w:val="20"/>
                <w:color w:val="auto"/>
              </w:rPr>
            </w:pPr>
            <w:r>
              <w:rPr>
                <w:rFonts w:ascii="Arial" w:cs="Arial" w:eastAsia="Arial" w:hAnsi="Arial"/>
                <w:sz w:val="18"/>
                <w:szCs w:val="18"/>
                <w:color w:val="0000EE"/>
              </w:rPr>
              <w:t>Electronic Delivery</w:t>
            </w:r>
          </w:p>
        </w:tc>
        <w:tc>
          <w:tcPr>
            <w:tcW w:w="8880" w:type="dxa"/>
            <w:vAlign w:val="bottom"/>
            <w:gridSpan w:val="30"/>
          </w:tcPr>
          <w:p>
            <w:pPr>
              <w:ind w:left="20"/>
              <w:spacing w:after="0" w:line="181" w:lineRule="exact"/>
              <w:rPr>
                <w:sz w:val="20"/>
                <w:szCs w:val="20"/>
                <w:color w:val="auto"/>
              </w:rPr>
            </w:pPr>
            <w:r>
              <w:rPr>
                <w:rFonts w:ascii="Arial" w:cs="Arial" w:eastAsia="Arial" w:hAnsi="Arial"/>
                <w:sz w:val="18"/>
                <w:szCs w:val="18"/>
                <w:color w:val="0000EE"/>
              </w:rPr>
              <w:t>of Shareholder Communications</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4080" w:type="dxa"/>
            <w:vAlign w:val="bottom"/>
            <w:tcBorders>
              <w:top w:val="single" w:sz="8" w:color="0000EE"/>
            </w:tcBorders>
            <w:gridSpan w:val="32"/>
          </w:tcPr>
          <w:p>
            <w:pPr>
              <w:spacing w:after="0" w:line="181" w:lineRule="exact"/>
              <w:rPr>
                <w:sz w:val="20"/>
                <w:szCs w:val="20"/>
                <w:color w:val="auto"/>
              </w:rPr>
            </w:pPr>
            <w:r>
              <w:rPr>
                <w:rFonts w:ascii="Arial" w:cs="Arial" w:eastAsia="Arial" w:hAnsi="Arial"/>
                <w:sz w:val="18"/>
                <w:szCs w:val="18"/>
                <w:color w:val="0000EE"/>
              </w:rPr>
              <w:t>Principal Shareholder and Share Capital</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1"/>
        </w:trPr>
        <w:tc>
          <w:tcPr>
            <w:tcW w:w="3180" w:type="dxa"/>
            <w:vAlign w:val="bottom"/>
            <w:tcBorders>
              <w:top w:val="single" w:sz="8" w:color="0000EE"/>
            </w:tcBorders>
            <w:gridSpan w:val="28"/>
          </w:tcPr>
          <w:p>
            <w:pPr>
              <w:spacing w:after="0" w:line="181" w:lineRule="exact"/>
              <w:rPr>
                <w:sz w:val="20"/>
                <w:szCs w:val="20"/>
                <w:color w:val="auto"/>
              </w:rPr>
            </w:pPr>
            <w:r>
              <w:rPr>
                <w:rFonts w:ascii="Arial" w:cs="Arial" w:eastAsia="Arial" w:hAnsi="Arial"/>
                <w:sz w:val="18"/>
                <w:szCs w:val="18"/>
                <w:color w:val="0000EE"/>
              </w:rPr>
              <w:t>About Our Directors</w:t>
            </w:r>
          </w:p>
        </w:tc>
        <w:tc>
          <w:tcPr>
            <w:tcW w:w="20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1"/>
        </w:trPr>
        <w:tc>
          <w:tcPr>
            <w:tcW w:w="240" w:type="dxa"/>
            <w:vAlign w:val="bottom"/>
          </w:tcPr>
          <w:p>
            <w:pPr>
              <w:spacing w:after="0"/>
              <w:rPr>
                <w:sz w:val="15"/>
                <w:szCs w:val="15"/>
                <w:color w:val="auto"/>
              </w:rPr>
            </w:pPr>
          </w:p>
        </w:tc>
        <w:tc>
          <w:tcPr>
            <w:tcW w:w="10160" w:type="dxa"/>
            <w:vAlign w:val="bottom"/>
            <w:gridSpan w:val="37"/>
          </w:tcPr>
          <w:p>
            <w:pPr>
              <w:spacing w:after="0" w:line="181" w:lineRule="exact"/>
              <w:rPr>
                <w:sz w:val="20"/>
                <w:szCs w:val="20"/>
                <w:color w:val="auto"/>
              </w:rPr>
            </w:pPr>
            <w:r>
              <w:rPr>
                <w:rFonts w:ascii="Arial" w:cs="Arial" w:eastAsia="Arial" w:hAnsi="Arial"/>
                <w:sz w:val="18"/>
                <w:szCs w:val="18"/>
                <w:color w:val="0000EE"/>
              </w:rPr>
              <w:t>Nominee Information</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16"/>
          </w:tcPr>
          <w:p>
            <w:pPr>
              <w:spacing w:after="0" w:line="181" w:lineRule="exact"/>
              <w:rPr>
                <w:sz w:val="20"/>
                <w:szCs w:val="20"/>
                <w:color w:val="auto"/>
              </w:rPr>
            </w:pPr>
            <w:r>
              <w:rPr>
                <w:rFonts w:ascii="Arial" w:cs="Arial" w:eastAsia="Arial" w:hAnsi="Arial"/>
                <w:sz w:val="18"/>
                <w:szCs w:val="18"/>
                <w:color w:val="0000EE"/>
                <w:w w:val="90"/>
              </w:rPr>
              <w:t>Director Compensation</w:t>
            </w:r>
          </w:p>
        </w:tc>
        <w:tc>
          <w:tcPr>
            <w:tcW w:w="100" w:type="dxa"/>
            <w:vAlign w:val="bottom"/>
            <w:tcBorders>
              <w:bottom w:val="single" w:sz="8" w:color="0000EE"/>
            </w:tcBorders>
            <w:gridSpan w:val="3"/>
          </w:tcPr>
          <w:p>
            <w:pPr>
              <w:spacing w:after="0"/>
              <w:rPr>
                <w:sz w:val="15"/>
                <w:szCs w:val="15"/>
                <w:color w:val="auto"/>
              </w:rPr>
            </w:pPr>
          </w:p>
        </w:tc>
        <w:tc>
          <w:tcPr>
            <w:tcW w:w="1820" w:type="dxa"/>
            <w:vAlign w:val="bottom"/>
            <w:tcBorders>
              <w:bottom w:val="single" w:sz="8" w:color="0000EE"/>
            </w:tcBorders>
            <w:gridSpan w:val="11"/>
          </w:tcPr>
          <w:p>
            <w:pPr>
              <w:ind w:left="100"/>
              <w:spacing w:after="0" w:line="181" w:lineRule="exact"/>
              <w:rPr>
                <w:sz w:val="20"/>
                <w:szCs w:val="20"/>
                <w:color w:val="auto"/>
              </w:rPr>
            </w:pPr>
            <w:r>
              <w:rPr>
                <w:rFonts w:ascii="Arial" w:cs="Arial" w:eastAsia="Arial" w:hAnsi="Arial"/>
                <w:sz w:val="18"/>
                <w:szCs w:val="18"/>
                <w:color w:val="0000EE"/>
                <w:w w:val="97"/>
              </w:rPr>
              <w:t>and Share Ownership</w:t>
            </w:r>
          </w:p>
        </w:tc>
        <w:tc>
          <w:tcPr>
            <w:tcW w:w="6560" w:type="dxa"/>
            <w:vAlign w:val="bottom"/>
            <w:gridSpan w:val="7"/>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1"/>
        </w:trPr>
        <w:tc>
          <w:tcPr>
            <w:tcW w:w="3840" w:type="dxa"/>
            <w:vAlign w:val="bottom"/>
            <w:gridSpan w:val="31"/>
          </w:tcPr>
          <w:p>
            <w:pPr>
              <w:spacing w:after="0" w:line="181" w:lineRule="exact"/>
              <w:rPr>
                <w:sz w:val="20"/>
                <w:szCs w:val="20"/>
                <w:color w:val="auto"/>
              </w:rPr>
            </w:pPr>
            <w:r>
              <w:rPr>
                <w:rFonts w:ascii="Arial" w:cs="Arial" w:eastAsia="Arial" w:hAnsi="Arial"/>
                <w:sz w:val="18"/>
                <w:szCs w:val="18"/>
                <w:color w:val="0000EE"/>
              </w:rPr>
              <w:t>Corporate Governance Practices</w:t>
            </w:r>
          </w:p>
        </w:tc>
        <w:tc>
          <w:tcPr>
            <w:tcW w:w="5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1"/>
        </w:trPr>
        <w:tc>
          <w:tcPr>
            <w:tcW w:w="240" w:type="dxa"/>
            <w:vAlign w:val="bottom"/>
          </w:tcPr>
          <w:p>
            <w:pPr>
              <w:spacing w:after="0"/>
              <w:rPr>
                <w:sz w:val="15"/>
                <w:szCs w:val="15"/>
                <w:color w:val="auto"/>
              </w:rPr>
            </w:pPr>
          </w:p>
        </w:tc>
        <w:tc>
          <w:tcPr>
            <w:tcW w:w="10160" w:type="dxa"/>
            <w:vAlign w:val="bottom"/>
            <w:gridSpan w:val="37"/>
          </w:tcPr>
          <w:p>
            <w:pPr>
              <w:spacing w:after="0" w:line="181" w:lineRule="exact"/>
              <w:rPr>
                <w:sz w:val="20"/>
                <w:szCs w:val="20"/>
                <w:color w:val="auto"/>
              </w:rPr>
            </w:pPr>
            <w:r>
              <w:rPr>
                <w:rFonts w:ascii="Arial" w:cs="Arial" w:eastAsia="Arial" w:hAnsi="Arial"/>
                <w:sz w:val="18"/>
                <w:szCs w:val="18"/>
                <w:color w:val="0000EE"/>
              </w:rPr>
              <w:t>Board Composition and Responsibilities</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3140" w:type="dxa"/>
            <w:vAlign w:val="bottom"/>
            <w:tcBorders>
              <w:top w:val="single" w:sz="8" w:color="0000EE"/>
            </w:tcBorders>
            <w:gridSpan w:val="28"/>
          </w:tcPr>
          <w:p>
            <w:pPr>
              <w:spacing w:after="0" w:line="181" w:lineRule="exact"/>
              <w:rPr>
                <w:sz w:val="20"/>
                <w:szCs w:val="20"/>
                <w:color w:val="auto"/>
              </w:rPr>
            </w:pPr>
            <w:r>
              <w:rPr>
                <w:rFonts w:ascii="Arial" w:cs="Arial" w:eastAsia="Arial" w:hAnsi="Arial"/>
                <w:sz w:val="18"/>
                <w:szCs w:val="18"/>
                <w:color w:val="0000EE"/>
              </w:rPr>
              <w:t>Director Attendance</w:t>
            </w:r>
          </w:p>
        </w:tc>
        <w:tc>
          <w:tcPr>
            <w:tcW w:w="102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12"/>
          </w:tcPr>
          <w:p>
            <w:pPr>
              <w:spacing w:after="0" w:line="181" w:lineRule="exact"/>
              <w:rPr>
                <w:sz w:val="20"/>
                <w:szCs w:val="20"/>
                <w:color w:val="auto"/>
              </w:rPr>
            </w:pPr>
            <w:r>
              <w:rPr>
                <w:rFonts w:ascii="Arial" w:cs="Arial" w:eastAsia="Arial" w:hAnsi="Arial"/>
                <w:sz w:val="18"/>
                <w:szCs w:val="18"/>
                <w:color w:val="0000EE"/>
                <w:w w:val="96"/>
              </w:rPr>
              <w:t>Controlled Company</w:t>
            </w: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0" w:type="dxa"/>
            <w:vAlign w:val="bottom"/>
            <w:gridSpan w:val="4"/>
          </w:tcPr>
          <w:p>
            <w:pPr>
              <w:spacing w:after="0"/>
              <w:rPr>
                <w:sz w:val="15"/>
                <w:szCs w:val="15"/>
                <w:color w:val="auto"/>
              </w:rPr>
            </w:pPr>
          </w:p>
        </w:tc>
        <w:tc>
          <w:tcPr>
            <w:tcW w:w="460" w:type="dxa"/>
            <w:vAlign w:val="bottom"/>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1"/>
        </w:trPr>
        <w:tc>
          <w:tcPr>
            <w:tcW w:w="1900" w:type="dxa"/>
            <w:vAlign w:val="bottom"/>
            <w:gridSpan w:val="16"/>
          </w:tcPr>
          <w:p>
            <w:pPr>
              <w:spacing w:after="0" w:line="181" w:lineRule="exact"/>
              <w:rPr>
                <w:sz w:val="20"/>
                <w:szCs w:val="20"/>
                <w:color w:val="auto"/>
              </w:rPr>
            </w:pPr>
            <w:r>
              <w:rPr>
                <w:rFonts w:ascii="Arial" w:cs="Arial" w:eastAsia="Arial" w:hAnsi="Arial"/>
                <w:sz w:val="18"/>
                <w:szCs w:val="18"/>
                <w:color w:val="0000EE"/>
              </w:rPr>
              <w:t>Board Committees</w:t>
            </w:r>
          </w:p>
        </w:tc>
        <w:tc>
          <w:tcPr>
            <w:tcW w:w="120" w:type="dxa"/>
            <w:vAlign w:val="bottom"/>
            <w:gridSpan w:val="4"/>
          </w:tcPr>
          <w:p>
            <w:pPr>
              <w:spacing w:after="0"/>
              <w:rPr>
                <w:sz w:val="15"/>
                <w:szCs w:val="15"/>
                <w:color w:val="auto"/>
              </w:rPr>
            </w:pPr>
          </w:p>
        </w:tc>
        <w:tc>
          <w:tcPr>
            <w:tcW w:w="460" w:type="dxa"/>
            <w:vAlign w:val="bottom"/>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1"/>
        </w:trPr>
        <w:tc>
          <w:tcPr>
            <w:tcW w:w="240" w:type="dxa"/>
            <w:vAlign w:val="bottom"/>
            <w:tcBorders>
              <w:top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5"/>
          </w:tcPr>
          <w:p>
            <w:pPr>
              <w:spacing w:after="0" w:line="181" w:lineRule="exact"/>
              <w:rPr>
                <w:sz w:val="20"/>
                <w:szCs w:val="20"/>
                <w:color w:val="auto"/>
              </w:rPr>
            </w:pPr>
            <w:r>
              <w:rPr>
                <w:rFonts w:ascii="Arial" w:cs="Arial" w:eastAsia="Arial" w:hAnsi="Arial"/>
                <w:sz w:val="18"/>
                <w:szCs w:val="18"/>
                <w:color w:val="0000EE"/>
                <w:w w:val="91"/>
              </w:rPr>
              <w:t>Audit Committee</w:t>
            </w:r>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460" w:type="dxa"/>
            <w:vAlign w:val="bottom"/>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0160" w:type="dxa"/>
            <w:vAlign w:val="bottom"/>
            <w:gridSpan w:val="37"/>
          </w:tcPr>
          <w:p>
            <w:pPr>
              <w:spacing w:after="0" w:line="181" w:lineRule="exact"/>
              <w:rPr>
                <w:sz w:val="20"/>
                <w:szCs w:val="20"/>
                <w:color w:val="auto"/>
              </w:rPr>
            </w:pPr>
            <w:r>
              <w:rPr>
                <w:rFonts w:ascii="Arial" w:cs="Arial" w:eastAsia="Arial" w:hAnsi="Arial"/>
                <w:sz w:val="18"/>
                <w:szCs w:val="18"/>
                <w:color w:val="0000EE"/>
              </w:rPr>
              <w:t>Corporate Governance Committee</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2720" w:type="dxa"/>
            <w:vAlign w:val="bottom"/>
            <w:tcBorders>
              <w:top w:val="single" w:sz="8" w:color="0000EE"/>
            </w:tcBorders>
            <w:gridSpan w:val="25"/>
          </w:tcPr>
          <w:p>
            <w:pPr>
              <w:spacing w:after="0" w:line="181" w:lineRule="exact"/>
              <w:rPr>
                <w:sz w:val="20"/>
                <w:szCs w:val="20"/>
                <w:color w:val="auto"/>
              </w:rPr>
            </w:pPr>
            <w:r>
              <w:rPr>
                <w:rFonts w:ascii="Arial" w:cs="Arial" w:eastAsia="Arial" w:hAnsi="Arial"/>
                <w:sz w:val="18"/>
                <w:szCs w:val="18"/>
                <w:color w:val="0000EE"/>
              </w:rPr>
              <w:t>HR Committee</w:t>
            </w:r>
          </w:p>
        </w:tc>
        <w:tc>
          <w:tcPr>
            <w:tcW w:w="160" w:type="dxa"/>
            <w:vAlign w:val="bottom"/>
          </w:tcPr>
          <w:p>
            <w:pPr>
              <w:spacing w:after="0"/>
              <w:rPr>
                <w:sz w:val="15"/>
                <w:szCs w:val="15"/>
                <w:color w:val="auto"/>
              </w:rPr>
            </w:pPr>
          </w:p>
        </w:tc>
        <w:tc>
          <w:tcPr>
            <w:tcW w:w="128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4"/>
          </w:tcPr>
          <w:p>
            <w:pPr>
              <w:spacing w:after="0" w:line="181" w:lineRule="exact"/>
              <w:rPr>
                <w:sz w:val="20"/>
                <w:szCs w:val="20"/>
                <w:color w:val="auto"/>
              </w:rPr>
            </w:pPr>
            <w:r>
              <w:rPr>
                <w:rFonts w:ascii="Arial" w:cs="Arial" w:eastAsia="Arial" w:hAnsi="Arial"/>
                <w:sz w:val="18"/>
                <w:szCs w:val="18"/>
                <w:color w:val="0000EE"/>
                <w:w w:val="89"/>
              </w:rPr>
              <w:t>Risk Committee</w:t>
            </w:r>
          </w:p>
        </w:tc>
        <w:tc>
          <w:tcPr>
            <w:tcW w:w="100" w:type="dxa"/>
            <w:vAlign w:val="bottom"/>
            <w:tcBorders>
              <w:bottom w:val="single" w:sz="8" w:color="0000EE"/>
            </w:tcBorders>
            <w:gridSpan w:val="2"/>
          </w:tcPr>
          <w:p>
            <w:pPr>
              <w:spacing w:after="0"/>
              <w:rPr>
                <w:sz w:val="15"/>
                <w:szCs w:val="15"/>
                <w:color w:val="auto"/>
              </w:rPr>
            </w:pPr>
          </w:p>
        </w:tc>
        <w:tc>
          <w:tcPr>
            <w:tcW w:w="3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460" w:type="dxa"/>
            <w:vAlign w:val="bottom"/>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0160" w:type="dxa"/>
            <w:vAlign w:val="bottom"/>
            <w:gridSpan w:val="37"/>
          </w:tcPr>
          <w:p>
            <w:pPr>
              <w:spacing w:after="0" w:line="181" w:lineRule="exact"/>
              <w:rPr>
                <w:sz w:val="20"/>
                <w:szCs w:val="20"/>
                <w:color w:val="auto"/>
              </w:rPr>
            </w:pPr>
            <w:r>
              <w:rPr>
                <w:rFonts w:ascii="Arial" w:cs="Arial" w:eastAsia="Arial" w:hAnsi="Arial"/>
                <w:sz w:val="18"/>
                <w:szCs w:val="18"/>
                <w:color w:val="0000EE"/>
              </w:rPr>
              <w:t>Joint Audit Committee and Risk Committee Meetings</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4700" w:type="dxa"/>
            <w:vAlign w:val="bottom"/>
            <w:vMerge w:val="restart"/>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81"/>
        </w:trPr>
        <w:tc>
          <w:tcPr>
            <w:tcW w:w="4400" w:type="dxa"/>
            <w:vAlign w:val="bottom"/>
            <w:gridSpan w:val="33"/>
          </w:tcPr>
          <w:p>
            <w:pPr>
              <w:spacing w:after="0" w:line="181" w:lineRule="exact"/>
              <w:rPr>
                <w:sz w:val="20"/>
                <w:szCs w:val="20"/>
                <w:color w:val="auto"/>
              </w:rPr>
            </w:pPr>
            <w:r>
              <w:rPr>
                <w:rFonts w:ascii="Arial" w:cs="Arial" w:eastAsia="Arial" w:hAnsi="Arial"/>
                <w:sz w:val="18"/>
                <w:szCs w:val="18"/>
                <w:color w:val="0000EE"/>
              </w:rPr>
              <w:t>About Our Independent Auditor</w:t>
            </w:r>
          </w:p>
        </w:tc>
        <w:tc>
          <w:tcPr>
            <w:tcW w:w="1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tcBorders>
              <w:top w:val="single" w:sz="8" w:color="0000EE"/>
            </w:tcBorders>
            <w:gridSpan w:val="22"/>
          </w:tcPr>
          <w:p>
            <w:pPr>
              <w:spacing w:after="0" w:line="181" w:lineRule="exact"/>
              <w:rPr>
                <w:sz w:val="20"/>
                <w:szCs w:val="20"/>
                <w:color w:val="auto"/>
              </w:rPr>
            </w:pPr>
            <w:r>
              <w:rPr>
                <w:rFonts w:ascii="Arial" w:cs="Arial" w:eastAsia="Arial" w:hAnsi="Arial"/>
                <w:sz w:val="18"/>
                <w:szCs w:val="18"/>
                <w:color w:val="0000EE"/>
              </w:rPr>
              <w:t>Stakeholder Engagement</w:t>
            </w:r>
          </w:p>
        </w:tc>
        <w:tc>
          <w:tcPr>
            <w:tcW w:w="4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1"/>
        </w:trPr>
        <w:tc>
          <w:tcPr>
            <w:tcW w:w="2020" w:type="dxa"/>
            <w:vAlign w:val="bottom"/>
            <w:tcBorders>
              <w:top w:val="single" w:sz="8" w:color="0000EE"/>
            </w:tcBorders>
            <w:gridSpan w:val="20"/>
          </w:tcPr>
          <w:p>
            <w:pPr>
              <w:spacing w:after="0" w:line="181" w:lineRule="exact"/>
              <w:rPr>
                <w:sz w:val="20"/>
                <w:szCs w:val="20"/>
                <w:color w:val="auto"/>
              </w:rPr>
            </w:pPr>
            <w:r>
              <w:rPr>
                <w:rFonts w:ascii="Arial" w:cs="Arial" w:eastAsia="Arial" w:hAnsi="Arial"/>
                <w:sz w:val="18"/>
                <w:szCs w:val="18"/>
                <w:color w:val="0000EE"/>
              </w:rPr>
              <w:t>ESG</w:t>
            </w:r>
          </w:p>
        </w:tc>
        <w:tc>
          <w:tcPr>
            <w:tcW w:w="9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81"/>
        </w:trPr>
        <w:tc>
          <w:tcPr>
            <w:tcW w:w="10400" w:type="dxa"/>
            <w:vAlign w:val="bottom"/>
            <w:gridSpan w:val="38"/>
          </w:tcPr>
          <w:p>
            <w:pPr>
              <w:spacing w:after="0" w:line="181" w:lineRule="exact"/>
              <w:rPr>
                <w:sz w:val="20"/>
                <w:szCs w:val="20"/>
                <w:color w:val="auto"/>
              </w:rPr>
            </w:pPr>
            <w:r>
              <w:rPr>
                <w:rFonts w:ascii="Arial" w:cs="Arial" w:eastAsia="Arial" w:hAnsi="Arial"/>
                <w:sz w:val="18"/>
                <w:szCs w:val="18"/>
                <w:color w:val="0000EE"/>
              </w:rPr>
              <w:t>Advisory Resolution on Executive Compensation (Say on Pay)</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40" w:type="dxa"/>
            <w:vAlign w:val="bottom"/>
            <w:tcBorders>
              <w:top w:val="single" w:sz="8" w:color="0000EE"/>
            </w:tcBorders>
            <w:gridSpan w:val="35"/>
          </w:tcPr>
          <w:p>
            <w:pPr>
              <w:spacing w:after="0" w:line="181" w:lineRule="exact"/>
              <w:rPr>
                <w:sz w:val="20"/>
                <w:szCs w:val="20"/>
                <w:color w:val="auto"/>
              </w:rPr>
            </w:pPr>
            <w:r>
              <w:rPr>
                <w:rFonts w:ascii="Arial" w:cs="Arial" w:eastAsia="Arial" w:hAnsi="Arial"/>
                <w:sz w:val="18"/>
                <w:szCs w:val="18"/>
                <w:color w:val="0000EE"/>
              </w:rPr>
              <w:t>Compensation Discussion and Analysis</w:t>
            </w:r>
          </w:p>
        </w:tc>
        <w:tc>
          <w:tcPr>
            <w:tcW w:w="760" w:type="dxa"/>
            <w:vAlign w:val="bottom"/>
            <w:gridSpan w:val="2"/>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1"/>
        </w:trPr>
        <w:tc>
          <w:tcPr>
            <w:tcW w:w="240" w:type="dxa"/>
            <w:vAlign w:val="bottom"/>
            <w:tcBorders>
              <w:top w:val="single" w:sz="8" w:color="0000EE"/>
            </w:tcBorders>
          </w:tcPr>
          <w:p>
            <w:pPr>
              <w:spacing w:after="0"/>
              <w:rPr>
                <w:sz w:val="15"/>
                <w:szCs w:val="15"/>
                <w:color w:val="auto"/>
              </w:rPr>
            </w:pPr>
          </w:p>
        </w:tc>
        <w:tc>
          <w:tcPr>
            <w:tcW w:w="1640" w:type="dxa"/>
            <w:vAlign w:val="bottom"/>
            <w:tcBorders>
              <w:top w:val="single" w:sz="8" w:color="0000EE"/>
              <w:bottom w:val="single" w:sz="8" w:color="0000EE"/>
            </w:tcBorders>
            <w:gridSpan w:val="14"/>
          </w:tcPr>
          <w:p>
            <w:pPr>
              <w:spacing w:after="0" w:line="181" w:lineRule="exact"/>
              <w:rPr>
                <w:sz w:val="20"/>
                <w:szCs w:val="20"/>
                <w:color w:val="auto"/>
              </w:rPr>
            </w:pPr>
            <w:r>
              <w:rPr>
                <w:rFonts w:ascii="Arial" w:cs="Arial" w:eastAsia="Arial" w:hAnsi="Arial"/>
                <w:sz w:val="18"/>
                <w:szCs w:val="18"/>
                <w:color w:val="0000EE"/>
              </w:rPr>
              <w:t>Executive Summary</w:t>
            </w:r>
          </w:p>
        </w:tc>
        <w:tc>
          <w:tcPr>
            <w:tcW w:w="1240" w:type="dxa"/>
            <w:vAlign w:val="bottom"/>
            <w:tcBorders>
              <w:top w:val="single" w:sz="8" w:color="0000EE"/>
            </w:tcBorders>
            <w:gridSpan w:val="12"/>
          </w:tcPr>
          <w:p>
            <w:pPr>
              <w:spacing w:after="0"/>
              <w:rPr>
                <w:sz w:val="15"/>
                <w:szCs w:val="15"/>
                <w:color w:val="auto"/>
              </w:rPr>
            </w:pPr>
          </w:p>
        </w:tc>
        <w:tc>
          <w:tcPr>
            <w:tcW w:w="1420" w:type="dxa"/>
            <w:vAlign w:val="bottom"/>
            <w:gridSpan w:val="7"/>
          </w:tcPr>
          <w:p>
            <w:pPr>
              <w:spacing w:after="0"/>
              <w:rPr>
                <w:sz w:val="15"/>
                <w:szCs w:val="15"/>
                <w:color w:val="auto"/>
              </w:rPr>
            </w:pPr>
          </w:p>
        </w:tc>
        <w:tc>
          <w:tcPr>
            <w:tcW w:w="1160" w:type="dxa"/>
            <w:vAlign w:val="bottom"/>
            <w:gridSpan w:val="3"/>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10160" w:type="dxa"/>
            <w:vAlign w:val="bottom"/>
            <w:gridSpan w:val="37"/>
          </w:tcPr>
          <w:p>
            <w:pPr>
              <w:spacing w:after="0" w:line="181" w:lineRule="exact"/>
              <w:rPr>
                <w:sz w:val="20"/>
                <w:szCs w:val="20"/>
                <w:color w:val="auto"/>
              </w:rPr>
            </w:pPr>
            <w:r>
              <w:rPr>
                <w:rFonts w:ascii="Arial" w:cs="Arial" w:eastAsia="Arial" w:hAnsi="Arial"/>
                <w:sz w:val="18"/>
                <w:szCs w:val="18"/>
                <w:color w:val="0000EE"/>
              </w:rPr>
              <w:t>Key 2024 Compensation Developments and Decisions</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4300" w:type="dxa"/>
            <w:vAlign w:val="bottom"/>
            <w:tcBorders>
              <w:top w:val="single" w:sz="8" w:color="0000EE"/>
            </w:tcBorders>
            <w:gridSpan w:val="33"/>
          </w:tcPr>
          <w:p>
            <w:pPr>
              <w:spacing w:after="0" w:line="181" w:lineRule="exact"/>
              <w:rPr>
                <w:sz w:val="20"/>
                <w:szCs w:val="20"/>
                <w:color w:val="auto"/>
              </w:rPr>
            </w:pPr>
            <w:r>
              <w:rPr>
                <w:rFonts w:ascii="Arial" w:cs="Arial" w:eastAsia="Arial" w:hAnsi="Arial"/>
                <w:sz w:val="18"/>
                <w:szCs w:val="18"/>
                <w:color w:val="0000EE"/>
              </w:rPr>
              <w:t>Our 2023 Compensation Program</w:t>
            </w:r>
          </w:p>
        </w:tc>
        <w:tc>
          <w:tcPr>
            <w:tcW w:w="1160" w:type="dxa"/>
            <w:vAlign w:val="bottom"/>
            <w:gridSpan w:val="3"/>
          </w:tcPr>
          <w:p>
            <w:pPr>
              <w:spacing w:after="0"/>
              <w:rPr>
                <w:sz w:val="15"/>
                <w:szCs w:val="15"/>
                <w:color w:val="auto"/>
              </w:rPr>
            </w:pP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2720" w:type="dxa"/>
            <w:vAlign w:val="bottom"/>
            <w:tcBorders>
              <w:top w:val="single" w:sz="8" w:color="0000EE"/>
            </w:tcBorders>
            <w:gridSpan w:val="25"/>
          </w:tcPr>
          <w:p>
            <w:pPr>
              <w:spacing w:after="0" w:line="181" w:lineRule="exact"/>
              <w:rPr>
                <w:sz w:val="20"/>
                <w:szCs w:val="20"/>
                <w:color w:val="auto"/>
              </w:rPr>
            </w:pPr>
            <w:r>
              <w:rPr>
                <w:rFonts w:ascii="Arial" w:cs="Arial" w:eastAsia="Arial" w:hAnsi="Arial"/>
                <w:sz w:val="18"/>
                <w:szCs w:val="18"/>
                <w:color w:val="0000EE"/>
              </w:rPr>
              <w:t>Our Process for Designing and</w:t>
            </w:r>
          </w:p>
        </w:tc>
        <w:tc>
          <w:tcPr>
            <w:tcW w:w="7440" w:type="dxa"/>
            <w:vAlign w:val="bottom"/>
            <w:gridSpan w:val="12"/>
          </w:tcPr>
          <w:p>
            <w:pPr>
              <w:spacing w:after="0" w:line="181" w:lineRule="exact"/>
              <w:rPr>
                <w:sz w:val="20"/>
                <w:szCs w:val="20"/>
                <w:color w:val="auto"/>
              </w:rPr>
            </w:pPr>
            <w:r>
              <w:rPr>
                <w:rFonts w:ascii="Arial" w:cs="Arial" w:eastAsia="Arial" w:hAnsi="Arial"/>
                <w:sz w:val="18"/>
                <w:szCs w:val="18"/>
                <w:color w:val="0000EE"/>
              </w:rPr>
              <w:t>Determining Executive Compensation</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5460" w:type="dxa"/>
            <w:vAlign w:val="bottom"/>
            <w:tcBorders>
              <w:top w:val="single" w:sz="8" w:color="0000EE"/>
            </w:tcBorders>
            <w:gridSpan w:val="36"/>
          </w:tcPr>
          <w:p>
            <w:pPr>
              <w:spacing w:after="0" w:line="181" w:lineRule="exact"/>
              <w:rPr>
                <w:sz w:val="20"/>
                <w:szCs w:val="20"/>
                <w:color w:val="auto"/>
              </w:rPr>
            </w:pPr>
            <w:r>
              <w:rPr>
                <w:rFonts w:ascii="Arial" w:cs="Arial" w:eastAsia="Arial" w:hAnsi="Arial"/>
                <w:sz w:val="18"/>
                <w:szCs w:val="18"/>
                <w:color w:val="0000EE"/>
              </w:rPr>
              <w:t>Our Key Compensation Principles</w:t>
            </w:r>
          </w:p>
        </w:tc>
        <w:tc>
          <w:tcPr>
            <w:tcW w:w="47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1"/>
        </w:trPr>
        <w:tc>
          <w:tcPr>
            <w:tcW w:w="240" w:type="dxa"/>
            <w:vAlign w:val="bottom"/>
          </w:tcPr>
          <w:p>
            <w:pPr>
              <w:spacing w:after="0"/>
              <w:rPr>
                <w:sz w:val="15"/>
                <w:szCs w:val="15"/>
                <w:color w:val="auto"/>
              </w:rPr>
            </w:pPr>
          </w:p>
        </w:tc>
        <w:tc>
          <w:tcPr>
            <w:tcW w:w="2680" w:type="dxa"/>
            <w:vAlign w:val="bottom"/>
            <w:tcBorders>
              <w:top w:val="single" w:sz="8" w:color="0000EE"/>
            </w:tcBorders>
            <w:gridSpan w:val="24"/>
          </w:tcPr>
          <w:p>
            <w:pPr>
              <w:spacing w:after="0" w:line="181" w:lineRule="exact"/>
              <w:rPr>
                <w:sz w:val="20"/>
                <w:szCs w:val="20"/>
                <w:color w:val="auto"/>
              </w:rPr>
            </w:pPr>
            <w:r>
              <w:rPr>
                <w:rFonts w:ascii="Arial" w:cs="Arial" w:eastAsia="Arial" w:hAnsi="Arial"/>
                <w:sz w:val="18"/>
                <w:szCs w:val="18"/>
                <w:color w:val="0000EE"/>
              </w:rPr>
              <w:t>2023 Compensation</w:t>
            </w:r>
          </w:p>
        </w:tc>
        <w:tc>
          <w:tcPr>
            <w:tcW w:w="7480" w:type="dxa"/>
            <w:vAlign w:val="bottom"/>
            <w:gridSpan w:val="13"/>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1"/>
        </w:trPr>
        <w:tc>
          <w:tcPr>
            <w:tcW w:w="240" w:type="dxa"/>
            <w:vAlign w:val="bottom"/>
            <w:tcBorders>
              <w:bottom w:val="single" w:sz="8" w:color="B94831"/>
            </w:tcBorders>
          </w:tcPr>
          <w:p>
            <w:pPr>
              <w:spacing w:after="0"/>
              <w:rPr>
                <w:sz w:val="20"/>
                <w:szCs w:val="20"/>
                <w:color w:val="auto"/>
              </w:rPr>
            </w:pPr>
          </w:p>
        </w:tc>
        <w:tc>
          <w:tcPr>
            <w:tcW w:w="140" w:type="dxa"/>
            <w:vAlign w:val="bottom"/>
            <w:tcBorders>
              <w:top w:val="single" w:sz="8" w:color="0000EE"/>
              <w:bottom w:val="single" w:sz="8" w:color="B94831"/>
            </w:tcBorders>
          </w:tcPr>
          <w:p>
            <w:pPr>
              <w:spacing w:after="0"/>
              <w:rPr>
                <w:sz w:val="20"/>
                <w:szCs w:val="20"/>
                <w:color w:val="auto"/>
              </w:rPr>
            </w:pPr>
          </w:p>
        </w:tc>
        <w:tc>
          <w:tcPr>
            <w:tcW w:w="540" w:type="dxa"/>
            <w:vAlign w:val="bottom"/>
            <w:tcBorders>
              <w:top w:val="single" w:sz="8" w:color="0000EE"/>
              <w:bottom w:val="single" w:sz="8" w:color="B94831"/>
            </w:tcBorders>
          </w:tcPr>
          <w:p>
            <w:pPr>
              <w:spacing w:after="0"/>
              <w:rPr>
                <w:sz w:val="20"/>
                <w:szCs w:val="20"/>
                <w:color w:val="auto"/>
              </w:rPr>
            </w:pPr>
          </w:p>
        </w:tc>
        <w:tc>
          <w:tcPr>
            <w:tcW w:w="100" w:type="dxa"/>
            <w:vAlign w:val="bottom"/>
            <w:tcBorders>
              <w:top w:val="single" w:sz="8" w:color="0000EE"/>
              <w:bottom w:val="single" w:sz="8" w:color="B94831"/>
            </w:tcBorders>
          </w:tcPr>
          <w:p>
            <w:pPr>
              <w:spacing w:after="0"/>
              <w:rPr>
                <w:sz w:val="20"/>
                <w:szCs w:val="20"/>
                <w:color w:val="auto"/>
              </w:rPr>
            </w:pPr>
          </w:p>
        </w:tc>
        <w:tc>
          <w:tcPr>
            <w:tcW w:w="380" w:type="dxa"/>
            <w:vAlign w:val="bottom"/>
            <w:tcBorders>
              <w:top w:val="single" w:sz="8" w:color="0000EE"/>
              <w:bottom w:val="single" w:sz="8" w:color="B94831"/>
            </w:tcBorders>
          </w:tcPr>
          <w:p>
            <w:pPr>
              <w:spacing w:after="0"/>
              <w:rPr>
                <w:sz w:val="20"/>
                <w:szCs w:val="20"/>
                <w:color w:val="auto"/>
              </w:rPr>
            </w:pPr>
          </w:p>
        </w:tc>
        <w:tc>
          <w:tcPr>
            <w:tcW w:w="80" w:type="dxa"/>
            <w:vAlign w:val="bottom"/>
            <w:tcBorders>
              <w:top w:val="single" w:sz="8" w:color="0000EE"/>
              <w:bottom w:val="single" w:sz="8" w:color="B94831"/>
            </w:tcBorders>
          </w:tcPr>
          <w:p>
            <w:pPr>
              <w:spacing w:after="0"/>
              <w:rPr>
                <w:sz w:val="20"/>
                <w:szCs w:val="20"/>
                <w:color w:val="auto"/>
              </w:rPr>
            </w:pPr>
          </w:p>
        </w:tc>
        <w:tc>
          <w:tcPr>
            <w:tcW w:w="20" w:type="dxa"/>
            <w:vAlign w:val="bottom"/>
            <w:tcBorders>
              <w:top w:val="single" w:sz="8" w:color="0000EE"/>
              <w:bottom w:val="single" w:sz="8" w:color="B94831"/>
            </w:tcBorders>
          </w:tcPr>
          <w:p>
            <w:pPr>
              <w:spacing w:after="0"/>
              <w:rPr>
                <w:sz w:val="20"/>
                <w:szCs w:val="20"/>
                <w:color w:val="auto"/>
              </w:rPr>
            </w:pPr>
          </w:p>
        </w:tc>
        <w:tc>
          <w:tcPr>
            <w:tcW w:w="20" w:type="dxa"/>
            <w:vAlign w:val="bottom"/>
            <w:tcBorders>
              <w:top w:val="single" w:sz="8" w:color="0000EE"/>
              <w:bottom w:val="single" w:sz="8" w:color="B94831"/>
            </w:tcBorders>
          </w:tcPr>
          <w:p>
            <w:pPr>
              <w:spacing w:after="0"/>
              <w:rPr>
                <w:sz w:val="20"/>
                <w:szCs w:val="20"/>
                <w:color w:val="auto"/>
              </w:rPr>
            </w:pPr>
          </w:p>
        </w:tc>
        <w:tc>
          <w:tcPr>
            <w:tcW w:w="60" w:type="dxa"/>
            <w:vAlign w:val="bottom"/>
            <w:tcBorders>
              <w:top w:val="single" w:sz="8" w:color="0000EE"/>
              <w:bottom w:val="single" w:sz="8" w:color="B94831"/>
            </w:tcBorders>
          </w:tcPr>
          <w:p>
            <w:pPr>
              <w:spacing w:after="0"/>
              <w:rPr>
                <w:sz w:val="20"/>
                <w:szCs w:val="20"/>
                <w:color w:val="auto"/>
              </w:rPr>
            </w:pPr>
          </w:p>
        </w:tc>
        <w:tc>
          <w:tcPr>
            <w:tcW w:w="40" w:type="dxa"/>
            <w:vAlign w:val="bottom"/>
            <w:tcBorders>
              <w:top w:val="single" w:sz="8" w:color="0000EE"/>
              <w:bottom w:val="single" w:sz="8" w:color="B94831"/>
            </w:tcBorders>
          </w:tcPr>
          <w:p>
            <w:pPr>
              <w:spacing w:after="0"/>
              <w:rPr>
                <w:sz w:val="20"/>
                <w:szCs w:val="20"/>
                <w:color w:val="auto"/>
              </w:rPr>
            </w:pPr>
          </w:p>
        </w:tc>
        <w:tc>
          <w:tcPr>
            <w:tcW w:w="180" w:type="dxa"/>
            <w:vAlign w:val="bottom"/>
            <w:tcBorders>
              <w:top w:val="single" w:sz="8" w:color="0000EE"/>
              <w:bottom w:val="single" w:sz="8" w:color="B94831"/>
            </w:tcBorders>
          </w:tcPr>
          <w:p>
            <w:pPr>
              <w:spacing w:after="0"/>
              <w:rPr>
                <w:sz w:val="20"/>
                <w:szCs w:val="20"/>
                <w:color w:val="auto"/>
              </w:rPr>
            </w:pPr>
          </w:p>
        </w:tc>
        <w:tc>
          <w:tcPr>
            <w:tcW w:w="20" w:type="dxa"/>
            <w:vAlign w:val="bottom"/>
            <w:tcBorders>
              <w:top w:val="single" w:sz="8" w:color="0000EE"/>
              <w:bottom w:val="single" w:sz="8" w:color="B94831"/>
            </w:tcBorders>
          </w:tcPr>
          <w:p>
            <w:pPr>
              <w:spacing w:after="0"/>
              <w:rPr>
                <w:sz w:val="20"/>
                <w:szCs w:val="20"/>
                <w:color w:val="auto"/>
              </w:rPr>
            </w:pPr>
          </w:p>
        </w:tc>
        <w:tc>
          <w:tcPr>
            <w:tcW w:w="20" w:type="dxa"/>
            <w:vAlign w:val="bottom"/>
            <w:tcBorders>
              <w:top w:val="single" w:sz="8" w:color="0000EE"/>
              <w:bottom w:val="single" w:sz="8" w:color="B94831"/>
            </w:tcBorders>
          </w:tcPr>
          <w:p>
            <w:pPr>
              <w:spacing w:after="0"/>
              <w:rPr>
                <w:sz w:val="20"/>
                <w:szCs w:val="20"/>
                <w:color w:val="auto"/>
              </w:rPr>
            </w:pPr>
          </w:p>
        </w:tc>
        <w:tc>
          <w:tcPr>
            <w:tcW w:w="20" w:type="dxa"/>
            <w:vAlign w:val="bottom"/>
            <w:tcBorders>
              <w:top w:val="single" w:sz="8" w:color="0000EE"/>
              <w:bottom w:val="single" w:sz="8" w:color="B94831"/>
            </w:tcBorders>
          </w:tcPr>
          <w:p>
            <w:pPr>
              <w:spacing w:after="0"/>
              <w:rPr>
                <w:sz w:val="20"/>
                <w:szCs w:val="20"/>
                <w:color w:val="auto"/>
              </w:rPr>
            </w:pPr>
          </w:p>
        </w:tc>
        <w:tc>
          <w:tcPr>
            <w:tcW w:w="20" w:type="dxa"/>
            <w:vAlign w:val="bottom"/>
            <w:tcBorders>
              <w:top w:val="single" w:sz="8" w:color="0000EE"/>
              <w:bottom w:val="single" w:sz="8" w:color="B94831"/>
            </w:tcBorders>
          </w:tcPr>
          <w:p>
            <w:pPr>
              <w:spacing w:after="0"/>
              <w:rPr>
                <w:sz w:val="20"/>
                <w:szCs w:val="20"/>
                <w:color w:val="auto"/>
              </w:rPr>
            </w:pPr>
          </w:p>
        </w:tc>
        <w:tc>
          <w:tcPr>
            <w:tcW w:w="20" w:type="dxa"/>
            <w:vAlign w:val="bottom"/>
            <w:tcBorders>
              <w:bottom w:val="single" w:sz="8" w:color="B94831"/>
            </w:tcBorders>
          </w:tcPr>
          <w:p>
            <w:pPr>
              <w:spacing w:after="0"/>
              <w:rPr>
                <w:sz w:val="20"/>
                <w:szCs w:val="20"/>
                <w:color w:val="auto"/>
              </w:rPr>
            </w:pPr>
          </w:p>
        </w:tc>
        <w:tc>
          <w:tcPr>
            <w:tcW w:w="20" w:type="dxa"/>
            <w:vAlign w:val="bottom"/>
            <w:tcBorders>
              <w:bottom w:val="single" w:sz="8" w:color="B94831"/>
            </w:tcBorders>
          </w:tcPr>
          <w:p>
            <w:pPr>
              <w:spacing w:after="0"/>
              <w:rPr>
                <w:sz w:val="20"/>
                <w:szCs w:val="20"/>
                <w:color w:val="auto"/>
              </w:rPr>
            </w:pPr>
          </w:p>
        </w:tc>
        <w:tc>
          <w:tcPr>
            <w:tcW w:w="20" w:type="dxa"/>
            <w:vAlign w:val="bottom"/>
            <w:tcBorders>
              <w:bottom w:val="single" w:sz="8" w:color="B94831"/>
            </w:tcBorders>
          </w:tcPr>
          <w:p>
            <w:pPr>
              <w:spacing w:after="0"/>
              <w:rPr>
                <w:sz w:val="20"/>
                <w:szCs w:val="20"/>
                <w:color w:val="auto"/>
              </w:rPr>
            </w:pPr>
          </w:p>
        </w:tc>
        <w:tc>
          <w:tcPr>
            <w:tcW w:w="40" w:type="dxa"/>
            <w:vAlign w:val="bottom"/>
            <w:tcBorders>
              <w:bottom w:val="single" w:sz="8" w:color="B94831"/>
            </w:tcBorders>
          </w:tcPr>
          <w:p>
            <w:pPr>
              <w:spacing w:after="0"/>
              <w:rPr>
                <w:sz w:val="20"/>
                <w:szCs w:val="20"/>
                <w:color w:val="auto"/>
              </w:rPr>
            </w:pPr>
          </w:p>
        </w:tc>
        <w:tc>
          <w:tcPr>
            <w:tcW w:w="40" w:type="dxa"/>
            <w:vAlign w:val="bottom"/>
            <w:tcBorders>
              <w:bottom w:val="single" w:sz="8" w:color="B94831"/>
            </w:tcBorders>
          </w:tcPr>
          <w:p>
            <w:pPr>
              <w:spacing w:after="0"/>
              <w:rPr>
                <w:sz w:val="20"/>
                <w:szCs w:val="20"/>
                <w:color w:val="auto"/>
              </w:rPr>
            </w:pPr>
          </w:p>
        </w:tc>
        <w:tc>
          <w:tcPr>
            <w:tcW w:w="260" w:type="dxa"/>
            <w:vAlign w:val="bottom"/>
            <w:tcBorders>
              <w:bottom w:val="single" w:sz="8" w:color="B94831"/>
            </w:tcBorders>
          </w:tcPr>
          <w:p>
            <w:pPr>
              <w:spacing w:after="0"/>
              <w:rPr>
                <w:sz w:val="20"/>
                <w:szCs w:val="20"/>
                <w:color w:val="auto"/>
              </w:rPr>
            </w:pPr>
          </w:p>
        </w:tc>
        <w:tc>
          <w:tcPr>
            <w:tcW w:w="200" w:type="dxa"/>
            <w:vAlign w:val="bottom"/>
            <w:tcBorders>
              <w:bottom w:val="single" w:sz="8" w:color="B94831"/>
            </w:tcBorders>
          </w:tcPr>
          <w:p>
            <w:pPr>
              <w:spacing w:after="0"/>
              <w:rPr>
                <w:sz w:val="20"/>
                <w:szCs w:val="20"/>
                <w:color w:val="auto"/>
              </w:rPr>
            </w:pPr>
          </w:p>
        </w:tc>
        <w:tc>
          <w:tcPr>
            <w:tcW w:w="120" w:type="dxa"/>
            <w:vAlign w:val="bottom"/>
            <w:tcBorders>
              <w:bottom w:val="single" w:sz="8" w:color="B94831"/>
            </w:tcBorders>
          </w:tcPr>
          <w:p>
            <w:pPr>
              <w:spacing w:after="0"/>
              <w:rPr>
                <w:sz w:val="20"/>
                <w:szCs w:val="20"/>
                <w:color w:val="auto"/>
              </w:rPr>
            </w:pPr>
          </w:p>
        </w:tc>
        <w:tc>
          <w:tcPr>
            <w:tcW w:w="220" w:type="dxa"/>
            <w:vAlign w:val="bottom"/>
            <w:tcBorders>
              <w:bottom w:val="single" w:sz="8" w:color="B94831"/>
            </w:tcBorders>
          </w:tcPr>
          <w:p>
            <w:pPr>
              <w:spacing w:after="0"/>
              <w:rPr>
                <w:sz w:val="20"/>
                <w:szCs w:val="20"/>
                <w:color w:val="auto"/>
              </w:rPr>
            </w:pPr>
          </w:p>
        </w:tc>
        <w:tc>
          <w:tcPr>
            <w:tcW w:w="100" w:type="dxa"/>
            <w:vAlign w:val="bottom"/>
            <w:tcBorders>
              <w:bottom w:val="single" w:sz="8" w:color="B94831"/>
            </w:tcBorders>
          </w:tcPr>
          <w:p>
            <w:pPr>
              <w:spacing w:after="0"/>
              <w:rPr>
                <w:sz w:val="20"/>
                <w:szCs w:val="20"/>
                <w:color w:val="auto"/>
              </w:rPr>
            </w:pPr>
          </w:p>
        </w:tc>
        <w:tc>
          <w:tcPr>
            <w:tcW w:w="40" w:type="dxa"/>
            <w:vAlign w:val="bottom"/>
            <w:tcBorders>
              <w:bottom w:val="single" w:sz="8" w:color="B94831"/>
            </w:tcBorders>
          </w:tcPr>
          <w:p>
            <w:pPr>
              <w:spacing w:after="0"/>
              <w:rPr>
                <w:sz w:val="20"/>
                <w:szCs w:val="20"/>
                <w:color w:val="auto"/>
              </w:rPr>
            </w:pPr>
          </w:p>
        </w:tc>
        <w:tc>
          <w:tcPr>
            <w:tcW w:w="160" w:type="dxa"/>
            <w:vAlign w:val="bottom"/>
            <w:tcBorders>
              <w:bottom w:val="single" w:sz="8" w:color="B94831"/>
            </w:tcBorders>
          </w:tcPr>
          <w:p>
            <w:pPr>
              <w:spacing w:after="0"/>
              <w:rPr>
                <w:sz w:val="20"/>
                <w:szCs w:val="20"/>
                <w:color w:val="auto"/>
              </w:rPr>
            </w:pPr>
          </w:p>
        </w:tc>
        <w:tc>
          <w:tcPr>
            <w:tcW w:w="60" w:type="dxa"/>
            <w:vAlign w:val="bottom"/>
            <w:tcBorders>
              <w:bottom w:val="single" w:sz="8" w:color="B94831"/>
            </w:tcBorders>
          </w:tcPr>
          <w:p>
            <w:pPr>
              <w:spacing w:after="0"/>
              <w:rPr>
                <w:sz w:val="20"/>
                <w:szCs w:val="20"/>
                <w:color w:val="auto"/>
              </w:rPr>
            </w:pPr>
          </w:p>
        </w:tc>
        <w:tc>
          <w:tcPr>
            <w:tcW w:w="200" w:type="dxa"/>
            <w:vAlign w:val="bottom"/>
            <w:tcBorders>
              <w:bottom w:val="single" w:sz="8" w:color="B94831"/>
            </w:tcBorders>
          </w:tcPr>
          <w:p>
            <w:pPr>
              <w:spacing w:after="0"/>
              <w:rPr>
                <w:sz w:val="20"/>
                <w:szCs w:val="20"/>
                <w:color w:val="auto"/>
              </w:rPr>
            </w:pPr>
          </w:p>
        </w:tc>
        <w:tc>
          <w:tcPr>
            <w:tcW w:w="380" w:type="dxa"/>
            <w:vAlign w:val="bottom"/>
            <w:tcBorders>
              <w:bottom w:val="single" w:sz="8" w:color="B94831"/>
            </w:tcBorders>
          </w:tcPr>
          <w:p>
            <w:pPr>
              <w:spacing w:after="0"/>
              <w:rPr>
                <w:sz w:val="20"/>
                <w:szCs w:val="20"/>
                <w:color w:val="auto"/>
              </w:rPr>
            </w:pPr>
          </w:p>
        </w:tc>
        <w:tc>
          <w:tcPr>
            <w:tcW w:w="80" w:type="dxa"/>
            <w:vAlign w:val="bottom"/>
            <w:tcBorders>
              <w:bottom w:val="single" w:sz="8" w:color="B94831"/>
            </w:tcBorders>
          </w:tcPr>
          <w:p>
            <w:pPr>
              <w:spacing w:after="0"/>
              <w:rPr>
                <w:sz w:val="20"/>
                <w:szCs w:val="20"/>
                <w:color w:val="auto"/>
              </w:rPr>
            </w:pPr>
          </w:p>
        </w:tc>
        <w:tc>
          <w:tcPr>
            <w:tcW w:w="240" w:type="dxa"/>
            <w:vAlign w:val="bottom"/>
            <w:tcBorders>
              <w:bottom w:val="single" w:sz="8" w:color="B94831"/>
            </w:tcBorders>
          </w:tcPr>
          <w:p>
            <w:pPr>
              <w:spacing w:after="0"/>
              <w:rPr>
                <w:sz w:val="20"/>
                <w:szCs w:val="20"/>
                <w:color w:val="auto"/>
              </w:rPr>
            </w:pPr>
          </w:p>
        </w:tc>
        <w:tc>
          <w:tcPr>
            <w:tcW w:w="320" w:type="dxa"/>
            <w:vAlign w:val="bottom"/>
            <w:tcBorders>
              <w:bottom w:val="single" w:sz="8" w:color="B94831"/>
            </w:tcBorders>
          </w:tcPr>
          <w:p>
            <w:pPr>
              <w:spacing w:after="0"/>
              <w:rPr>
                <w:sz w:val="20"/>
                <w:szCs w:val="20"/>
                <w:color w:val="auto"/>
              </w:rPr>
            </w:pPr>
          </w:p>
        </w:tc>
        <w:tc>
          <w:tcPr>
            <w:tcW w:w="140" w:type="dxa"/>
            <w:vAlign w:val="bottom"/>
            <w:tcBorders>
              <w:bottom w:val="single" w:sz="8" w:color="B94831"/>
            </w:tcBorders>
          </w:tcPr>
          <w:p>
            <w:pPr>
              <w:spacing w:after="0"/>
              <w:rPr>
                <w:sz w:val="20"/>
                <w:szCs w:val="20"/>
                <w:color w:val="auto"/>
              </w:rPr>
            </w:pPr>
          </w:p>
        </w:tc>
        <w:tc>
          <w:tcPr>
            <w:tcW w:w="400" w:type="dxa"/>
            <w:vAlign w:val="bottom"/>
            <w:tcBorders>
              <w:bottom w:val="single" w:sz="8" w:color="B94831"/>
            </w:tcBorders>
          </w:tcPr>
          <w:p>
            <w:pPr>
              <w:spacing w:after="0"/>
              <w:rPr>
                <w:sz w:val="20"/>
                <w:szCs w:val="20"/>
                <w:color w:val="auto"/>
              </w:rPr>
            </w:pPr>
          </w:p>
        </w:tc>
        <w:tc>
          <w:tcPr>
            <w:tcW w:w="40" w:type="dxa"/>
            <w:vAlign w:val="bottom"/>
            <w:tcBorders>
              <w:bottom w:val="single" w:sz="8" w:color="B94831"/>
            </w:tcBorders>
          </w:tcPr>
          <w:p>
            <w:pPr>
              <w:spacing w:after="0"/>
              <w:rPr>
                <w:sz w:val="20"/>
                <w:szCs w:val="20"/>
                <w:color w:val="auto"/>
              </w:rPr>
            </w:pPr>
          </w:p>
        </w:tc>
        <w:tc>
          <w:tcPr>
            <w:tcW w:w="720" w:type="dxa"/>
            <w:vAlign w:val="bottom"/>
            <w:tcBorders>
              <w:bottom w:val="single" w:sz="8" w:color="B94831"/>
            </w:tcBorders>
          </w:tcPr>
          <w:p>
            <w:pPr>
              <w:spacing w:after="0"/>
              <w:rPr>
                <w:sz w:val="20"/>
                <w:szCs w:val="20"/>
                <w:color w:val="auto"/>
              </w:rPr>
            </w:pPr>
          </w:p>
        </w:tc>
        <w:tc>
          <w:tcPr>
            <w:tcW w:w="4700" w:type="dxa"/>
            <w:vAlign w:val="bottom"/>
            <w:tcBorders>
              <w:bottom w:val="single" w:sz="8" w:color="B94831"/>
            </w:tcBorders>
          </w:tcPr>
          <w:p>
            <w:pPr>
              <w:spacing w:after="0"/>
              <w:rPr>
                <w:sz w:val="20"/>
                <w:szCs w:val="20"/>
                <w:color w:val="auto"/>
              </w:rPr>
            </w:pPr>
          </w:p>
        </w:tc>
        <w:tc>
          <w:tcPr>
            <w:tcW w:w="520" w:type="dxa"/>
            <w:vAlign w:val="bottom"/>
            <w:tcBorders>
              <w:bottom w:val="single" w:sz="8" w:color="B94831"/>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3"/>
                <w:szCs w:val="13"/>
                <w:color w:val="auto"/>
              </w:rPr>
              <w:t>Management Proxy Circular and Notice of Annual Meeting of Shareholders </w:t>
            </w:r>
          </w:p>
        </w:tc>
        <w:tc>
          <w:tcPr>
            <w:tcW w:w="520" w:type="dxa"/>
            <w:vAlign w:val="bottom"/>
          </w:tcPr>
          <w:p>
            <w:pPr>
              <w:jc w:val="right"/>
              <w:spacing w:after="0"/>
              <w:rPr>
                <w:sz w:val="20"/>
                <w:szCs w:val="20"/>
                <w:color w:val="auto"/>
              </w:rPr>
            </w:pPr>
            <w:r>
              <w:rPr>
                <w:rFonts w:ascii="Arial" w:cs="Arial" w:eastAsia="Arial" w:hAnsi="Arial"/>
                <w:sz w:val="13"/>
                <w:szCs w:val="13"/>
                <w:color w:val="auto"/>
              </w:rPr>
              <w:t>Page 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80" w:type="dxa"/>
            <w:vAlign w:val="bottom"/>
            <w:gridSpan w:val="22"/>
          </w:tcPr>
          <w:p>
            <w:pPr>
              <w:spacing w:after="0"/>
              <w:rPr>
                <w:sz w:val="20"/>
                <w:szCs w:val="20"/>
                <w:color w:val="auto"/>
              </w:rPr>
            </w:pPr>
            <w:r>
              <w:rPr>
                <w:rFonts w:ascii="Arial" w:cs="Arial" w:eastAsia="Arial" w:hAnsi="Arial"/>
                <w:sz w:val="18"/>
                <w:szCs w:val="18"/>
                <w:color w:val="0000EE"/>
              </w:rPr>
              <w:t>2023 Named Executive Officer Compensation and Key Accomplishments</w:t>
            </w: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5"/>
          </w:tcPr>
          <w:p>
            <w:pPr>
              <w:spacing w:after="0" w:line="181" w:lineRule="exact"/>
              <w:rPr>
                <w:sz w:val="20"/>
                <w:szCs w:val="20"/>
                <w:color w:val="auto"/>
              </w:rPr>
            </w:pPr>
            <w:r>
              <w:rPr>
                <w:rFonts w:ascii="Arial" w:cs="Arial" w:eastAsia="Arial" w:hAnsi="Arial"/>
                <w:sz w:val="18"/>
                <w:szCs w:val="18"/>
                <w:color w:val="0000EE"/>
                <w:w w:val="98"/>
              </w:rPr>
              <w:t>Performance Graphs</w:t>
            </w:r>
          </w:p>
        </w:tc>
        <w:tc>
          <w:tcPr>
            <w:tcW w:w="4100" w:type="dxa"/>
            <w:vAlign w:val="bottom"/>
            <w:tcBorders>
              <w:top w:val="single" w:sz="8" w:color="0000EE"/>
            </w:tcBorders>
            <w:gridSpan w:val="14"/>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80" w:type="dxa"/>
            <w:vAlign w:val="bottom"/>
            <w:gridSpan w:val="22"/>
          </w:tcPr>
          <w:p>
            <w:pPr>
              <w:spacing w:after="0" w:line="181" w:lineRule="exact"/>
              <w:rPr>
                <w:sz w:val="20"/>
                <w:szCs w:val="20"/>
                <w:color w:val="auto"/>
              </w:rPr>
            </w:pPr>
            <w:r>
              <w:rPr>
                <w:rFonts w:ascii="Arial" w:cs="Arial" w:eastAsia="Arial" w:hAnsi="Arial"/>
                <w:sz w:val="18"/>
                <w:szCs w:val="18"/>
                <w:color w:val="0000EE"/>
              </w:rPr>
              <w:t>Historic Named Executive Officer Compensation</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214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4040" w:type="dxa"/>
            <w:vAlign w:val="bottom"/>
            <w:gridSpan w:val="15"/>
          </w:tcPr>
          <w:p>
            <w:pPr>
              <w:spacing w:after="0" w:line="181" w:lineRule="exact"/>
              <w:rPr>
                <w:sz w:val="20"/>
                <w:szCs w:val="20"/>
                <w:color w:val="auto"/>
              </w:rPr>
            </w:pPr>
            <w:r>
              <w:rPr>
                <w:rFonts w:ascii="Arial" w:cs="Arial" w:eastAsia="Arial" w:hAnsi="Arial"/>
                <w:sz w:val="18"/>
                <w:szCs w:val="18"/>
                <w:color w:val="0000EE"/>
              </w:rPr>
              <w:t>Executive Compensation</w:t>
            </w: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gridSpan w:val="6"/>
          </w:tcPr>
          <w:p>
            <w:pPr>
              <w:spacing w:after="0" w:line="181" w:lineRule="exact"/>
              <w:rPr>
                <w:sz w:val="20"/>
                <w:szCs w:val="20"/>
                <w:color w:val="auto"/>
              </w:rPr>
            </w:pPr>
            <w:r>
              <w:rPr>
                <w:rFonts w:ascii="Arial" w:cs="Arial" w:eastAsia="Arial" w:hAnsi="Arial"/>
                <w:sz w:val="18"/>
                <w:szCs w:val="18"/>
                <w:color w:val="0000EE"/>
                <w:w w:val="86"/>
              </w:rPr>
              <w:t>Summary Compensation</w:t>
            </w:r>
          </w:p>
        </w:tc>
        <w:tc>
          <w:tcPr>
            <w:tcW w:w="20" w:type="dxa"/>
            <w:vAlign w:val="bottom"/>
          </w:tcPr>
          <w:p>
            <w:pPr>
              <w:spacing w:after="0"/>
              <w:rPr>
                <w:sz w:val="15"/>
                <w:szCs w:val="15"/>
                <w:color w:val="auto"/>
              </w:rPr>
            </w:pPr>
          </w:p>
        </w:tc>
        <w:tc>
          <w:tcPr>
            <w:tcW w:w="6720" w:type="dxa"/>
            <w:vAlign w:val="bottom"/>
            <w:gridSpan w:val="15"/>
          </w:tcPr>
          <w:p>
            <w:pPr>
              <w:ind w:left="260"/>
              <w:spacing w:after="0" w:line="181" w:lineRule="exact"/>
              <w:rPr>
                <w:sz w:val="20"/>
                <w:szCs w:val="20"/>
                <w:color w:val="auto"/>
              </w:rPr>
            </w:pPr>
            <w:r>
              <w:rPr>
                <w:rFonts w:ascii="Arial" w:cs="Arial" w:eastAsia="Arial" w:hAnsi="Arial"/>
                <w:sz w:val="18"/>
                <w:szCs w:val="18"/>
                <w:color w:val="0000EE"/>
              </w:rPr>
              <w:t>Table</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7"/>
          </w:tcPr>
          <w:p>
            <w:pPr>
              <w:spacing w:after="0" w:line="181" w:lineRule="exact"/>
              <w:rPr>
                <w:sz w:val="20"/>
                <w:szCs w:val="20"/>
                <w:color w:val="auto"/>
              </w:rPr>
            </w:pPr>
            <w:r>
              <w:rPr>
                <w:rFonts w:ascii="Arial" w:cs="Arial" w:eastAsia="Arial" w:hAnsi="Arial"/>
                <w:sz w:val="18"/>
                <w:szCs w:val="18"/>
                <w:color w:val="0000EE"/>
                <w:w w:val="97"/>
              </w:rPr>
              <w:t>Incentive Plan Awards</w:t>
            </w:r>
          </w:p>
        </w:tc>
        <w:tc>
          <w:tcPr>
            <w:tcW w:w="680" w:type="dxa"/>
            <w:vAlign w:val="bottom"/>
            <w:tcBorders>
              <w:top w:val="single" w:sz="8" w:color="0000EE"/>
            </w:tcBorders>
            <w:gridSpan w:val="4"/>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80" w:type="dxa"/>
            <w:vAlign w:val="bottom"/>
            <w:gridSpan w:val="22"/>
          </w:tcPr>
          <w:p>
            <w:pPr>
              <w:spacing w:after="0" w:line="181" w:lineRule="exact"/>
              <w:rPr>
                <w:sz w:val="20"/>
                <w:szCs w:val="20"/>
                <w:color w:val="auto"/>
              </w:rPr>
            </w:pPr>
            <w:r>
              <w:rPr>
                <w:rFonts w:ascii="Arial" w:cs="Arial" w:eastAsia="Arial" w:hAnsi="Arial"/>
                <w:sz w:val="18"/>
                <w:szCs w:val="18"/>
                <w:color w:val="0000EE"/>
              </w:rPr>
              <w:t>Pension and Other Retirement Benefits</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Borders>
              <w:top w:val="single" w:sz="8" w:color="0000EE"/>
            </w:tcBorders>
            <w:gridSpan w:val="12"/>
          </w:tcPr>
          <w:p>
            <w:pPr>
              <w:spacing w:after="0" w:line="181" w:lineRule="exact"/>
              <w:rPr>
                <w:sz w:val="20"/>
                <w:szCs w:val="20"/>
                <w:color w:val="auto"/>
              </w:rPr>
            </w:pPr>
            <w:r>
              <w:rPr>
                <w:rFonts w:ascii="Arial" w:cs="Arial" w:eastAsia="Arial" w:hAnsi="Arial"/>
                <w:sz w:val="18"/>
                <w:szCs w:val="18"/>
                <w:color w:val="0000EE"/>
              </w:rPr>
              <w:t>Termination Benefits</w:t>
            </w:r>
          </w:p>
        </w:tc>
        <w:tc>
          <w:tcPr>
            <w:tcW w:w="6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Borders>
              <w:top w:val="single" w:sz="8" w:color="0000EE"/>
            </w:tcBorders>
            <w:gridSpan w:val="4"/>
          </w:tcPr>
          <w:p>
            <w:pPr>
              <w:spacing w:after="0" w:line="181" w:lineRule="exact"/>
              <w:rPr>
                <w:sz w:val="20"/>
                <w:szCs w:val="20"/>
                <w:color w:val="auto"/>
              </w:rPr>
            </w:pPr>
            <w:r>
              <w:rPr>
                <w:rFonts w:ascii="Arial" w:cs="Arial" w:eastAsia="Arial" w:hAnsi="Arial"/>
                <w:sz w:val="18"/>
                <w:szCs w:val="18"/>
                <w:color w:val="0000EE"/>
                <w:w w:val="79"/>
              </w:rPr>
              <w:t>Indebtedness of Officers,</w:t>
            </w:r>
          </w:p>
        </w:tc>
        <w:tc>
          <w:tcPr>
            <w:tcW w:w="6860" w:type="dxa"/>
            <w:vAlign w:val="bottom"/>
            <w:gridSpan w:val="18"/>
          </w:tcPr>
          <w:p>
            <w:pPr>
              <w:ind w:left="180"/>
              <w:spacing w:after="0" w:line="181" w:lineRule="exact"/>
              <w:rPr>
                <w:sz w:val="20"/>
                <w:szCs w:val="20"/>
                <w:color w:val="auto"/>
              </w:rPr>
            </w:pPr>
            <w:r>
              <w:rPr>
                <w:rFonts w:ascii="Arial" w:cs="Arial" w:eastAsia="Arial" w:hAnsi="Arial"/>
                <w:sz w:val="18"/>
                <w:szCs w:val="18"/>
                <w:color w:val="0000EE"/>
              </w:rPr>
              <w:t>Directors and Employees</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8720" w:type="dxa"/>
            <w:vAlign w:val="bottom"/>
            <w:gridSpan w:val="23"/>
          </w:tcPr>
          <w:p>
            <w:pPr>
              <w:spacing w:after="0" w:line="181" w:lineRule="exact"/>
              <w:rPr>
                <w:sz w:val="20"/>
                <w:szCs w:val="20"/>
                <w:color w:val="auto"/>
              </w:rPr>
            </w:pPr>
            <w:r>
              <w:rPr>
                <w:rFonts w:ascii="Arial" w:cs="Arial" w:eastAsia="Arial" w:hAnsi="Arial"/>
                <w:sz w:val="18"/>
                <w:szCs w:val="18"/>
                <w:color w:val="0000EE"/>
              </w:rPr>
              <w:t>Directors’ and Officers’ Indemnification and Insurance</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4240" w:type="dxa"/>
            <w:vAlign w:val="bottom"/>
            <w:tcBorders>
              <w:top w:val="single" w:sz="8" w:color="0000EE"/>
            </w:tcBorders>
            <w:gridSpan w:val="17"/>
          </w:tcPr>
          <w:p>
            <w:pPr>
              <w:spacing w:after="0" w:line="181" w:lineRule="exact"/>
              <w:rPr>
                <w:sz w:val="20"/>
                <w:szCs w:val="20"/>
                <w:color w:val="auto"/>
              </w:rPr>
            </w:pPr>
            <w:r>
              <w:rPr>
                <w:rFonts w:ascii="Arial" w:cs="Arial" w:eastAsia="Arial" w:hAnsi="Arial"/>
                <w:sz w:val="18"/>
                <w:szCs w:val="18"/>
                <w:color w:val="0000EE"/>
              </w:rPr>
              <w:t>Additional Information</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gridSpan w:val="3"/>
          </w:tcPr>
          <w:p>
            <w:pPr>
              <w:spacing w:after="0" w:line="181" w:lineRule="exact"/>
              <w:rPr>
                <w:sz w:val="20"/>
                <w:szCs w:val="20"/>
                <w:color w:val="auto"/>
              </w:rPr>
            </w:pPr>
            <w:r>
              <w:rPr>
                <w:rFonts w:ascii="Arial" w:cs="Arial" w:eastAsia="Arial" w:hAnsi="Arial"/>
                <w:sz w:val="18"/>
                <w:szCs w:val="18"/>
                <w:color w:val="0000EE"/>
                <w:w w:val="94"/>
              </w:rPr>
              <w:t>Non-IFRS Financial</w:t>
            </w:r>
          </w:p>
        </w:tc>
        <w:tc>
          <w:tcPr>
            <w:tcW w:w="6980" w:type="dxa"/>
            <w:vAlign w:val="bottom"/>
            <w:gridSpan w:val="19"/>
          </w:tcPr>
          <w:p>
            <w:pPr>
              <w:ind w:left="100"/>
              <w:spacing w:after="0" w:line="181" w:lineRule="exact"/>
              <w:rPr>
                <w:sz w:val="20"/>
                <w:szCs w:val="20"/>
                <w:color w:val="auto"/>
              </w:rPr>
            </w:pPr>
            <w:r>
              <w:rPr>
                <w:rFonts w:ascii="Arial" w:cs="Arial" w:eastAsia="Arial" w:hAnsi="Arial"/>
                <w:sz w:val="18"/>
                <w:szCs w:val="18"/>
                <w:color w:val="0000EE"/>
              </w:rPr>
              <w:t>Measures</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tcBorders>
              <w:top w:val="single" w:sz="8" w:color="0000EE"/>
            </w:tcBorders>
            <w:gridSpan w:val="9"/>
          </w:tcPr>
          <w:p>
            <w:pPr>
              <w:spacing w:after="0" w:line="181" w:lineRule="exact"/>
              <w:rPr>
                <w:sz w:val="20"/>
                <w:szCs w:val="20"/>
                <w:color w:val="auto"/>
              </w:rPr>
            </w:pPr>
            <w:r>
              <w:rPr>
                <w:rFonts w:ascii="Arial" w:cs="Arial" w:eastAsia="Arial" w:hAnsi="Arial"/>
                <w:sz w:val="18"/>
                <w:szCs w:val="18"/>
                <w:color w:val="0000EE"/>
              </w:rPr>
              <w:t>How to Contact the Board</w:t>
            </w:r>
          </w:p>
        </w:tc>
        <w:tc>
          <w:tcPr>
            <w:tcW w:w="20" w:type="dxa"/>
            <w:vAlign w:val="bottom"/>
          </w:tcPr>
          <w:p>
            <w:pPr>
              <w:spacing w:after="0"/>
              <w:rPr>
                <w:sz w:val="15"/>
                <w:szCs w:val="15"/>
                <w:color w:val="auto"/>
              </w:rPr>
            </w:pPr>
          </w:p>
        </w:tc>
        <w:tc>
          <w:tcPr>
            <w:tcW w:w="1420" w:type="dxa"/>
            <w:vAlign w:val="bottom"/>
            <w:gridSpan w:val="5"/>
          </w:tcPr>
          <w:p>
            <w:pPr>
              <w:spacing w:after="0"/>
              <w:rPr>
                <w:sz w:val="15"/>
                <w:szCs w:val="15"/>
                <w:color w:val="auto"/>
              </w:rPr>
            </w:pPr>
          </w:p>
        </w:tc>
        <w:tc>
          <w:tcPr>
            <w:tcW w:w="3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Borders>
              <w:top w:val="single" w:sz="8" w:color="0000EE"/>
            </w:tcBorders>
            <w:gridSpan w:val="8"/>
          </w:tcPr>
          <w:p>
            <w:pPr>
              <w:spacing w:after="0" w:line="181" w:lineRule="exact"/>
              <w:rPr>
                <w:sz w:val="20"/>
                <w:szCs w:val="20"/>
                <w:color w:val="auto"/>
              </w:rPr>
            </w:pPr>
            <w:r>
              <w:rPr>
                <w:rFonts w:ascii="Arial" w:cs="Arial" w:eastAsia="Arial" w:hAnsi="Arial"/>
                <w:sz w:val="18"/>
                <w:szCs w:val="18"/>
                <w:color w:val="0000EE"/>
              </w:rPr>
              <w:t>2024 Annual Meeting –</w:t>
            </w:r>
          </w:p>
        </w:tc>
        <w:tc>
          <w:tcPr>
            <w:tcW w:w="6440" w:type="dxa"/>
            <w:vAlign w:val="bottom"/>
            <w:gridSpan w:val="14"/>
          </w:tcPr>
          <w:p>
            <w:pPr>
              <w:spacing w:after="0" w:line="181" w:lineRule="exact"/>
              <w:rPr>
                <w:sz w:val="20"/>
                <w:szCs w:val="20"/>
                <w:color w:val="auto"/>
              </w:rPr>
            </w:pPr>
            <w:r>
              <w:rPr>
                <w:rFonts w:ascii="Arial" w:cs="Arial" w:eastAsia="Arial" w:hAnsi="Arial"/>
                <w:sz w:val="18"/>
                <w:szCs w:val="18"/>
                <w:color w:val="0000EE"/>
              </w:rPr>
              <w:t>Questions from Shareholders</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0" w:type="dxa"/>
            <w:vAlign w:val="bottom"/>
            <w:tcBorders>
              <w:top w:val="single" w:sz="8" w:color="0000EE"/>
            </w:tcBorders>
            <w:gridSpan w:val="17"/>
          </w:tcPr>
          <w:p>
            <w:pPr>
              <w:spacing w:after="0" w:line="181" w:lineRule="exact"/>
              <w:rPr>
                <w:sz w:val="20"/>
                <w:szCs w:val="20"/>
                <w:color w:val="auto"/>
              </w:rPr>
            </w:pPr>
            <w:r>
              <w:rPr>
                <w:rFonts w:ascii="Arial" w:cs="Arial" w:eastAsia="Arial" w:hAnsi="Arial"/>
                <w:sz w:val="18"/>
                <w:szCs w:val="18"/>
                <w:color w:val="0000EE"/>
                <w:w w:val="98"/>
              </w:rPr>
              <w:t>Where to find Corporate Governance and Continuous</w:t>
            </w:r>
          </w:p>
        </w:tc>
        <w:tc>
          <w:tcPr>
            <w:tcW w:w="4280" w:type="dxa"/>
            <w:vAlign w:val="bottom"/>
            <w:gridSpan w:val="5"/>
          </w:tcPr>
          <w:p>
            <w:pPr>
              <w:ind w:left="60"/>
              <w:spacing w:after="0" w:line="181" w:lineRule="exact"/>
              <w:rPr>
                <w:sz w:val="20"/>
                <w:szCs w:val="20"/>
                <w:color w:val="auto"/>
              </w:rPr>
            </w:pPr>
            <w:r>
              <w:rPr>
                <w:rFonts w:ascii="Arial" w:cs="Arial" w:eastAsia="Arial" w:hAnsi="Arial"/>
                <w:sz w:val="18"/>
                <w:szCs w:val="18"/>
                <w:color w:val="0000EE"/>
              </w:rPr>
              <w:t>Disclosure Documents</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60" w:type="dxa"/>
            <w:vAlign w:val="bottom"/>
            <w:tcBorders>
              <w:top w:val="single" w:sz="8" w:color="0000EE"/>
            </w:tcBorders>
            <w:gridSpan w:val="20"/>
          </w:tcPr>
          <w:p>
            <w:pPr>
              <w:spacing w:after="0" w:line="181" w:lineRule="exact"/>
              <w:rPr>
                <w:sz w:val="20"/>
                <w:szCs w:val="20"/>
                <w:color w:val="auto"/>
              </w:rPr>
            </w:pPr>
            <w:r>
              <w:rPr>
                <w:rFonts w:ascii="Arial" w:cs="Arial" w:eastAsia="Arial" w:hAnsi="Arial"/>
                <w:sz w:val="18"/>
                <w:szCs w:val="18"/>
                <w:color w:val="0000EE"/>
              </w:rPr>
              <w:t>Thomson Reuters Trust Principles and Thomson Reuters Founders Share</w:t>
            </w:r>
          </w:p>
        </w:tc>
        <w:tc>
          <w:tcPr>
            <w:tcW w:w="2420" w:type="dxa"/>
            <w:vAlign w:val="bottom"/>
            <w:gridSpan w:val="2"/>
          </w:tcPr>
          <w:p>
            <w:pPr>
              <w:spacing w:after="0" w:line="181" w:lineRule="exact"/>
              <w:rPr>
                <w:sz w:val="20"/>
                <w:szCs w:val="20"/>
                <w:color w:val="auto"/>
              </w:rPr>
            </w:pPr>
            <w:r>
              <w:rPr>
                <w:rFonts w:ascii="Arial" w:cs="Arial" w:eastAsia="Arial" w:hAnsi="Arial"/>
                <w:sz w:val="18"/>
                <w:szCs w:val="18"/>
                <w:color w:val="0000EE"/>
              </w:rPr>
              <w:t>Company</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40" w:type="dxa"/>
            <w:vAlign w:val="bottom"/>
            <w:tcBorders>
              <w:top w:val="single" w:sz="8" w:color="0000EE"/>
            </w:tcBorders>
            <w:gridSpan w:val="21"/>
          </w:tcPr>
          <w:p>
            <w:pPr>
              <w:spacing w:after="0" w:line="181" w:lineRule="exact"/>
              <w:rPr>
                <w:sz w:val="20"/>
                <w:szCs w:val="20"/>
                <w:color w:val="auto"/>
              </w:rPr>
            </w:pPr>
            <w:r>
              <w:rPr>
                <w:rFonts w:ascii="Arial" w:cs="Arial" w:eastAsia="Arial" w:hAnsi="Arial"/>
                <w:sz w:val="18"/>
                <w:szCs w:val="18"/>
                <w:color w:val="0000EE"/>
              </w:rPr>
              <w:t>Additional Director Information</w:t>
            </w:r>
          </w:p>
        </w:tc>
        <w:tc>
          <w:tcPr>
            <w:tcW w:w="18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10"/>
          </w:tcPr>
          <w:p>
            <w:pPr>
              <w:spacing w:after="0" w:line="181" w:lineRule="exact"/>
              <w:rPr>
                <w:sz w:val="20"/>
                <w:szCs w:val="20"/>
                <w:color w:val="auto"/>
              </w:rPr>
            </w:pPr>
            <w:r>
              <w:rPr>
                <w:rFonts w:ascii="Arial" w:cs="Arial" w:eastAsia="Arial" w:hAnsi="Arial"/>
                <w:sz w:val="18"/>
                <w:szCs w:val="18"/>
                <w:color w:val="0000EE"/>
              </w:rPr>
              <w:t>Share Repurchases – Normal</w:t>
            </w:r>
          </w:p>
        </w:tc>
        <w:tc>
          <w:tcPr>
            <w:tcW w:w="1420" w:type="dxa"/>
            <w:vAlign w:val="bottom"/>
            <w:tcBorders>
              <w:bottom w:val="single" w:sz="8" w:color="0000EE"/>
            </w:tcBorders>
            <w:gridSpan w:val="5"/>
          </w:tcPr>
          <w:p>
            <w:pPr>
              <w:jc w:val="center"/>
              <w:spacing w:after="0" w:line="181" w:lineRule="exact"/>
              <w:rPr>
                <w:sz w:val="20"/>
                <w:szCs w:val="20"/>
                <w:color w:val="auto"/>
              </w:rPr>
            </w:pPr>
            <w:r>
              <w:rPr>
                <w:rFonts w:ascii="Arial" w:cs="Arial" w:eastAsia="Arial" w:hAnsi="Arial"/>
                <w:sz w:val="18"/>
                <w:szCs w:val="18"/>
                <w:color w:val="0000EE"/>
                <w:w w:val="99"/>
              </w:rPr>
              <w:t>Course Issuer Bid</w:t>
            </w:r>
          </w:p>
        </w:tc>
        <w:tc>
          <w:tcPr>
            <w:tcW w:w="4660" w:type="dxa"/>
            <w:vAlign w:val="bottom"/>
            <w:gridSpan w:val="7"/>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4060" w:type="dxa"/>
            <w:vAlign w:val="bottom"/>
            <w:gridSpan w:val="16"/>
          </w:tcPr>
          <w:p>
            <w:pPr>
              <w:spacing w:after="0" w:line="181" w:lineRule="exact"/>
              <w:rPr>
                <w:sz w:val="20"/>
                <w:szCs w:val="20"/>
                <w:color w:val="auto"/>
              </w:rPr>
            </w:pPr>
            <w:r>
              <w:rPr>
                <w:rFonts w:ascii="Arial" w:cs="Arial" w:eastAsia="Arial" w:hAnsi="Arial"/>
                <w:sz w:val="18"/>
                <w:szCs w:val="18"/>
                <w:color w:val="0000EE"/>
              </w:rPr>
              <w:t>Directors’ Approval</w:t>
            </w:r>
          </w:p>
        </w:tc>
        <w:tc>
          <w:tcPr>
            <w:tcW w:w="940" w:type="dxa"/>
            <w:vAlign w:val="bottom"/>
            <w:gridSpan w:val="3"/>
          </w:tcPr>
          <w:p>
            <w:pPr>
              <w:spacing w:after="0"/>
              <w:rPr>
                <w:sz w:val="15"/>
                <w:szCs w:val="15"/>
                <w:color w:val="auto"/>
              </w:rPr>
            </w:pPr>
          </w:p>
        </w:tc>
        <w:tc>
          <w:tcPr>
            <w:tcW w:w="3720" w:type="dxa"/>
            <w:vAlign w:val="bottom"/>
            <w:gridSpan w:val="4"/>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520" w:type="dxa"/>
            <w:vAlign w:val="bottom"/>
            <w:tcBorders>
              <w:top w:val="single" w:sz="8" w:color="0000EE"/>
            </w:tcBorders>
            <w:gridSpan w:val="3"/>
          </w:tcPr>
          <w:p>
            <w:pPr>
              <w:spacing w:after="0" w:line="181" w:lineRule="exact"/>
              <w:rPr>
                <w:sz w:val="20"/>
                <w:szCs w:val="20"/>
                <w:color w:val="auto"/>
              </w:rPr>
            </w:pPr>
            <w:r>
              <w:rPr>
                <w:rFonts w:ascii="Arial" w:cs="Arial" w:eastAsia="Arial" w:hAnsi="Arial"/>
                <w:sz w:val="18"/>
                <w:szCs w:val="18"/>
                <w:color w:val="0000EE"/>
                <w:w w:val="92"/>
              </w:rPr>
              <w:t>Appendix A – Equity</w:t>
            </w:r>
          </w:p>
        </w:tc>
        <w:tc>
          <w:tcPr>
            <w:tcW w:w="7200" w:type="dxa"/>
            <w:vAlign w:val="bottom"/>
            <w:gridSpan w:val="20"/>
          </w:tcPr>
          <w:p>
            <w:pPr>
              <w:jc w:val="center"/>
              <w:ind w:right="3580"/>
              <w:spacing w:after="0" w:line="181" w:lineRule="exact"/>
              <w:rPr>
                <w:sz w:val="20"/>
                <w:szCs w:val="20"/>
                <w:color w:val="auto"/>
              </w:rPr>
            </w:pPr>
            <w:r>
              <w:rPr>
                <w:rFonts w:ascii="Arial" w:cs="Arial" w:eastAsia="Arial" w:hAnsi="Arial"/>
                <w:sz w:val="18"/>
                <w:szCs w:val="18"/>
                <w:color w:val="0000EE"/>
                <w:w w:val="99"/>
              </w:rPr>
              <w:t>Compensation and Other Plan Information</w:t>
            </w: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5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2   Management Proxy Circular and Notice of Annual Meeting of Shareholders</w:t>
      </w:r>
    </w:p>
    <w:p>
      <w:pPr>
        <w:sectPr>
          <w:pgSz w:w="11900" w:h="16838" w:orient="portrait"/>
          <w:cols w:equalWidth="0" w:num="1">
            <w:col w:w="11020"/>
          </w:cols>
          <w:pgMar w:left="320" w:top="441"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Fast Facts About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358775</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right="380"/>
        <w:spacing w:after="0" w:line="243" w:lineRule="auto"/>
        <w:rPr>
          <w:sz w:val="20"/>
          <w:szCs w:val="20"/>
          <w:color w:val="auto"/>
        </w:rPr>
      </w:pPr>
      <w:r>
        <w:rPr>
          <w:rFonts w:ascii="Arial" w:cs="Arial" w:eastAsia="Arial" w:hAnsi="Arial"/>
          <w:sz w:val="27"/>
          <w:szCs w:val="27"/>
          <w:color w:val="auto"/>
        </w:rPr>
        <w:t>Thomson Reuters informs the way forward by bringing together the trusted content and technology that people and organizations need to make the right decisions. We serve professionals across legal, tax,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199390</wp:posOffset>
            </wp:positionV>
            <wp:extent cx="69297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describes some of our key operating characteristics: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shd w:val="clear" w:color="auto" w:fill="262626"/>
          </w:tcPr>
          <w:p>
            <w:pPr>
              <w:spacing w:after="0"/>
              <w:rPr>
                <w:sz w:val="14"/>
                <w:szCs w:val="14"/>
                <w:color w:val="auto"/>
              </w:rPr>
            </w:pPr>
          </w:p>
        </w:tc>
        <w:tc>
          <w:tcPr>
            <w:tcW w:w="1860" w:type="dxa"/>
            <w:vAlign w:val="bottom"/>
            <w:tcBorders>
              <w:right w:val="single" w:sz="8" w:color="262626"/>
            </w:tcBorders>
            <w:vMerge w:val="restart"/>
            <w:shd w:val="clear" w:color="auto" w:fill="262626"/>
          </w:tcPr>
          <w:p>
            <w:pPr>
              <w:ind w:left="240"/>
              <w:spacing w:after="0"/>
              <w:rPr>
                <w:sz w:val="20"/>
                <w:szCs w:val="20"/>
                <w:color w:val="auto"/>
              </w:rPr>
            </w:pPr>
            <w:r>
              <w:rPr>
                <w:rFonts w:ascii="Arial" w:cs="Arial" w:eastAsia="Arial" w:hAnsi="Arial"/>
                <w:sz w:val="15"/>
                <w:szCs w:val="15"/>
                <w:b w:val="1"/>
                <w:bCs w:val="1"/>
                <w:color w:val="FFFFFF"/>
              </w:rPr>
              <w:t>Attractive Industry</w:t>
            </w:r>
          </w:p>
        </w:tc>
        <w:tc>
          <w:tcPr>
            <w:tcW w:w="2280" w:type="dxa"/>
            <w:vAlign w:val="bottom"/>
            <w:tcBorders>
              <w:right w:val="single" w:sz="8" w:color="262626"/>
            </w:tcBorders>
            <w:shd w:val="clear" w:color="auto" w:fill="262626"/>
          </w:tcPr>
          <w:p>
            <w:pPr>
              <w:ind w:left="680"/>
              <w:spacing w:after="0"/>
              <w:rPr>
                <w:sz w:val="20"/>
                <w:szCs w:val="20"/>
                <w:color w:val="auto"/>
              </w:rPr>
            </w:pPr>
            <w:r>
              <w:rPr>
                <w:rFonts w:ascii="Arial" w:cs="Arial" w:eastAsia="Arial" w:hAnsi="Arial"/>
                <w:sz w:val="15"/>
                <w:szCs w:val="15"/>
                <w:b w:val="1"/>
                <w:bCs w:val="1"/>
                <w:color w:val="FFFFFF"/>
              </w:rPr>
              <w:t>Balanced and</w:t>
            </w:r>
          </w:p>
        </w:tc>
        <w:tc>
          <w:tcPr>
            <w:tcW w:w="100" w:type="dxa"/>
            <w:vAlign w:val="bottom"/>
            <w:shd w:val="clear" w:color="auto" w:fill="262626"/>
          </w:tcPr>
          <w:p>
            <w:pPr>
              <w:spacing w:after="0"/>
              <w:rPr>
                <w:sz w:val="14"/>
                <w:szCs w:val="14"/>
                <w:color w:val="auto"/>
              </w:rPr>
            </w:pPr>
          </w:p>
        </w:tc>
        <w:tc>
          <w:tcPr>
            <w:tcW w:w="2180" w:type="dxa"/>
            <w:vAlign w:val="bottom"/>
            <w:tcBorders>
              <w:right w:val="single" w:sz="8" w:color="262626"/>
            </w:tcBorders>
            <w:vMerge w:val="restart"/>
            <w:shd w:val="clear" w:color="auto" w:fill="262626"/>
          </w:tcPr>
          <w:p>
            <w:pPr>
              <w:ind w:left="140"/>
              <w:spacing w:after="0"/>
              <w:rPr>
                <w:sz w:val="20"/>
                <w:szCs w:val="20"/>
                <w:color w:val="auto"/>
              </w:rPr>
            </w:pPr>
            <w:r>
              <w:rPr>
                <w:rFonts w:ascii="Arial" w:cs="Arial" w:eastAsia="Arial" w:hAnsi="Arial"/>
                <w:sz w:val="15"/>
                <w:szCs w:val="15"/>
                <w:b w:val="1"/>
                <w:bCs w:val="1"/>
                <w:color w:val="FFFFFF"/>
              </w:rPr>
              <w:t>Attractive Business Model</w:t>
            </w:r>
          </w:p>
        </w:tc>
        <w:tc>
          <w:tcPr>
            <w:tcW w:w="2300" w:type="dxa"/>
            <w:vAlign w:val="bottom"/>
            <w:tcBorders>
              <w:right w:val="single" w:sz="8" w:color="262626"/>
            </w:tcBorders>
            <w:shd w:val="clear" w:color="auto" w:fill="262626"/>
          </w:tcPr>
          <w:p>
            <w:pPr>
              <w:ind w:left="500"/>
              <w:spacing w:after="0"/>
              <w:rPr>
                <w:sz w:val="20"/>
                <w:szCs w:val="20"/>
                <w:color w:val="auto"/>
              </w:rPr>
            </w:pPr>
            <w:r>
              <w:rPr>
                <w:rFonts w:ascii="Arial" w:cs="Arial" w:eastAsia="Arial" w:hAnsi="Arial"/>
                <w:sz w:val="15"/>
                <w:szCs w:val="15"/>
                <w:b w:val="1"/>
                <w:bCs w:val="1"/>
                <w:color w:val="FFFFFF"/>
              </w:rPr>
              <w:t>Strong Competitive</w:t>
            </w:r>
          </w:p>
        </w:tc>
        <w:tc>
          <w:tcPr>
            <w:tcW w:w="2180" w:type="dxa"/>
            <w:vAlign w:val="bottom"/>
            <w:shd w:val="clear" w:color="auto" w:fill="262626"/>
          </w:tcPr>
          <w:p>
            <w:pPr>
              <w:ind w:left="400"/>
              <w:spacing w:after="0"/>
              <w:rPr>
                <w:sz w:val="20"/>
                <w:szCs w:val="20"/>
                <w:color w:val="auto"/>
              </w:rPr>
            </w:pPr>
            <w:r>
              <w:rPr>
                <w:rFonts w:ascii="Arial" w:cs="Arial" w:eastAsia="Arial" w:hAnsi="Arial"/>
                <w:sz w:val="15"/>
                <w:szCs w:val="15"/>
                <w:b w:val="1"/>
                <w:bCs w:val="1"/>
                <w:color w:val="FFFFFF"/>
              </w:rPr>
              <w:t>Disciplined Financial</w:t>
            </w:r>
          </w:p>
        </w:tc>
        <w:tc>
          <w:tcPr>
            <w:tcW w:w="0" w:type="dxa"/>
            <w:vAlign w:val="bottom"/>
          </w:tcPr>
          <w:p>
            <w:pPr>
              <w:spacing w:after="0"/>
              <w:rPr>
                <w:sz w:val="1"/>
                <w:szCs w:val="1"/>
                <w:color w:val="auto"/>
              </w:rPr>
            </w:pPr>
          </w:p>
        </w:tc>
      </w:tr>
      <w:tr>
        <w:trPr>
          <w:trHeight w:val="207"/>
        </w:trPr>
        <w:tc>
          <w:tcPr>
            <w:tcW w:w="20" w:type="dxa"/>
            <w:vAlign w:val="bottom"/>
            <w:shd w:val="clear" w:color="auto" w:fill="262626"/>
          </w:tcPr>
          <w:p>
            <w:pPr>
              <w:spacing w:after="0"/>
              <w:rPr>
                <w:sz w:val="18"/>
                <w:szCs w:val="18"/>
                <w:color w:val="auto"/>
              </w:rPr>
            </w:pPr>
          </w:p>
        </w:tc>
        <w:tc>
          <w:tcPr>
            <w:tcW w:w="1860" w:type="dxa"/>
            <w:vAlign w:val="bottom"/>
            <w:tcBorders>
              <w:right w:val="single" w:sz="8" w:color="262626"/>
            </w:tcBorders>
            <w:vMerge w:val="continue"/>
            <w:shd w:val="clear" w:color="auto" w:fill="262626"/>
          </w:tcPr>
          <w:p>
            <w:pPr>
              <w:spacing w:after="0"/>
              <w:rPr>
                <w:sz w:val="18"/>
                <w:szCs w:val="18"/>
                <w:color w:val="auto"/>
              </w:rPr>
            </w:pPr>
          </w:p>
        </w:tc>
        <w:tc>
          <w:tcPr>
            <w:tcW w:w="2280" w:type="dxa"/>
            <w:vAlign w:val="bottom"/>
            <w:tcBorders>
              <w:right w:val="single" w:sz="8" w:color="262626"/>
            </w:tcBorders>
            <w:shd w:val="clear" w:color="auto" w:fill="262626"/>
          </w:tcPr>
          <w:p>
            <w:pPr>
              <w:ind w:left="360"/>
              <w:spacing w:after="0"/>
              <w:rPr>
                <w:sz w:val="20"/>
                <w:szCs w:val="20"/>
                <w:color w:val="auto"/>
              </w:rPr>
            </w:pPr>
            <w:r>
              <w:rPr>
                <w:rFonts w:ascii="Arial" w:cs="Arial" w:eastAsia="Arial" w:hAnsi="Arial"/>
                <w:sz w:val="15"/>
                <w:szCs w:val="15"/>
                <w:b w:val="1"/>
                <w:bCs w:val="1"/>
                <w:color w:val="FFFFFF"/>
              </w:rPr>
              <w:t>Diversified Leadership</w:t>
            </w:r>
          </w:p>
        </w:tc>
        <w:tc>
          <w:tcPr>
            <w:tcW w:w="100" w:type="dxa"/>
            <w:vAlign w:val="bottom"/>
            <w:shd w:val="clear" w:color="auto" w:fill="262626"/>
          </w:tcPr>
          <w:p>
            <w:pPr>
              <w:spacing w:after="0"/>
              <w:rPr>
                <w:sz w:val="18"/>
                <w:szCs w:val="18"/>
                <w:color w:val="auto"/>
              </w:rPr>
            </w:pPr>
          </w:p>
        </w:tc>
        <w:tc>
          <w:tcPr>
            <w:tcW w:w="2180" w:type="dxa"/>
            <w:vAlign w:val="bottom"/>
            <w:tcBorders>
              <w:right w:val="single" w:sz="8" w:color="262626"/>
            </w:tcBorders>
            <w:vMerge w:val="continue"/>
            <w:shd w:val="clear" w:color="auto" w:fill="262626"/>
          </w:tcPr>
          <w:p>
            <w:pPr>
              <w:spacing w:after="0"/>
              <w:rPr>
                <w:sz w:val="18"/>
                <w:szCs w:val="18"/>
                <w:color w:val="auto"/>
              </w:rPr>
            </w:pPr>
          </w:p>
        </w:tc>
        <w:tc>
          <w:tcPr>
            <w:tcW w:w="2300" w:type="dxa"/>
            <w:vAlign w:val="bottom"/>
            <w:tcBorders>
              <w:right w:val="single" w:sz="8" w:color="262626"/>
            </w:tcBorders>
            <w:shd w:val="clear" w:color="auto" w:fill="262626"/>
          </w:tcPr>
          <w:p>
            <w:pPr>
              <w:ind w:left="780"/>
              <w:spacing w:after="0"/>
              <w:rPr>
                <w:sz w:val="20"/>
                <w:szCs w:val="20"/>
                <w:color w:val="auto"/>
              </w:rPr>
            </w:pPr>
            <w:r>
              <w:rPr>
                <w:rFonts w:ascii="Arial" w:cs="Arial" w:eastAsia="Arial" w:hAnsi="Arial"/>
                <w:sz w:val="15"/>
                <w:szCs w:val="15"/>
                <w:b w:val="1"/>
                <w:bCs w:val="1"/>
                <w:color w:val="FFFFFF"/>
              </w:rPr>
              <w:t>Positioning</w:t>
            </w:r>
          </w:p>
        </w:tc>
        <w:tc>
          <w:tcPr>
            <w:tcW w:w="2180" w:type="dxa"/>
            <w:vAlign w:val="bottom"/>
            <w:shd w:val="clear" w:color="auto" w:fill="262626"/>
          </w:tcPr>
          <w:p>
            <w:pPr>
              <w:ind w:left="860"/>
              <w:spacing w:after="0"/>
              <w:rPr>
                <w:sz w:val="20"/>
                <w:szCs w:val="20"/>
                <w:color w:val="auto"/>
              </w:rPr>
            </w:pPr>
            <w:r>
              <w:rPr>
                <w:rFonts w:ascii="Arial" w:cs="Arial" w:eastAsia="Arial" w:hAnsi="Arial"/>
                <w:sz w:val="15"/>
                <w:szCs w:val="15"/>
                <w:b w:val="1"/>
                <w:bCs w:val="1"/>
                <w:color w:val="FFFFFF"/>
              </w:rPr>
              <w:t>Policies</w:t>
            </w:r>
          </w:p>
        </w:tc>
        <w:tc>
          <w:tcPr>
            <w:tcW w:w="0" w:type="dxa"/>
            <w:vAlign w:val="bottom"/>
          </w:tcPr>
          <w:p>
            <w:pPr>
              <w:spacing w:after="0"/>
              <w:rPr>
                <w:sz w:val="1"/>
                <w:szCs w:val="1"/>
                <w:color w:val="auto"/>
              </w:rPr>
            </w:pPr>
          </w:p>
        </w:tc>
      </w:tr>
      <w:tr>
        <w:trPr>
          <w:trHeight w:val="64"/>
        </w:trPr>
        <w:tc>
          <w:tcPr>
            <w:tcW w:w="1880" w:type="dxa"/>
            <w:vAlign w:val="bottom"/>
            <w:tcBorders>
              <w:right w:val="single" w:sz="8" w:color="262626"/>
            </w:tcBorders>
            <w:gridSpan w:val="2"/>
            <w:shd w:val="clear" w:color="auto" w:fill="262626"/>
          </w:tcPr>
          <w:p>
            <w:pPr>
              <w:spacing w:after="0"/>
              <w:rPr>
                <w:sz w:val="5"/>
                <w:szCs w:val="5"/>
                <w:color w:val="auto"/>
              </w:rPr>
            </w:pPr>
          </w:p>
        </w:tc>
        <w:tc>
          <w:tcPr>
            <w:tcW w:w="2280" w:type="dxa"/>
            <w:vAlign w:val="bottom"/>
            <w:tcBorders>
              <w:right w:val="single" w:sz="8" w:color="262626"/>
            </w:tcBorders>
            <w:shd w:val="clear" w:color="auto" w:fill="262626"/>
          </w:tcPr>
          <w:p>
            <w:pPr>
              <w:spacing w:after="0"/>
              <w:rPr>
                <w:sz w:val="5"/>
                <w:szCs w:val="5"/>
                <w:color w:val="auto"/>
              </w:rPr>
            </w:pPr>
          </w:p>
        </w:tc>
        <w:tc>
          <w:tcPr>
            <w:tcW w:w="2280" w:type="dxa"/>
            <w:vAlign w:val="bottom"/>
            <w:tcBorders>
              <w:right w:val="single" w:sz="8" w:color="262626"/>
            </w:tcBorders>
            <w:gridSpan w:val="2"/>
            <w:shd w:val="clear" w:color="auto" w:fill="262626"/>
          </w:tcPr>
          <w:p>
            <w:pPr>
              <w:spacing w:after="0"/>
              <w:rPr>
                <w:sz w:val="5"/>
                <w:szCs w:val="5"/>
                <w:color w:val="auto"/>
              </w:rPr>
            </w:pPr>
          </w:p>
        </w:tc>
        <w:tc>
          <w:tcPr>
            <w:tcW w:w="2300" w:type="dxa"/>
            <w:vAlign w:val="bottom"/>
            <w:tcBorders>
              <w:right w:val="single" w:sz="8" w:color="262626"/>
            </w:tcBorders>
            <w:shd w:val="clear" w:color="auto" w:fill="262626"/>
          </w:tcPr>
          <w:p>
            <w:pPr>
              <w:spacing w:after="0"/>
              <w:rPr>
                <w:sz w:val="5"/>
                <w:szCs w:val="5"/>
                <w:color w:val="auto"/>
              </w:rPr>
            </w:pPr>
          </w:p>
        </w:tc>
        <w:tc>
          <w:tcPr>
            <w:tcW w:w="2180" w:type="dxa"/>
            <w:vAlign w:val="bottom"/>
            <w:shd w:val="clear" w:color="auto" w:fill="262626"/>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880" w:type="dxa"/>
            <w:vAlign w:val="bottom"/>
            <w:tcBorders>
              <w:right w:val="single" w:sz="8" w:color="AFAFAF"/>
            </w:tcBorders>
            <w:gridSpan w:val="2"/>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Currently our “Big 3”</w:t>
            </w:r>
          </w:p>
        </w:tc>
        <w:tc>
          <w:tcPr>
            <w:tcW w:w="2280" w:type="dxa"/>
            <w:vAlign w:val="bottom"/>
            <w:tcBorders>
              <w:right w:val="single" w:sz="8" w:color="AFAFAF"/>
            </w:tcBorders>
          </w:tcPr>
          <w:p>
            <w:pPr>
              <w:spacing w:after="0"/>
              <w:rPr>
                <w:sz w:val="18"/>
                <w:szCs w:val="18"/>
                <w:color w:val="auto"/>
              </w:rPr>
            </w:pPr>
          </w:p>
        </w:tc>
        <w:tc>
          <w:tcPr>
            <w:tcW w:w="2280" w:type="dxa"/>
            <w:vAlign w:val="bottom"/>
            <w:tcBorders>
              <w:right w:val="single" w:sz="8" w:color="AFAFAF"/>
            </w:tcBorders>
            <w:gridSpan w:val="2"/>
          </w:tcPr>
          <w:p>
            <w:pPr>
              <w:ind w:left="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80% of revenues are</w:t>
            </w:r>
          </w:p>
        </w:tc>
        <w:tc>
          <w:tcPr>
            <w:tcW w:w="2300" w:type="dxa"/>
            <w:vAlign w:val="bottom"/>
            <w:tcBorders>
              <w:right w:val="single" w:sz="8" w:color="AFAFAF"/>
            </w:tcBorders>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Proprietary content plus</w:t>
            </w:r>
          </w:p>
        </w:tc>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Focused and incentivized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Borders>
              <w:right w:val="single" w:sz="8" w:color="AFAFAF"/>
            </w:tcBorders>
          </w:tcPr>
          <w:p>
            <w:pPr>
              <w:ind w:left="200"/>
              <w:spacing w:after="0"/>
              <w:rPr>
                <w:sz w:val="20"/>
                <w:szCs w:val="20"/>
                <w:color w:val="auto"/>
              </w:rPr>
            </w:pPr>
            <w:r>
              <w:rPr>
                <w:rFonts w:ascii="Arial" w:cs="Arial" w:eastAsia="Arial" w:hAnsi="Arial"/>
                <w:sz w:val="16"/>
                <w:szCs w:val="16"/>
                <w:color w:val="auto"/>
              </w:rPr>
              <w:t>segments operate in</w:t>
            </w:r>
          </w:p>
        </w:tc>
        <w:tc>
          <w:tcPr>
            <w:tcW w:w="2280" w:type="dxa"/>
            <w:vAlign w:val="bottom"/>
            <w:tcBorders>
              <w:right w:val="single" w:sz="8" w:color="AFAFAF"/>
            </w:tcBorders>
          </w:tcPr>
          <w:p>
            <w:pPr>
              <w:ind w:left="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A leader in key Legal</w:t>
            </w:r>
          </w:p>
        </w:tc>
        <w:tc>
          <w:tcPr>
            <w:tcW w:w="100" w:type="dxa"/>
            <w:vAlign w:val="bottom"/>
          </w:tcPr>
          <w:p>
            <w:pPr>
              <w:spacing w:after="0"/>
              <w:rPr>
                <w:sz w:val="17"/>
                <w:szCs w:val="17"/>
                <w:color w:val="auto"/>
              </w:rPr>
            </w:pPr>
          </w:p>
        </w:tc>
        <w:tc>
          <w:tcPr>
            <w:tcW w:w="2180" w:type="dxa"/>
            <w:vAlign w:val="bottom"/>
            <w:tcBorders>
              <w:right w:val="single" w:sz="8" w:color="AFAFAF"/>
            </w:tcBorders>
          </w:tcPr>
          <w:p>
            <w:pPr>
              <w:ind w:left="200"/>
              <w:spacing w:after="0"/>
              <w:rPr>
                <w:sz w:val="20"/>
                <w:szCs w:val="20"/>
                <w:color w:val="auto"/>
              </w:rPr>
            </w:pPr>
            <w:r>
              <w:rPr>
                <w:rFonts w:ascii="Arial" w:cs="Arial" w:eastAsia="Arial" w:hAnsi="Arial"/>
                <w:sz w:val="16"/>
                <w:szCs w:val="16"/>
                <w:color w:val="auto"/>
              </w:rPr>
              <w:t>recurring</w:t>
            </w:r>
          </w:p>
        </w:tc>
        <w:tc>
          <w:tcPr>
            <w:tcW w:w="2300" w:type="dxa"/>
            <w:vAlign w:val="bottom"/>
            <w:tcBorders>
              <w:right w:val="single" w:sz="8" w:color="AFAFAF"/>
            </w:tcBorders>
          </w:tcPr>
          <w:p>
            <w:pPr>
              <w:ind w:left="320"/>
              <w:spacing w:after="0"/>
              <w:rPr>
                <w:sz w:val="20"/>
                <w:szCs w:val="20"/>
                <w:color w:val="auto"/>
              </w:rPr>
            </w:pPr>
            <w:r>
              <w:rPr>
                <w:rFonts w:ascii="Arial" w:cs="Arial" w:eastAsia="Arial" w:hAnsi="Arial"/>
                <w:sz w:val="16"/>
                <w:szCs w:val="16"/>
                <w:color w:val="auto"/>
              </w:rPr>
              <w:t>data and human expertise</w:t>
            </w:r>
          </w:p>
        </w:tc>
        <w:tc>
          <w:tcPr>
            <w:tcW w:w="2180" w:type="dxa"/>
            <w:vAlign w:val="bottom"/>
          </w:tcPr>
          <w:p>
            <w:pPr>
              <w:ind w:left="320"/>
              <w:spacing w:after="0"/>
              <w:rPr>
                <w:sz w:val="20"/>
                <w:szCs w:val="20"/>
                <w:color w:val="auto"/>
              </w:rPr>
            </w:pPr>
            <w:r>
              <w:rPr>
                <w:rFonts w:ascii="Arial" w:cs="Arial" w:eastAsia="Arial" w:hAnsi="Arial"/>
                <w:sz w:val="16"/>
                <w:szCs w:val="16"/>
                <w:color w:val="auto"/>
              </w:rPr>
              <w:t>on organic revenue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Borders>
              <w:right w:val="single" w:sz="8" w:color="AFAFAF"/>
            </w:tcBorders>
          </w:tcPr>
          <w:p>
            <w:pPr>
              <w:ind w:left="200"/>
              <w:spacing w:after="0" w:line="173" w:lineRule="exact"/>
              <w:rPr>
                <w:sz w:val="20"/>
                <w:szCs w:val="20"/>
                <w:color w:val="auto"/>
              </w:rPr>
            </w:pPr>
            <w:r>
              <w:rPr>
                <w:rFonts w:ascii="Arial" w:cs="Arial" w:eastAsia="Arial" w:hAnsi="Arial"/>
                <w:sz w:val="16"/>
                <w:szCs w:val="16"/>
                <w:color w:val="auto"/>
              </w:rPr>
              <w:t>an estimated</w:t>
            </w:r>
          </w:p>
        </w:tc>
        <w:tc>
          <w:tcPr>
            <w:tcW w:w="2280" w:type="dxa"/>
            <w:vAlign w:val="bottom"/>
            <w:tcBorders>
              <w:right w:val="single" w:sz="8" w:color="AFAFAF"/>
            </w:tcBorders>
            <w:vMerge w:val="restart"/>
          </w:tcPr>
          <w:p>
            <w:pPr>
              <w:ind w:left="300"/>
              <w:spacing w:after="0"/>
              <w:rPr>
                <w:sz w:val="20"/>
                <w:szCs w:val="20"/>
                <w:color w:val="auto"/>
              </w:rPr>
            </w:pPr>
            <w:r>
              <w:rPr>
                <w:rFonts w:ascii="Arial" w:cs="Arial" w:eastAsia="Arial" w:hAnsi="Arial"/>
                <w:sz w:val="16"/>
                <w:szCs w:val="16"/>
                <w:color w:val="auto"/>
              </w:rPr>
              <w:t>Professionals, Corporates,</w:t>
            </w:r>
          </w:p>
        </w:tc>
        <w:tc>
          <w:tcPr>
            <w:tcW w:w="2280" w:type="dxa"/>
            <w:vAlign w:val="bottom"/>
            <w:tcBorders>
              <w:right w:val="single" w:sz="8" w:color="AFAFAF"/>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Fixed cost model supports</w:t>
            </w:r>
          </w:p>
        </w:tc>
        <w:tc>
          <w:tcPr>
            <w:tcW w:w="2300" w:type="dxa"/>
            <w:vAlign w:val="bottom"/>
            <w:tcBorders>
              <w:right w:val="single" w:sz="8" w:color="AFAFAF"/>
            </w:tcBorders>
          </w:tcPr>
          <w:p>
            <w:pPr>
              <w:ind w:left="320"/>
              <w:spacing w:after="0" w:line="173" w:lineRule="exact"/>
              <w:rPr>
                <w:sz w:val="20"/>
                <w:szCs w:val="20"/>
                <w:color w:val="auto"/>
              </w:rPr>
            </w:pPr>
            <w:r>
              <w:rPr>
                <w:rFonts w:ascii="Arial" w:cs="Arial" w:eastAsia="Arial" w:hAnsi="Arial"/>
                <w:sz w:val="16"/>
                <w:szCs w:val="16"/>
                <w:color w:val="auto"/>
              </w:rPr>
              <w:t>combined with artificial</w:t>
            </w:r>
          </w:p>
        </w:tc>
        <w:tc>
          <w:tcPr>
            <w:tcW w:w="2180" w:type="dxa"/>
            <w:vAlign w:val="bottom"/>
          </w:tcPr>
          <w:p>
            <w:pPr>
              <w:ind w:left="320"/>
              <w:spacing w:after="0" w:line="173" w:lineRule="exact"/>
              <w:rPr>
                <w:sz w:val="20"/>
                <w:szCs w:val="20"/>
                <w:color w:val="auto"/>
              </w:rPr>
            </w:pPr>
            <w:r>
              <w:rPr>
                <w:rFonts w:ascii="Arial" w:cs="Arial" w:eastAsia="Arial" w:hAnsi="Arial"/>
                <w:sz w:val="16"/>
                <w:szCs w:val="16"/>
                <w:color w:val="auto"/>
              </w:rPr>
              <w:t>growth and free cash flow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860" w:type="dxa"/>
            <w:vAlign w:val="bottom"/>
            <w:tcBorders>
              <w:right w:val="single" w:sz="8" w:color="AFAFAF"/>
            </w:tcBorders>
            <w:vMerge w:val="restart"/>
          </w:tcPr>
          <w:p>
            <w:pPr>
              <w:ind w:left="200"/>
              <w:spacing w:after="0"/>
              <w:rPr>
                <w:sz w:val="20"/>
                <w:szCs w:val="20"/>
                <w:color w:val="auto"/>
              </w:rPr>
            </w:pPr>
            <w:r>
              <w:rPr>
                <w:rFonts w:ascii="Arial" w:cs="Arial" w:eastAsia="Arial" w:hAnsi="Arial"/>
                <w:sz w:val="16"/>
                <w:szCs w:val="16"/>
                <w:color w:val="auto"/>
              </w:rPr>
              <w:t>$26 billion market</w:t>
            </w:r>
          </w:p>
        </w:tc>
        <w:tc>
          <w:tcPr>
            <w:tcW w:w="2280" w:type="dxa"/>
            <w:vAlign w:val="bottom"/>
            <w:tcBorders>
              <w:right w:val="single" w:sz="8" w:color="AFAFAF"/>
            </w:tcBorders>
            <w:vMerge w:val="continue"/>
          </w:tcPr>
          <w:p>
            <w:pPr>
              <w:spacing w:after="0"/>
              <w:rPr>
                <w:sz w:val="8"/>
                <w:szCs w:val="8"/>
                <w:color w:val="auto"/>
              </w:rPr>
            </w:pPr>
          </w:p>
        </w:tc>
        <w:tc>
          <w:tcPr>
            <w:tcW w:w="2280" w:type="dxa"/>
            <w:vAlign w:val="bottom"/>
            <w:tcBorders>
              <w:right w:val="single" w:sz="8" w:color="AFAFAF"/>
            </w:tcBorders>
            <w:gridSpan w:val="2"/>
            <w:vMerge w:val="continue"/>
          </w:tcPr>
          <w:p>
            <w:pPr>
              <w:spacing w:after="0"/>
              <w:rPr>
                <w:sz w:val="8"/>
                <w:szCs w:val="8"/>
                <w:color w:val="auto"/>
              </w:rPr>
            </w:pPr>
          </w:p>
        </w:tc>
        <w:tc>
          <w:tcPr>
            <w:tcW w:w="2300" w:type="dxa"/>
            <w:vAlign w:val="bottom"/>
            <w:tcBorders>
              <w:right w:val="single" w:sz="8" w:color="AFAFAF"/>
            </w:tcBorders>
            <w:vMerge w:val="restart"/>
          </w:tcPr>
          <w:p>
            <w:pPr>
              <w:ind w:left="320"/>
              <w:spacing w:after="0"/>
              <w:rPr>
                <w:sz w:val="20"/>
                <w:szCs w:val="20"/>
                <w:color w:val="auto"/>
              </w:rPr>
            </w:pPr>
            <w:r>
              <w:rPr>
                <w:rFonts w:ascii="Arial" w:cs="Arial" w:eastAsia="Arial" w:hAnsi="Arial"/>
                <w:sz w:val="16"/>
                <w:szCs w:val="16"/>
                <w:color w:val="auto"/>
              </w:rPr>
              <w:t>intelligence (AI) and</w:t>
            </w: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60" w:type="dxa"/>
            <w:vAlign w:val="bottom"/>
            <w:tcBorders>
              <w:right w:val="single" w:sz="8" w:color="AFAFAF"/>
            </w:tcBorders>
            <w:vMerge w:val="continue"/>
          </w:tcPr>
          <w:p>
            <w:pPr>
              <w:spacing w:after="0"/>
              <w:rPr>
                <w:sz w:val="9"/>
                <w:szCs w:val="9"/>
                <w:color w:val="auto"/>
              </w:rPr>
            </w:pPr>
          </w:p>
        </w:tc>
        <w:tc>
          <w:tcPr>
            <w:tcW w:w="2280" w:type="dxa"/>
            <w:vAlign w:val="bottom"/>
            <w:tcBorders>
              <w:right w:val="single" w:sz="8" w:color="AFAFAF"/>
            </w:tcBorders>
          </w:tcPr>
          <w:p>
            <w:pPr>
              <w:ind w:left="300"/>
              <w:spacing w:after="0" w:line="107" w:lineRule="exact"/>
              <w:rPr>
                <w:sz w:val="20"/>
                <w:szCs w:val="20"/>
                <w:color w:val="auto"/>
              </w:rPr>
            </w:pPr>
            <w:r>
              <w:rPr>
                <w:rFonts w:ascii="Arial" w:cs="Arial" w:eastAsia="Arial" w:hAnsi="Arial"/>
                <w:sz w:val="12"/>
                <w:szCs w:val="12"/>
                <w:color w:val="auto"/>
              </w:rPr>
              <w:t>Tax &amp; Accounting</w:t>
            </w:r>
          </w:p>
        </w:tc>
        <w:tc>
          <w:tcPr>
            <w:tcW w:w="100" w:type="dxa"/>
            <w:vAlign w:val="bottom"/>
          </w:tcPr>
          <w:p>
            <w:pPr>
              <w:spacing w:after="0"/>
              <w:rPr>
                <w:sz w:val="9"/>
                <w:szCs w:val="9"/>
                <w:color w:val="auto"/>
              </w:rPr>
            </w:pPr>
          </w:p>
        </w:tc>
        <w:tc>
          <w:tcPr>
            <w:tcW w:w="2180" w:type="dxa"/>
            <w:vAlign w:val="bottom"/>
            <w:tcBorders>
              <w:right w:val="single" w:sz="8" w:color="AFAFAF"/>
            </w:tcBorders>
            <w:vMerge w:val="restart"/>
          </w:tcPr>
          <w:p>
            <w:pPr>
              <w:ind w:left="200"/>
              <w:spacing w:after="0"/>
              <w:rPr>
                <w:sz w:val="20"/>
                <w:szCs w:val="20"/>
                <w:color w:val="auto"/>
              </w:rPr>
            </w:pPr>
            <w:r>
              <w:rPr>
                <w:rFonts w:ascii="Arial" w:cs="Arial" w:eastAsia="Arial" w:hAnsi="Arial"/>
                <w:sz w:val="16"/>
                <w:szCs w:val="16"/>
                <w:color w:val="auto"/>
              </w:rPr>
              <w:t>long-term operating</w:t>
            </w:r>
          </w:p>
        </w:tc>
        <w:tc>
          <w:tcPr>
            <w:tcW w:w="2300" w:type="dxa"/>
            <w:vAlign w:val="bottom"/>
            <w:tcBorders>
              <w:right w:val="single" w:sz="8" w:color="AFAFAF"/>
            </w:tcBorders>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tcBorders>
              <w:right w:val="single" w:sz="8" w:color="AFAFAF"/>
            </w:tcBorders>
            <w:vMerge w:val="restart"/>
          </w:tcPr>
          <w:p>
            <w:pPr>
              <w:ind w:left="200"/>
              <w:spacing w:after="0" w:line="173" w:lineRule="exact"/>
              <w:rPr>
                <w:sz w:val="20"/>
                <w:szCs w:val="20"/>
                <w:color w:val="auto"/>
              </w:rPr>
            </w:pPr>
            <w:r>
              <w:rPr>
                <w:rFonts w:ascii="Arial" w:cs="Arial" w:eastAsia="Arial" w:hAnsi="Arial"/>
                <w:sz w:val="16"/>
                <w:szCs w:val="16"/>
                <w:color w:val="auto"/>
              </w:rPr>
              <w:t>expected to grow</w:t>
            </w:r>
          </w:p>
        </w:tc>
        <w:tc>
          <w:tcPr>
            <w:tcW w:w="2280" w:type="dxa"/>
            <w:vAlign w:val="bottom"/>
            <w:tcBorders>
              <w:right w:val="single" w:sz="8" w:color="AFAFAF"/>
            </w:tcBorders>
            <w:vMerge w:val="restart"/>
          </w:tcPr>
          <w:p>
            <w:pPr>
              <w:ind w:left="300"/>
              <w:spacing w:after="0"/>
              <w:rPr>
                <w:sz w:val="20"/>
                <w:szCs w:val="20"/>
                <w:color w:val="auto"/>
              </w:rPr>
            </w:pPr>
            <w:r>
              <w:rPr>
                <w:rFonts w:ascii="Arial" w:cs="Arial" w:eastAsia="Arial" w:hAnsi="Arial"/>
                <w:sz w:val="16"/>
                <w:szCs w:val="16"/>
                <w:color w:val="auto"/>
              </w:rPr>
              <w:t>Professionals and News</w:t>
            </w:r>
          </w:p>
        </w:tc>
        <w:tc>
          <w:tcPr>
            <w:tcW w:w="100" w:type="dxa"/>
            <w:vAlign w:val="bottom"/>
          </w:tcPr>
          <w:p>
            <w:pPr>
              <w:spacing w:after="0"/>
              <w:rPr>
                <w:sz w:val="9"/>
                <w:szCs w:val="9"/>
                <w:color w:val="auto"/>
              </w:rPr>
            </w:pPr>
          </w:p>
        </w:tc>
        <w:tc>
          <w:tcPr>
            <w:tcW w:w="2180" w:type="dxa"/>
            <w:vAlign w:val="bottom"/>
            <w:tcBorders>
              <w:right w:val="single" w:sz="8" w:color="AFAFAF"/>
            </w:tcBorders>
            <w:vMerge w:val="continue"/>
          </w:tcPr>
          <w:p>
            <w:pPr>
              <w:spacing w:after="0"/>
              <w:rPr>
                <w:sz w:val="9"/>
                <w:szCs w:val="9"/>
                <w:color w:val="auto"/>
              </w:rPr>
            </w:pPr>
          </w:p>
        </w:tc>
        <w:tc>
          <w:tcPr>
            <w:tcW w:w="2300" w:type="dxa"/>
            <w:vAlign w:val="bottom"/>
            <w:tcBorders>
              <w:right w:val="single" w:sz="8" w:color="AFAFAF"/>
            </w:tcBorders>
            <w:vMerge w:val="restart"/>
          </w:tcPr>
          <w:p>
            <w:pPr>
              <w:ind w:left="320"/>
              <w:spacing w:after="0" w:line="173" w:lineRule="exact"/>
              <w:rPr>
                <w:sz w:val="20"/>
                <w:szCs w:val="20"/>
                <w:color w:val="auto"/>
              </w:rPr>
            </w:pPr>
            <w:r>
              <w:rPr>
                <w:rFonts w:ascii="Arial" w:cs="Arial" w:eastAsia="Arial" w:hAnsi="Arial"/>
                <w:sz w:val="16"/>
                <w:szCs w:val="16"/>
                <w:color w:val="auto"/>
              </w:rPr>
              <w:t>machine learning (ML) are</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860" w:type="dxa"/>
            <w:vAlign w:val="bottom"/>
            <w:tcBorders>
              <w:right w:val="single" w:sz="8" w:color="AFAFAF"/>
            </w:tcBorders>
            <w:vMerge w:val="continue"/>
          </w:tcPr>
          <w:p>
            <w:pPr>
              <w:spacing w:after="0"/>
              <w:rPr>
                <w:sz w:val="5"/>
                <w:szCs w:val="5"/>
                <w:color w:val="auto"/>
              </w:rPr>
            </w:pPr>
          </w:p>
        </w:tc>
        <w:tc>
          <w:tcPr>
            <w:tcW w:w="2280" w:type="dxa"/>
            <w:vAlign w:val="bottom"/>
            <w:tcBorders>
              <w:right w:val="single" w:sz="8" w:color="AFAFA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tcBorders>
              <w:right w:val="single" w:sz="8" w:color="AFAFAF"/>
            </w:tcBorders>
            <w:vMerge w:val="restart"/>
          </w:tcPr>
          <w:p>
            <w:pPr>
              <w:ind w:left="200"/>
              <w:spacing w:after="0" w:line="161" w:lineRule="exact"/>
              <w:rPr>
                <w:sz w:val="20"/>
                <w:szCs w:val="20"/>
                <w:color w:val="auto"/>
              </w:rPr>
            </w:pPr>
            <w:r>
              <w:rPr>
                <w:rFonts w:ascii="Arial" w:cs="Arial" w:eastAsia="Arial" w:hAnsi="Arial"/>
                <w:sz w:val="16"/>
                <w:szCs w:val="16"/>
                <w:color w:val="auto"/>
              </w:rPr>
              <w:t>leverage</w:t>
            </w:r>
          </w:p>
        </w:tc>
        <w:tc>
          <w:tcPr>
            <w:tcW w:w="2300" w:type="dxa"/>
            <w:vAlign w:val="bottom"/>
            <w:tcBorders>
              <w:right w:val="single" w:sz="8" w:color="AFAFAF"/>
            </w:tcBorders>
            <w:vMerge w:val="continue"/>
          </w:tcPr>
          <w:p>
            <w:pPr>
              <w:spacing w:after="0"/>
              <w:rPr>
                <w:sz w:val="5"/>
                <w:szCs w:val="5"/>
                <w:color w:val="auto"/>
              </w:rPr>
            </w:pPr>
          </w:p>
        </w:tc>
        <w:tc>
          <w:tcPr>
            <w:tcW w:w="218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Balance investing in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860" w:type="dxa"/>
            <w:vAlign w:val="bottom"/>
            <w:tcBorders>
              <w:right w:val="single" w:sz="8" w:color="AFAFAF"/>
            </w:tcBorders>
            <w:vMerge w:val="restart"/>
          </w:tcPr>
          <w:p>
            <w:pPr>
              <w:ind w:left="200"/>
              <w:spacing w:after="0"/>
              <w:rPr>
                <w:sz w:val="20"/>
                <w:szCs w:val="20"/>
                <w:color w:val="auto"/>
              </w:rPr>
            </w:pPr>
            <w:r>
              <w:rPr>
                <w:rFonts w:ascii="Arial" w:cs="Arial" w:eastAsia="Arial" w:hAnsi="Arial"/>
                <w:sz w:val="16"/>
                <w:szCs w:val="16"/>
                <w:color w:val="auto"/>
              </w:rPr>
              <w:t>between 7% and 10%</w:t>
            </w:r>
          </w:p>
        </w:tc>
        <w:tc>
          <w:tcPr>
            <w:tcW w:w="2280" w:type="dxa"/>
            <w:vAlign w:val="bottom"/>
            <w:tcBorders>
              <w:right w:val="single" w:sz="8" w:color="AFAFAF"/>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tcBorders>
              <w:right w:val="single" w:sz="8" w:color="AFAFAF"/>
            </w:tcBorders>
            <w:vMerge w:val="continue"/>
          </w:tcPr>
          <w:p>
            <w:pPr>
              <w:spacing w:after="0"/>
              <w:rPr>
                <w:sz w:val="8"/>
                <w:szCs w:val="8"/>
                <w:color w:val="auto"/>
              </w:rPr>
            </w:pPr>
          </w:p>
        </w:tc>
        <w:tc>
          <w:tcPr>
            <w:tcW w:w="2300" w:type="dxa"/>
            <w:vAlign w:val="bottom"/>
            <w:tcBorders>
              <w:right w:val="single" w:sz="8" w:color="AFAFAF"/>
            </w:tcBorders>
            <w:vMerge w:val="restart"/>
          </w:tcPr>
          <w:p>
            <w:pPr>
              <w:ind w:left="320"/>
              <w:spacing w:after="0"/>
              <w:rPr>
                <w:sz w:val="20"/>
                <w:szCs w:val="20"/>
                <w:color w:val="auto"/>
              </w:rPr>
            </w:pPr>
            <w:r>
              <w:rPr>
                <w:rFonts w:ascii="Arial" w:cs="Arial" w:eastAsia="Arial" w:hAnsi="Arial"/>
                <w:sz w:val="16"/>
                <w:szCs w:val="16"/>
                <w:color w:val="auto"/>
              </w:rPr>
              <w:t>key differentiators</w:t>
            </w: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60" w:type="dxa"/>
            <w:vAlign w:val="bottom"/>
            <w:tcBorders>
              <w:right w:val="single" w:sz="8" w:color="AFAFAF"/>
            </w:tcBorders>
            <w:vMerge w:val="continue"/>
          </w:tcPr>
          <w:p>
            <w:pPr>
              <w:spacing w:after="0"/>
              <w:rPr>
                <w:sz w:val="9"/>
                <w:szCs w:val="9"/>
                <w:color w:val="auto"/>
              </w:rPr>
            </w:pPr>
          </w:p>
        </w:tc>
        <w:tc>
          <w:tcPr>
            <w:tcW w:w="2280" w:type="dxa"/>
            <w:vAlign w:val="bottom"/>
            <w:tcBorders>
              <w:right w:val="single" w:sz="8" w:color="AFAFAF"/>
            </w:tcBorders>
          </w:tcPr>
          <w:p>
            <w:pPr>
              <w:ind w:left="300"/>
              <w:spacing w:after="0" w:line="107" w:lineRule="exact"/>
              <w:rPr>
                <w:sz w:val="20"/>
                <w:szCs w:val="20"/>
                <w:color w:val="auto"/>
              </w:rPr>
            </w:pPr>
            <w:r>
              <w:rPr>
                <w:rFonts w:ascii="Arial" w:cs="Arial" w:eastAsia="Arial" w:hAnsi="Arial"/>
                <w:sz w:val="12"/>
                <w:szCs w:val="12"/>
                <w:color w:val="auto"/>
              </w:rPr>
              <w:t>segments</w:t>
            </w:r>
          </w:p>
        </w:tc>
        <w:tc>
          <w:tcPr>
            <w:tcW w:w="100" w:type="dxa"/>
            <w:vAlign w:val="bottom"/>
            <w:vMerge w:val="restart"/>
          </w:tcPr>
          <w:p>
            <w:pPr>
              <w:ind w:left="80"/>
              <w:spacing w:after="0"/>
              <w:rPr>
                <w:sz w:val="20"/>
                <w:szCs w:val="20"/>
                <w:color w:val="auto"/>
              </w:rPr>
            </w:pPr>
            <w:r>
              <w:rPr>
                <w:rFonts w:ascii="Times New Roman" w:cs="Times New Roman" w:eastAsia="Times New Roman" w:hAnsi="Times New Roman"/>
                <w:sz w:val="1"/>
                <w:szCs w:val="1"/>
                <w:color w:val="B94831"/>
                <w:w w:val="4294967281"/>
              </w:rPr>
              <w:t>·</w:t>
            </w:r>
          </w:p>
        </w:tc>
        <w:tc>
          <w:tcPr>
            <w:tcW w:w="2180" w:type="dxa"/>
            <w:vAlign w:val="bottom"/>
            <w:tcBorders>
              <w:right w:val="single" w:sz="8" w:color="AFAFAF"/>
            </w:tcBorders>
          </w:tcPr>
          <w:p>
            <w:pPr>
              <w:spacing w:after="0"/>
              <w:rPr>
                <w:sz w:val="9"/>
                <w:szCs w:val="9"/>
                <w:color w:val="auto"/>
              </w:rPr>
            </w:pPr>
          </w:p>
        </w:tc>
        <w:tc>
          <w:tcPr>
            <w:tcW w:w="2300" w:type="dxa"/>
            <w:vAlign w:val="bottom"/>
            <w:tcBorders>
              <w:right w:val="single" w:sz="8" w:color="AFAFAF"/>
            </w:tcBorders>
            <w:vMerge w:val="continue"/>
          </w:tcPr>
          <w:p>
            <w:pPr>
              <w:spacing w:after="0"/>
              <w:rPr>
                <w:sz w:val="9"/>
                <w:szCs w:val="9"/>
                <w:color w:val="auto"/>
              </w:rPr>
            </w:pP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business and returning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tcBorders>
              <w:right w:val="single" w:sz="8" w:color="AFAFAF"/>
            </w:tcBorders>
            <w:vMerge w:val="restart"/>
          </w:tcPr>
          <w:p>
            <w:pPr>
              <w:ind w:left="200"/>
              <w:spacing w:after="0"/>
              <w:rPr>
                <w:sz w:val="20"/>
                <w:szCs w:val="20"/>
                <w:color w:val="auto"/>
              </w:rPr>
            </w:pPr>
            <w:r>
              <w:rPr>
                <w:rFonts w:ascii="Arial" w:cs="Arial" w:eastAsia="Arial" w:hAnsi="Arial"/>
                <w:sz w:val="16"/>
                <w:szCs w:val="16"/>
                <w:color w:val="auto"/>
              </w:rPr>
              <w:t>over the next 5 years</w:t>
            </w:r>
          </w:p>
        </w:tc>
        <w:tc>
          <w:tcPr>
            <w:tcW w:w="2280" w:type="dxa"/>
            <w:vAlign w:val="bottom"/>
            <w:tcBorders>
              <w:right w:val="single" w:sz="8" w:color="AFAFAF"/>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2180" w:type="dxa"/>
            <w:vAlign w:val="bottom"/>
            <w:tcBorders>
              <w:right w:val="single" w:sz="8" w:color="AFAFAF"/>
            </w:tcBorders>
            <w:vMerge w:val="restart"/>
          </w:tcPr>
          <w:p>
            <w:pPr>
              <w:spacing w:after="0"/>
              <w:rPr>
                <w:sz w:val="20"/>
                <w:szCs w:val="20"/>
                <w:color w:val="auto"/>
              </w:rPr>
            </w:pPr>
            <w:r>
              <w:rPr>
                <w:rFonts w:ascii="Arial" w:cs="Arial" w:eastAsia="Arial" w:hAnsi="Arial"/>
                <w:sz w:val="16"/>
                <w:szCs w:val="16"/>
                <w:color w:val="auto"/>
              </w:rPr>
              <w:t>    Strong and consistent cash</w:t>
            </w:r>
          </w:p>
        </w:tc>
        <w:tc>
          <w:tcPr>
            <w:tcW w:w="2300" w:type="dxa"/>
            <w:vAlign w:val="bottom"/>
            <w:tcBorders>
              <w:right w:val="single" w:sz="8" w:color="AFAFAF"/>
            </w:tcBorders>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B94831"/>
                <w:w w:val="4294967281"/>
              </w:rPr>
              <w:t>·</w:t>
            </w:r>
          </w:p>
        </w:tc>
        <w:tc>
          <w:tcPr>
            <w:tcW w:w="1860" w:type="dxa"/>
            <w:vAlign w:val="bottom"/>
            <w:tcBorders>
              <w:right w:val="single" w:sz="8" w:color="AFAFAF"/>
            </w:tcBorders>
            <w:vMerge w:val="continue"/>
          </w:tcPr>
          <w:p>
            <w:pPr>
              <w:spacing w:after="0"/>
              <w:rPr>
                <w:sz w:val="17"/>
                <w:szCs w:val="17"/>
                <w:color w:val="auto"/>
              </w:rPr>
            </w:pPr>
          </w:p>
        </w:tc>
        <w:tc>
          <w:tcPr>
            <w:tcW w:w="2280" w:type="dxa"/>
            <w:vAlign w:val="bottom"/>
            <w:tcBorders>
              <w:right w:val="single" w:sz="8" w:color="AFAFAF"/>
            </w:tcBorders>
          </w:tcPr>
          <w:p>
            <w:pPr>
              <w:ind w:left="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Resilient businesses,</w:t>
            </w:r>
          </w:p>
        </w:tc>
        <w:tc>
          <w:tcPr>
            <w:tcW w:w="100" w:type="dxa"/>
            <w:vAlign w:val="bottom"/>
          </w:tcPr>
          <w:p>
            <w:pPr>
              <w:spacing w:after="0"/>
              <w:rPr>
                <w:sz w:val="17"/>
                <w:szCs w:val="17"/>
                <w:color w:val="auto"/>
              </w:rPr>
            </w:pPr>
          </w:p>
        </w:tc>
        <w:tc>
          <w:tcPr>
            <w:tcW w:w="2180" w:type="dxa"/>
            <w:vAlign w:val="bottom"/>
            <w:tcBorders>
              <w:right w:val="single" w:sz="8" w:color="AFAFAF"/>
            </w:tcBorders>
            <w:vMerge w:val="continue"/>
          </w:tcPr>
          <w:p>
            <w:pPr>
              <w:spacing w:after="0"/>
              <w:rPr>
                <w:sz w:val="17"/>
                <w:szCs w:val="17"/>
                <w:color w:val="auto"/>
              </w:rPr>
            </w:pPr>
          </w:p>
        </w:tc>
        <w:tc>
          <w:tcPr>
            <w:tcW w:w="2300" w:type="dxa"/>
            <w:vAlign w:val="bottom"/>
            <w:tcBorders>
              <w:right w:val="single" w:sz="8" w:color="AFAFAF"/>
            </w:tcBorders>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Products deeply embedded</w:t>
            </w:r>
          </w:p>
        </w:tc>
        <w:tc>
          <w:tcPr>
            <w:tcW w:w="2180" w:type="dxa"/>
            <w:vAlign w:val="bottom"/>
          </w:tcPr>
          <w:p>
            <w:pPr>
              <w:ind w:left="320"/>
              <w:spacing w:after="0"/>
              <w:rPr>
                <w:sz w:val="20"/>
                <w:szCs w:val="20"/>
                <w:color w:val="auto"/>
              </w:rPr>
            </w:pPr>
            <w:r>
              <w:rPr>
                <w:rFonts w:ascii="Arial" w:cs="Arial" w:eastAsia="Arial" w:hAnsi="Arial"/>
                <w:sz w:val="16"/>
                <w:szCs w:val="16"/>
                <w:color w:val="auto"/>
              </w:rPr>
              <w:t>capital to shareholders</w:t>
            </w: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860" w:type="dxa"/>
            <w:vAlign w:val="bottom"/>
            <w:tcBorders>
              <w:right w:val="single" w:sz="8" w:color="AFAFAF"/>
            </w:tcBorders>
            <w:vMerge w:val="restart"/>
          </w:tcPr>
          <w:p>
            <w:pPr>
              <w:spacing w:after="0" w:line="173" w:lineRule="exact"/>
              <w:rPr>
                <w:sz w:val="20"/>
                <w:szCs w:val="20"/>
                <w:color w:val="auto"/>
              </w:rPr>
            </w:pPr>
            <w:r>
              <w:rPr>
                <w:rFonts w:ascii="Arial" w:cs="Arial" w:eastAsia="Arial" w:hAnsi="Arial"/>
                <w:sz w:val="16"/>
                <w:szCs w:val="16"/>
                <w:color w:val="auto"/>
              </w:rPr>
              <w:t>    Legal, Tax &amp; Risk</w:t>
            </w:r>
          </w:p>
        </w:tc>
        <w:tc>
          <w:tcPr>
            <w:tcW w:w="2280" w:type="dxa"/>
            <w:vAlign w:val="bottom"/>
            <w:tcBorders>
              <w:right w:val="single" w:sz="8" w:color="AFAFAF"/>
            </w:tcBorders>
            <w:vMerge w:val="restart"/>
          </w:tcPr>
          <w:p>
            <w:pPr>
              <w:ind w:left="300"/>
              <w:spacing w:after="0"/>
              <w:rPr>
                <w:sz w:val="20"/>
                <w:szCs w:val="20"/>
                <w:color w:val="auto"/>
              </w:rPr>
            </w:pPr>
            <w:r>
              <w:rPr>
                <w:rFonts w:ascii="Arial" w:cs="Arial" w:eastAsia="Arial" w:hAnsi="Arial"/>
                <w:sz w:val="16"/>
                <w:szCs w:val="16"/>
                <w:color w:val="auto"/>
              </w:rPr>
              <w:t>historically stable, through</w:t>
            </w:r>
          </w:p>
        </w:tc>
        <w:tc>
          <w:tcPr>
            <w:tcW w:w="100" w:type="dxa"/>
            <w:vAlign w:val="bottom"/>
          </w:tcPr>
          <w:p>
            <w:pPr>
              <w:spacing w:after="0"/>
              <w:rPr>
                <w:sz w:val="12"/>
                <w:szCs w:val="12"/>
                <w:color w:val="auto"/>
              </w:rPr>
            </w:pPr>
          </w:p>
        </w:tc>
        <w:tc>
          <w:tcPr>
            <w:tcW w:w="2180" w:type="dxa"/>
            <w:vAlign w:val="bottom"/>
            <w:tcBorders>
              <w:right w:val="single" w:sz="8" w:color="AFAFAF"/>
            </w:tcBorders>
          </w:tcPr>
          <w:p>
            <w:pPr>
              <w:ind w:left="200"/>
              <w:spacing w:after="0" w:line="147" w:lineRule="exact"/>
              <w:rPr>
                <w:sz w:val="20"/>
                <w:szCs w:val="20"/>
                <w:color w:val="auto"/>
              </w:rPr>
            </w:pPr>
            <w:r>
              <w:rPr>
                <w:rFonts w:ascii="Arial" w:cs="Arial" w:eastAsia="Arial" w:hAnsi="Arial"/>
                <w:sz w:val="16"/>
                <w:szCs w:val="16"/>
                <w:color w:val="auto"/>
              </w:rPr>
              <w:t>generation capabilities</w:t>
            </w:r>
          </w:p>
        </w:tc>
        <w:tc>
          <w:tcPr>
            <w:tcW w:w="2300" w:type="dxa"/>
            <w:vAlign w:val="bottom"/>
            <w:tcBorders>
              <w:right w:val="single" w:sz="8" w:color="AFAFAF"/>
            </w:tcBorders>
            <w:vMerge w:val="restart"/>
          </w:tcPr>
          <w:p>
            <w:pPr>
              <w:ind w:left="320"/>
              <w:spacing w:after="0" w:line="173" w:lineRule="exact"/>
              <w:rPr>
                <w:sz w:val="20"/>
                <w:szCs w:val="20"/>
                <w:color w:val="auto"/>
              </w:rPr>
            </w:pPr>
            <w:r>
              <w:rPr>
                <w:rFonts w:ascii="Arial" w:cs="Arial" w:eastAsia="Arial" w:hAnsi="Arial"/>
                <w:sz w:val="16"/>
                <w:szCs w:val="16"/>
                <w:color w:val="auto"/>
              </w:rPr>
              <w:t>in customers’ daily</w:t>
            </w:r>
          </w:p>
        </w:tc>
        <w:tc>
          <w:tcPr>
            <w:tcW w:w="2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Committed to maintaining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60" w:type="dxa"/>
            <w:vAlign w:val="bottom"/>
            <w:tcBorders>
              <w:right w:val="single" w:sz="8" w:color="AFAFAF"/>
            </w:tcBorders>
            <w:vMerge w:val="continue"/>
          </w:tcPr>
          <w:p>
            <w:pPr>
              <w:spacing w:after="0"/>
              <w:rPr>
                <w:sz w:val="2"/>
                <w:szCs w:val="2"/>
                <w:color w:val="auto"/>
              </w:rPr>
            </w:pPr>
          </w:p>
        </w:tc>
        <w:tc>
          <w:tcPr>
            <w:tcW w:w="2280" w:type="dxa"/>
            <w:vAlign w:val="bottom"/>
            <w:tcBorders>
              <w:right w:val="single" w:sz="8" w:color="AFAFAF"/>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right w:val="single" w:sz="8" w:color="AFAFAF"/>
            </w:tcBorders>
          </w:tcPr>
          <w:p>
            <w:pPr>
              <w:spacing w:after="0"/>
              <w:rPr>
                <w:sz w:val="2"/>
                <w:szCs w:val="2"/>
                <w:color w:val="auto"/>
              </w:rPr>
            </w:pPr>
          </w:p>
        </w:tc>
        <w:tc>
          <w:tcPr>
            <w:tcW w:w="2300" w:type="dxa"/>
            <w:vAlign w:val="bottom"/>
            <w:tcBorders>
              <w:right w:val="single" w:sz="8" w:color="AFAFAF"/>
            </w:tcBorders>
            <w:vMerge w:val="continue"/>
          </w:tcPr>
          <w:p>
            <w:pPr>
              <w:spacing w:after="0"/>
              <w:rPr>
                <w:sz w:val="2"/>
                <w:szCs w:val="2"/>
                <w:color w:val="auto"/>
              </w:rPr>
            </w:pPr>
          </w:p>
        </w:tc>
        <w:tc>
          <w:tcPr>
            <w:tcW w:w="2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1860" w:type="dxa"/>
            <w:vAlign w:val="bottom"/>
            <w:tcBorders>
              <w:right w:val="single" w:sz="8" w:color="AFAFAF"/>
            </w:tcBorders>
            <w:vMerge w:val="restart"/>
          </w:tcPr>
          <w:p>
            <w:pPr>
              <w:ind w:left="200"/>
              <w:spacing w:after="0"/>
              <w:rPr>
                <w:sz w:val="20"/>
                <w:szCs w:val="20"/>
                <w:color w:val="auto"/>
              </w:rPr>
            </w:pPr>
            <w:r>
              <w:rPr>
                <w:rFonts w:ascii="Arial" w:cs="Arial" w:eastAsia="Arial" w:hAnsi="Arial"/>
                <w:sz w:val="16"/>
                <w:szCs w:val="16"/>
                <w:color w:val="auto"/>
              </w:rPr>
              <w:t>markets are prime for</w:t>
            </w:r>
          </w:p>
        </w:tc>
        <w:tc>
          <w:tcPr>
            <w:tcW w:w="2280" w:type="dxa"/>
            <w:vAlign w:val="bottom"/>
            <w:tcBorders>
              <w:right w:val="single" w:sz="8" w:color="AFAFAF"/>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tcBorders>
              <w:right w:val="single" w:sz="8" w:color="AFAFAF"/>
            </w:tcBorders>
          </w:tcPr>
          <w:p>
            <w:pPr>
              <w:spacing w:after="0"/>
              <w:rPr>
                <w:sz w:val="8"/>
                <w:szCs w:val="8"/>
                <w:color w:val="auto"/>
              </w:rPr>
            </w:pPr>
          </w:p>
        </w:tc>
        <w:tc>
          <w:tcPr>
            <w:tcW w:w="2300" w:type="dxa"/>
            <w:vAlign w:val="bottom"/>
            <w:tcBorders>
              <w:right w:val="single" w:sz="8" w:color="AFAFAF"/>
            </w:tcBorders>
            <w:vMerge w:val="restart"/>
          </w:tcPr>
          <w:p>
            <w:pPr>
              <w:ind w:left="320"/>
              <w:spacing w:after="0"/>
              <w:rPr>
                <w:sz w:val="20"/>
                <w:szCs w:val="20"/>
                <w:color w:val="auto"/>
              </w:rPr>
            </w:pPr>
            <w:r>
              <w:rPr>
                <w:rFonts w:ascii="Arial" w:cs="Arial" w:eastAsia="Arial" w:hAnsi="Arial"/>
                <w:sz w:val="16"/>
                <w:szCs w:val="16"/>
                <w:color w:val="auto"/>
              </w:rPr>
              <w:t>workflows</w:t>
            </w: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60" w:type="dxa"/>
            <w:vAlign w:val="bottom"/>
            <w:tcBorders>
              <w:right w:val="single" w:sz="8" w:color="AFAFAF"/>
            </w:tcBorders>
            <w:vMerge w:val="continue"/>
          </w:tcPr>
          <w:p>
            <w:pPr>
              <w:spacing w:after="0"/>
              <w:rPr>
                <w:sz w:val="9"/>
                <w:szCs w:val="9"/>
                <w:color w:val="auto"/>
              </w:rPr>
            </w:pPr>
          </w:p>
        </w:tc>
        <w:tc>
          <w:tcPr>
            <w:tcW w:w="2280" w:type="dxa"/>
            <w:vAlign w:val="bottom"/>
            <w:tcBorders>
              <w:right w:val="single" w:sz="8" w:color="AFAFAF"/>
            </w:tcBorders>
          </w:tcPr>
          <w:p>
            <w:pPr>
              <w:ind w:left="300"/>
              <w:spacing w:after="0" w:line="107" w:lineRule="exact"/>
              <w:rPr>
                <w:sz w:val="20"/>
                <w:szCs w:val="20"/>
                <w:color w:val="auto"/>
              </w:rPr>
            </w:pPr>
            <w:r>
              <w:rPr>
                <w:rFonts w:ascii="Arial" w:cs="Arial" w:eastAsia="Arial" w:hAnsi="Arial"/>
                <w:sz w:val="12"/>
                <w:szCs w:val="12"/>
                <w:color w:val="auto"/>
              </w:rPr>
              <w:t>periods of macroeconomic</w:t>
            </w:r>
          </w:p>
        </w:tc>
        <w:tc>
          <w:tcPr>
            <w:tcW w:w="100" w:type="dxa"/>
            <w:vAlign w:val="bottom"/>
          </w:tcPr>
          <w:p>
            <w:pPr>
              <w:spacing w:after="0"/>
              <w:rPr>
                <w:sz w:val="9"/>
                <w:szCs w:val="9"/>
                <w:color w:val="auto"/>
              </w:rPr>
            </w:pPr>
          </w:p>
        </w:tc>
        <w:tc>
          <w:tcPr>
            <w:tcW w:w="2180" w:type="dxa"/>
            <w:vAlign w:val="bottom"/>
            <w:tcBorders>
              <w:right w:val="single" w:sz="8" w:color="AFAFAF"/>
            </w:tcBorders>
          </w:tcPr>
          <w:p>
            <w:pPr>
              <w:spacing w:after="0"/>
              <w:rPr>
                <w:sz w:val="9"/>
                <w:szCs w:val="9"/>
                <w:color w:val="auto"/>
              </w:rPr>
            </w:pPr>
          </w:p>
        </w:tc>
        <w:tc>
          <w:tcPr>
            <w:tcW w:w="2300" w:type="dxa"/>
            <w:vAlign w:val="bottom"/>
            <w:tcBorders>
              <w:right w:val="single" w:sz="8" w:color="AFAFAF"/>
            </w:tcBorders>
            <w:vMerge w:val="continue"/>
          </w:tcPr>
          <w:p>
            <w:pPr>
              <w:spacing w:after="0"/>
              <w:rPr>
                <w:sz w:val="9"/>
                <w:szCs w:val="9"/>
                <w:color w:val="auto"/>
              </w:rPr>
            </w:pP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investment grade rating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tcBorders>
              <w:right w:val="single" w:sz="8" w:color="AFAFAF"/>
            </w:tcBorders>
            <w:vMerge w:val="restart"/>
          </w:tcPr>
          <w:p>
            <w:pPr>
              <w:ind w:left="200"/>
              <w:spacing w:after="0" w:line="173" w:lineRule="exact"/>
              <w:rPr>
                <w:sz w:val="20"/>
                <w:szCs w:val="20"/>
                <w:color w:val="auto"/>
              </w:rPr>
            </w:pPr>
            <w:r>
              <w:rPr>
                <w:rFonts w:ascii="Arial" w:cs="Arial" w:eastAsia="Arial" w:hAnsi="Arial"/>
                <w:sz w:val="16"/>
                <w:szCs w:val="16"/>
                <w:color w:val="auto"/>
              </w:rPr>
              <w:t>content-driven</w:t>
            </w:r>
          </w:p>
        </w:tc>
        <w:tc>
          <w:tcPr>
            <w:tcW w:w="2280" w:type="dxa"/>
            <w:vAlign w:val="bottom"/>
            <w:tcBorders>
              <w:right w:val="single" w:sz="8" w:color="AFAFAF"/>
            </w:tcBorders>
            <w:vMerge w:val="restart"/>
          </w:tcPr>
          <w:p>
            <w:pPr>
              <w:ind w:left="300"/>
              <w:spacing w:after="0"/>
              <w:rPr>
                <w:sz w:val="20"/>
                <w:szCs w:val="20"/>
                <w:color w:val="auto"/>
              </w:rPr>
            </w:pPr>
            <w:r>
              <w:rPr>
                <w:rFonts w:ascii="Arial" w:cs="Arial" w:eastAsia="Arial" w:hAnsi="Arial"/>
                <w:sz w:val="16"/>
                <w:szCs w:val="16"/>
                <w:color w:val="auto"/>
              </w:rPr>
              <w:t>uncertainty</w:t>
            </w:r>
          </w:p>
        </w:tc>
        <w:tc>
          <w:tcPr>
            <w:tcW w:w="100" w:type="dxa"/>
            <w:vAlign w:val="bottom"/>
          </w:tcPr>
          <w:p>
            <w:pPr>
              <w:spacing w:after="0"/>
              <w:rPr>
                <w:sz w:val="9"/>
                <w:szCs w:val="9"/>
                <w:color w:val="auto"/>
              </w:rPr>
            </w:pPr>
          </w:p>
        </w:tc>
        <w:tc>
          <w:tcPr>
            <w:tcW w:w="2180" w:type="dxa"/>
            <w:vAlign w:val="bottom"/>
            <w:tcBorders>
              <w:right w:val="single" w:sz="8" w:color="AFAFAF"/>
            </w:tcBorders>
          </w:tcPr>
          <w:p>
            <w:pPr>
              <w:spacing w:after="0"/>
              <w:rPr>
                <w:sz w:val="9"/>
                <w:szCs w:val="9"/>
                <w:color w:val="auto"/>
              </w:rPr>
            </w:pPr>
          </w:p>
        </w:tc>
        <w:tc>
          <w:tcPr>
            <w:tcW w:w="2300" w:type="dxa"/>
            <w:vAlign w:val="bottom"/>
            <w:tcBorders>
              <w:right w:val="single" w:sz="8" w:color="AFAFAF"/>
            </w:tcBorders>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860" w:type="dxa"/>
            <w:vAlign w:val="bottom"/>
            <w:tcBorders>
              <w:right w:val="single" w:sz="8" w:color="AFAFAF"/>
            </w:tcBorders>
            <w:vMerge w:val="continue"/>
          </w:tcPr>
          <w:p>
            <w:pPr>
              <w:spacing w:after="0"/>
              <w:rPr>
                <w:sz w:val="5"/>
                <w:szCs w:val="5"/>
                <w:color w:val="auto"/>
              </w:rPr>
            </w:pPr>
          </w:p>
        </w:tc>
        <w:tc>
          <w:tcPr>
            <w:tcW w:w="2280" w:type="dxa"/>
            <w:vAlign w:val="bottom"/>
            <w:tcBorders>
              <w:right w:val="single" w:sz="8" w:color="AFAFA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tcBorders>
              <w:right w:val="single" w:sz="8" w:color="AFAFAF"/>
            </w:tcBorders>
          </w:tcPr>
          <w:p>
            <w:pPr>
              <w:spacing w:after="0"/>
              <w:rPr>
                <w:sz w:val="5"/>
                <w:szCs w:val="5"/>
                <w:color w:val="auto"/>
              </w:rPr>
            </w:pPr>
          </w:p>
        </w:tc>
        <w:tc>
          <w:tcPr>
            <w:tcW w:w="2300" w:type="dxa"/>
            <w:vAlign w:val="bottom"/>
            <w:tcBorders>
              <w:right w:val="single" w:sz="8" w:color="AFAFAF"/>
            </w:tcBorders>
            <w:vMerge w:val="restart"/>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91% retention rate</w:t>
            </w: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with stable capital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60" w:type="dxa"/>
            <w:vAlign w:val="bottom"/>
            <w:tcBorders>
              <w:right w:val="single" w:sz="8" w:color="AFAFAF"/>
            </w:tcBorders>
            <w:vMerge w:val="restart"/>
          </w:tcPr>
          <w:p>
            <w:pPr>
              <w:ind w:left="200"/>
              <w:spacing w:after="0"/>
              <w:rPr>
                <w:sz w:val="20"/>
                <w:szCs w:val="20"/>
                <w:color w:val="auto"/>
              </w:rPr>
            </w:pPr>
            <w:r>
              <w:rPr>
                <w:rFonts w:ascii="Arial" w:cs="Arial" w:eastAsia="Arial" w:hAnsi="Arial"/>
                <w:sz w:val="16"/>
                <w:szCs w:val="16"/>
                <w:color w:val="auto"/>
              </w:rPr>
              <w:t>innovation</w:t>
            </w:r>
          </w:p>
        </w:tc>
        <w:tc>
          <w:tcPr>
            <w:tcW w:w="2280" w:type="dxa"/>
            <w:vAlign w:val="bottom"/>
            <w:tcBorders>
              <w:right w:val="single" w:sz="8" w:color="AFAFAF"/>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Borders>
              <w:right w:val="single" w:sz="8" w:color="AFAFAF"/>
            </w:tcBorders>
          </w:tcPr>
          <w:p>
            <w:pPr>
              <w:spacing w:after="0"/>
              <w:rPr>
                <w:sz w:val="10"/>
                <w:szCs w:val="10"/>
                <w:color w:val="auto"/>
              </w:rPr>
            </w:pPr>
          </w:p>
        </w:tc>
        <w:tc>
          <w:tcPr>
            <w:tcW w:w="2300" w:type="dxa"/>
            <w:vAlign w:val="bottom"/>
            <w:tcBorders>
              <w:right w:val="single" w:sz="8" w:color="AFAFAF"/>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60" w:type="dxa"/>
            <w:vAlign w:val="bottom"/>
            <w:tcBorders>
              <w:right w:val="single" w:sz="8" w:color="AFAFAF"/>
            </w:tcBorders>
            <w:vMerge w:val="continue"/>
          </w:tcPr>
          <w:p>
            <w:pPr>
              <w:spacing w:after="0"/>
              <w:rPr>
                <w:sz w:val="7"/>
                <w:szCs w:val="7"/>
                <w:color w:val="auto"/>
              </w:rPr>
            </w:pPr>
          </w:p>
        </w:tc>
        <w:tc>
          <w:tcPr>
            <w:tcW w:w="2280" w:type="dxa"/>
            <w:vAlign w:val="bottom"/>
            <w:tcBorders>
              <w:right w:val="single" w:sz="8" w:color="AFAFAF"/>
            </w:tcBorders>
            <w:vMerge w:val="restart"/>
          </w:tcPr>
          <w:p>
            <w:pPr>
              <w:ind w:left="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6"/>
                <w:szCs w:val="16"/>
                <w:color w:val="auto"/>
              </w:rPr>
              <w:t xml:space="preserve">    Approximately 500,000</w:t>
            </w:r>
          </w:p>
        </w:tc>
        <w:tc>
          <w:tcPr>
            <w:tcW w:w="100" w:type="dxa"/>
            <w:vAlign w:val="bottom"/>
          </w:tcPr>
          <w:p>
            <w:pPr>
              <w:spacing w:after="0"/>
              <w:rPr>
                <w:sz w:val="7"/>
                <w:szCs w:val="7"/>
                <w:color w:val="auto"/>
              </w:rPr>
            </w:pPr>
          </w:p>
        </w:tc>
        <w:tc>
          <w:tcPr>
            <w:tcW w:w="2180" w:type="dxa"/>
            <w:vAlign w:val="bottom"/>
            <w:tcBorders>
              <w:right w:val="single" w:sz="8" w:color="AFAFAF"/>
            </w:tcBorders>
          </w:tcPr>
          <w:p>
            <w:pPr>
              <w:spacing w:after="0"/>
              <w:rPr>
                <w:sz w:val="7"/>
                <w:szCs w:val="7"/>
                <w:color w:val="auto"/>
              </w:rPr>
            </w:pPr>
          </w:p>
        </w:tc>
        <w:tc>
          <w:tcPr>
            <w:tcW w:w="2300" w:type="dxa"/>
            <w:vAlign w:val="bottom"/>
            <w:tcBorders>
              <w:right w:val="single" w:sz="8" w:color="AFAFAF"/>
            </w:tcBorders>
          </w:tcPr>
          <w:p>
            <w:pPr>
              <w:spacing w:after="0"/>
              <w:rPr>
                <w:sz w:val="7"/>
                <w:szCs w:val="7"/>
                <w:color w:val="auto"/>
              </w:rPr>
            </w:pP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structure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tcBorders>
              <w:right w:val="single" w:sz="8" w:color="AFAFAF"/>
            </w:tcBorders>
          </w:tcPr>
          <w:p>
            <w:pPr>
              <w:spacing w:after="0"/>
              <w:rPr>
                <w:sz w:val="11"/>
                <w:szCs w:val="11"/>
                <w:color w:val="auto"/>
              </w:rPr>
            </w:pPr>
          </w:p>
        </w:tc>
        <w:tc>
          <w:tcPr>
            <w:tcW w:w="2280" w:type="dxa"/>
            <w:vAlign w:val="bottom"/>
            <w:tcBorders>
              <w:right w:val="single" w:sz="8" w:color="AFAFAF"/>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Borders>
              <w:right w:val="single" w:sz="8" w:color="AFAFAF"/>
            </w:tcBorders>
          </w:tcPr>
          <w:p>
            <w:pPr>
              <w:spacing w:after="0"/>
              <w:rPr>
                <w:sz w:val="11"/>
                <w:szCs w:val="11"/>
                <w:color w:val="auto"/>
              </w:rPr>
            </w:pPr>
          </w:p>
        </w:tc>
        <w:tc>
          <w:tcPr>
            <w:tcW w:w="2300" w:type="dxa"/>
            <w:vAlign w:val="bottom"/>
            <w:tcBorders>
              <w:right w:val="single" w:sz="8" w:color="AFAFAF"/>
            </w:tcBorders>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1"/>
                <w:szCs w:val="21"/>
                <w:color w:val="auto"/>
              </w:rPr>
            </w:pPr>
          </w:p>
        </w:tc>
        <w:tc>
          <w:tcPr>
            <w:tcW w:w="1860" w:type="dxa"/>
            <w:vAlign w:val="bottom"/>
            <w:tcBorders>
              <w:right w:val="single" w:sz="8" w:color="AFAFAF"/>
            </w:tcBorders>
          </w:tcPr>
          <w:p>
            <w:pPr>
              <w:spacing w:after="0"/>
              <w:rPr>
                <w:sz w:val="21"/>
                <w:szCs w:val="21"/>
                <w:color w:val="auto"/>
              </w:rPr>
            </w:pPr>
          </w:p>
        </w:tc>
        <w:tc>
          <w:tcPr>
            <w:tcW w:w="2280" w:type="dxa"/>
            <w:vAlign w:val="bottom"/>
            <w:tcBorders>
              <w:right w:val="single" w:sz="8" w:color="AFAFAF"/>
            </w:tcBorders>
          </w:tcPr>
          <w:p>
            <w:pPr>
              <w:ind w:left="300"/>
              <w:spacing w:after="0"/>
              <w:rPr>
                <w:sz w:val="20"/>
                <w:szCs w:val="20"/>
                <w:color w:val="auto"/>
              </w:rPr>
            </w:pPr>
            <w:r>
              <w:rPr>
                <w:rFonts w:ascii="Arial" w:cs="Arial" w:eastAsia="Arial" w:hAnsi="Arial"/>
                <w:sz w:val="16"/>
                <w:szCs w:val="16"/>
                <w:color w:val="auto"/>
              </w:rPr>
              <w:t>customers; largest</w:t>
            </w:r>
          </w:p>
        </w:tc>
        <w:tc>
          <w:tcPr>
            <w:tcW w:w="100" w:type="dxa"/>
            <w:vAlign w:val="bottom"/>
          </w:tcPr>
          <w:p>
            <w:pPr>
              <w:spacing w:after="0"/>
              <w:rPr>
                <w:sz w:val="21"/>
                <w:szCs w:val="21"/>
                <w:color w:val="auto"/>
              </w:rPr>
            </w:pPr>
          </w:p>
        </w:tc>
        <w:tc>
          <w:tcPr>
            <w:tcW w:w="2180" w:type="dxa"/>
            <w:vAlign w:val="bottom"/>
            <w:tcBorders>
              <w:right w:val="single" w:sz="8" w:color="AFAFAF"/>
            </w:tcBorders>
          </w:tcPr>
          <w:p>
            <w:pPr>
              <w:spacing w:after="0"/>
              <w:rPr>
                <w:sz w:val="21"/>
                <w:szCs w:val="21"/>
                <w:color w:val="auto"/>
              </w:rPr>
            </w:pPr>
          </w:p>
        </w:tc>
        <w:tc>
          <w:tcPr>
            <w:tcW w:w="2300" w:type="dxa"/>
            <w:vAlign w:val="bottom"/>
            <w:tcBorders>
              <w:right w:val="single" w:sz="8" w:color="AFAFAF"/>
            </w:tcBorders>
          </w:tcPr>
          <w:p>
            <w:pPr>
              <w:spacing w:after="0"/>
              <w:rPr>
                <w:sz w:val="21"/>
                <w:szCs w:val="21"/>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B94831"/>
                <w:w w:val="98"/>
                <w:vertAlign w:val="superscript"/>
              </w:rPr>
              <w:t>·</w:t>
            </w:r>
            <w:r>
              <w:rPr>
                <w:rFonts w:ascii="Arial" w:cs="Arial" w:eastAsia="Arial" w:hAnsi="Arial"/>
                <w:sz w:val="16"/>
                <w:szCs w:val="16"/>
                <w:color w:val="auto"/>
                <w:w w:val="98"/>
              </w:rPr>
              <w:t xml:space="preserve">    Significant potential capital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860" w:type="dxa"/>
            <w:vAlign w:val="bottom"/>
            <w:tcBorders>
              <w:right w:val="single" w:sz="8" w:color="AFAFAF"/>
            </w:tcBorders>
          </w:tcPr>
          <w:p>
            <w:pPr>
              <w:spacing w:after="0"/>
              <w:rPr>
                <w:sz w:val="11"/>
                <w:szCs w:val="11"/>
                <w:color w:val="auto"/>
              </w:rPr>
            </w:pPr>
          </w:p>
        </w:tc>
        <w:tc>
          <w:tcPr>
            <w:tcW w:w="2280" w:type="dxa"/>
            <w:vAlign w:val="bottom"/>
            <w:tcBorders>
              <w:right w:val="single" w:sz="8" w:color="AFAFAF"/>
            </w:tcBorders>
          </w:tcPr>
          <w:p>
            <w:pPr>
              <w:ind w:left="300"/>
              <w:spacing w:after="0" w:line="133" w:lineRule="exact"/>
              <w:rPr>
                <w:sz w:val="20"/>
                <w:szCs w:val="20"/>
                <w:color w:val="auto"/>
              </w:rPr>
            </w:pPr>
            <w:r>
              <w:rPr>
                <w:rFonts w:ascii="Arial" w:cs="Arial" w:eastAsia="Arial" w:hAnsi="Arial"/>
                <w:sz w:val="15"/>
                <w:szCs w:val="15"/>
                <w:color w:val="auto"/>
              </w:rPr>
              <w:t>customer is approximately</w:t>
            </w:r>
          </w:p>
        </w:tc>
        <w:tc>
          <w:tcPr>
            <w:tcW w:w="100" w:type="dxa"/>
            <w:vAlign w:val="bottom"/>
          </w:tcPr>
          <w:p>
            <w:pPr>
              <w:spacing w:after="0"/>
              <w:rPr>
                <w:sz w:val="11"/>
                <w:szCs w:val="11"/>
                <w:color w:val="auto"/>
              </w:rPr>
            </w:pPr>
          </w:p>
        </w:tc>
        <w:tc>
          <w:tcPr>
            <w:tcW w:w="2180" w:type="dxa"/>
            <w:vAlign w:val="bottom"/>
            <w:tcBorders>
              <w:right w:val="single" w:sz="8" w:color="AFAFAF"/>
            </w:tcBorders>
          </w:tcPr>
          <w:p>
            <w:pPr>
              <w:spacing w:after="0"/>
              <w:rPr>
                <w:sz w:val="11"/>
                <w:szCs w:val="11"/>
                <w:color w:val="auto"/>
              </w:rPr>
            </w:pPr>
          </w:p>
        </w:tc>
        <w:tc>
          <w:tcPr>
            <w:tcW w:w="2300" w:type="dxa"/>
            <w:vAlign w:val="bottom"/>
            <w:tcBorders>
              <w:right w:val="single" w:sz="8" w:color="AFAFAF"/>
            </w:tcBorders>
          </w:tcPr>
          <w:p>
            <w:pPr>
              <w:spacing w:after="0"/>
              <w:rPr>
                <w:sz w:val="11"/>
                <w:szCs w:val="11"/>
                <w:color w:val="auto"/>
              </w:rPr>
            </w:pP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capacity affords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860" w:type="dxa"/>
            <w:vAlign w:val="bottom"/>
            <w:tcBorders>
              <w:right w:val="single" w:sz="8" w:color="AFAFAF"/>
            </w:tcBorders>
          </w:tcPr>
          <w:p>
            <w:pPr>
              <w:spacing w:after="0"/>
              <w:rPr>
                <w:sz w:val="6"/>
                <w:szCs w:val="6"/>
                <w:color w:val="auto"/>
              </w:rPr>
            </w:pPr>
          </w:p>
        </w:tc>
        <w:tc>
          <w:tcPr>
            <w:tcW w:w="2280" w:type="dxa"/>
            <w:vAlign w:val="bottom"/>
            <w:tcBorders>
              <w:right w:val="single" w:sz="8" w:color="AFAFAF"/>
            </w:tcBorders>
            <w:vMerge w:val="restart"/>
          </w:tcPr>
          <w:p>
            <w:pPr>
              <w:ind w:left="300"/>
              <w:spacing w:after="0"/>
              <w:rPr>
                <w:sz w:val="20"/>
                <w:szCs w:val="20"/>
                <w:color w:val="auto"/>
              </w:rPr>
            </w:pPr>
            <w:r>
              <w:rPr>
                <w:rFonts w:ascii="Arial" w:cs="Arial" w:eastAsia="Arial" w:hAnsi="Arial"/>
                <w:sz w:val="16"/>
                <w:szCs w:val="16"/>
                <w:color w:val="auto"/>
              </w:rPr>
              <w:t>5% of revenues*</w:t>
            </w:r>
          </w:p>
        </w:tc>
        <w:tc>
          <w:tcPr>
            <w:tcW w:w="100" w:type="dxa"/>
            <w:vAlign w:val="bottom"/>
          </w:tcPr>
          <w:p>
            <w:pPr>
              <w:spacing w:after="0"/>
              <w:rPr>
                <w:sz w:val="6"/>
                <w:szCs w:val="6"/>
                <w:color w:val="auto"/>
              </w:rPr>
            </w:pPr>
          </w:p>
        </w:tc>
        <w:tc>
          <w:tcPr>
            <w:tcW w:w="2180" w:type="dxa"/>
            <w:vAlign w:val="bottom"/>
            <w:tcBorders>
              <w:right w:val="single" w:sz="8" w:color="AFAFAF"/>
            </w:tcBorders>
          </w:tcPr>
          <w:p>
            <w:pPr>
              <w:spacing w:after="0"/>
              <w:rPr>
                <w:sz w:val="6"/>
                <w:szCs w:val="6"/>
                <w:color w:val="auto"/>
              </w:rPr>
            </w:pPr>
          </w:p>
        </w:tc>
        <w:tc>
          <w:tcPr>
            <w:tcW w:w="2300" w:type="dxa"/>
            <w:vAlign w:val="bottom"/>
            <w:tcBorders>
              <w:right w:val="single" w:sz="8" w:color="AFAFAF"/>
            </w:tcBorders>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tcBorders>
              <w:right w:val="single" w:sz="8" w:color="AFAFAF"/>
            </w:tcBorders>
          </w:tcPr>
          <w:p>
            <w:pPr>
              <w:spacing w:after="0"/>
              <w:rPr>
                <w:sz w:val="11"/>
                <w:szCs w:val="11"/>
                <w:color w:val="auto"/>
              </w:rPr>
            </w:pPr>
          </w:p>
        </w:tc>
        <w:tc>
          <w:tcPr>
            <w:tcW w:w="2280" w:type="dxa"/>
            <w:vAlign w:val="bottom"/>
            <w:tcBorders>
              <w:right w:val="single" w:sz="8" w:color="AFAFAF"/>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Borders>
              <w:right w:val="single" w:sz="8" w:color="AFAFAF"/>
            </w:tcBorders>
          </w:tcPr>
          <w:p>
            <w:pPr>
              <w:spacing w:after="0"/>
              <w:rPr>
                <w:sz w:val="11"/>
                <w:szCs w:val="11"/>
                <w:color w:val="auto"/>
              </w:rPr>
            </w:pPr>
          </w:p>
        </w:tc>
        <w:tc>
          <w:tcPr>
            <w:tcW w:w="2300" w:type="dxa"/>
            <w:vAlign w:val="bottom"/>
            <w:tcBorders>
              <w:right w:val="single" w:sz="8" w:color="AFAFAF"/>
            </w:tcBorders>
          </w:tcPr>
          <w:p>
            <w:pPr>
              <w:spacing w:after="0"/>
              <w:rPr>
                <w:sz w:val="11"/>
                <w:szCs w:val="11"/>
                <w:color w:val="auto"/>
              </w:rPr>
            </w:pPr>
          </w:p>
        </w:tc>
        <w:tc>
          <w:tcPr>
            <w:tcW w:w="2180" w:type="dxa"/>
            <w:vAlign w:val="bottom"/>
            <w:vMerge w:val="restart"/>
          </w:tcPr>
          <w:p>
            <w:pPr>
              <w:ind w:left="320"/>
              <w:spacing w:after="0"/>
              <w:rPr>
                <w:sz w:val="20"/>
                <w:szCs w:val="20"/>
                <w:color w:val="auto"/>
              </w:rPr>
            </w:pPr>
            <w:r>
              <w:rPr>
                <w:rFonts w:ascii="Arial" w:cs="Arial" w:eastAsia="Arial" w:hAnsi="Arial"/>
                <w:sz w:val="16"/>
                <w:szCs w:val="16"/>
                <w:color w:val="auto"/>
              </w:rPr>
              <w:t>optionality</w:t>
            </w:r>
          </w:p>
        </w:tc>
        <w:tc>
          <w:tcPr>
            <w:tcW w:w="0" w:type="dxa"/>
            <w:vAlign w:val="bottom"/>
          </w:tcPr>
          <w:p>
            <w:pPr>
              <w:spacing w:after="0"/>
              <w:rPr>
                <w:sz w:val="1"/>
                <w:szCs w:val="1"/>
                <w:color w:val="auto"/>
              </w:rPr>
            </w:pPr>
          </w:p>
        </w:tc>
      </w:tr>
      <w:tr>
        <w:trPr>
          <w:trHeight w:val="82"/>
        </w:trPr>
        <w:tc>
          <w:tcPr>
            <w:tcW w:w="20" w:type="dxa"/>
            <w:vAlign w:val="bottom"/>
            <w:tcBorders>
              <w:bottom w:val="single" w:sz="8" w:color="B94831"/>
            </w:tcBorders>
          </w:tcPr>
          <w:p>
            <w:pPr>
              <w:spacing w:after="0"/>
              <w:rPr>
                <w:sz w:val="7"/>
                <w:szCs w:val="7"/>
                <w:color w:val="auto"/>
              </w:rPr>
            </w:pPr>
          </w:p>
        </w:tc>
        <w:tc>
          <w:tcPr>
            <w:tcW w:w="1860" w:type="dxa"/>
            <w:vAlign w:val="bottom"/>
            <w:tcBorders>
              <w:bottom w:val="single" w:sz="8" w:color="B94831"/>
              <w:right w:val="single" w:sz="8" w:color="AFAFAF"/>
            </w:tcBorders>
          </w:tcPr>
          <w:p>
            <w:pPr>
              <w:spacing w:after="0"/>
              <w:rPr>
                <w:sz w:val="7"/>
                <w:szCs w:val="7"/>
                <w:color w:val="auto"/>
              </w:rPr>
            </w:pPr>
          </w:p>
        </w:tc>
        <w:tc>
          <w:tcPr>
            <w:tcW w:w="2280" w:type="dxa"/>
            <w:vAlign w:val="bottom"/>
            <w:tcBorders>
              <w:bottom w:val="single" w:sz="8" w:color="B94831"/>
              <w:right w:val="single" w:sz="8" w:color="AFAFAF"/>
            </w:tcBorders>
          </w:tcPr>
          <w:p>
            <w:pPr>
              <w:spacing w:after="0"/>
              <w:rPr>
                <w:sz w:val="7"/>
                <w:szCs w:val="7"/>
                <w:color w:val="auto"/>
              </w:rPr>
            </w:pPr>
          </w:p>
        </w:tc>
        <w:tc>
          <w:tcPr>
            <w:tcW w:w="100" w:type="dxa"/>
            <w:vAlign w:val="bottom"/>
            <w:tcBorders>
              <w:bottom w:val="single" w:sz="8" w:color="B94831"/>
            </w:tcBorders>
          </w:tcPr>
          <w:p>
            <w:pPr>
              <w:spacing w:after="0"/>
              <w:rPr>
                <w:sz w:val="7"/>
                <w:szCs w:val="7"/>
                <w:color w:val="auto"/>
              </w:rPr>
            </w:pPr>
          </w:p>
        </w:tc>
        <w:tc>
          <w:tcPr>
            <w:tcW w:w="2180" w:type="dxa"/>
            <w:vAlign w:val="bottom"/>
            <w:tcBorders>
              <w:bottom w:val="single" w:sz="8" w:color="B94831"/>
              <w:right w:val="single" w:sz="8" w:color="AFAFAF"/>
            </w:tcBorders>
          </w:tcPr>
          <w:p>
            <w:pPr>
              <w:spacing w:after="0"/>
              <w:rPr>
                <w:sz w:val="7"/>
                <w:szCs w:val="7"/>
                <w:color w:val="auto"/>
              </w:rPr>
            </w:pPr>
          </w:p>
        </w:tc>
        <w:tc>
          <w:tcPr>
            <w:tcW w:w="2300" w:type="dxa"/>
            <w:vAlign w:val="bottom"/>
            <w:tcBorders>
              <w:bottom w:val="single" w:sz="8" w:color="B94831"/>
              <w:right w:val="single" w:sz="8" w:color="AFAFAF"/>
            </w:tcBorders>
          </w:tcPr>
          <w:p>
            <w:pPr>
              <w:spacing w:after="0"/>
              <w:rPr>
                <w:sz w:val="7"/>
                <w:szCs w:val="7"/>
                <w:color w:val="auto"/>
              </w:rPr>
            </w:pPr>
          </w:p>
        </w:tc>
        <w:tc>
          <w:tcPr>
            <w:tcW w:w="2180" w:type="dxa"/>
            <w:vAlign w:val="bottom"/>
            <w:tcBorders>
              <w:bottom w:val="single" w:sz="8" w:color="B94831"/>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The news agreement with the Data &amp; Analytics business of London Stock Exchange Group plc (LSEG).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6938010" cy="2190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8010" cy="2190750"/>
                    </a:xfrm>
                    <a:prstGeom prst="rect">
                      <a:avLst/>
                    </a:prstGeom>
                    <a:noFill/>
                  </pic:spPr>
                </pic:pic>
              </a:graphicData>
            </a:graphic>
          </wp:anchor>
        </w:drawing>
      </w:r>
    </w:p>
    <w:p>
      <w:pPr>
        <w:spacing w:after="0" w:line="342" w:lineRule="exact"/>
        <w:rPr>
          <w:sz w:val="20"/>
          <w:szCs w:val="20"/>
          <w:color w:val="auto"/>
        </w:rPr>
      </w:pPr>
    </w:p>
    <w:tbl>
      <w:tblPr>
        <w:tblLayout w:type="fixed"/>
        <w:tblInd w:w="380" w:type="dxa"/>
        <w:tblCellMar>
          <w:top w:w="0" w:type="dxa"/>
          <w:left w:w="0" w:type="dxa"/>
          <w:bottom w:w="0" w:type="dxa"/>
          <w:right w:w="0" w:type="dxa"/>
        </w:tblCellMar>
      </w:tblPr>
      <w:tr>
        <w:trPr>
          <w:trHeight w:val="351"/>
        </w:trPr>
        <w:tc>
          <w:tcPr>
            <w:tcW w:w="5060" w:type="dxa"/>
            <w:vAlign w:val="bottom"/>
          </w:tcPr>
          <w:p>
            <w:pPr>
              <w:spacing w:after="0"/>
              <w:rPr>
                <w:sz w:val="20"/>
                <w:szCs w:val="20"/>
                <w:color w:val="auto"/>
              </w:rPr>
            </w:pPr>
            <w:r>
              <w:rPr>
                <w:rFonts w:ascii="Arial" w:cs="Arial" w:eastAsia="Arial" w:hAnsi="Arial"/>
                <w:sz w:val="25"/>
                <w:szCs w:val="25"/>
                <w:color w:val="B94831"/>
              </w:rPr>
              <w:t>2023 full-year results:</w:t>
            </w:r>
          </w:p>
        </w:tc>
        <w:tc>
          <w:tcPr>
            <w:tcW w:w="5080" w:type="dxa"/>
            <w:vAlign w:val="bottom"/>
          </w:tcPr>
          <w:p>
            <w:pPr>
              <w:ind w:left="420"/>
              <w:spacing w:after="0"/>
              <w:rPr>
                <w:sz w:val="20"/>
                <w:szCs w:val="20"/>
                <w:color w:val="auto"/>
              </w:rPr>
            </w:pPr>
            <w:r>
              <w:rPr>
                <w:rFonts w:ascii="Arial" w:cs="Arial" w:eastAsia="Arial" w:hAnsi="Arial"/>
                <w:sz w:val="25"/>
                <w:szCs w:val="25"/>
                <w:color w:val="B94831"/>
              </w:rPr>
              <w:t>Stock prices:</w:t>
            </w:r>
          </w:p>
        </w:tc>
        <w:tc>
          <w:tcPr>
            <w:tcW w:w="0" w:type="dxa"/>
            <w:vAlign w:val="bottom"/>
          </w:tcPr>
          <w:p>
            <w:pPr>
              <w:spacing w:after="0"/>
              <w:rPr>
                <w:sz w:val="1"/>
                <w:szCs w:val="1"/>
                <w:color w:val="auto"/>
              </w:rPr>
            </w:pPr>
          </w:p>
        </w:tc>
      </w:tr>
      <w:tr>
        <w:trPr>
          <w:trHeight w:val="27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 Revenues – US$6.8 billion</w:t>
            </w:r>
          </w:p>
        </w:tc>
        <w:tc>
          <w:tcPr>
            <w:tcW w:w="5080" w:type="dxa"/>
            <w:vAlign w:val="bottom"/>
          </w:tcPr>
          <w:p>
            <w:pPr>
              <w:ind w:left="420"/>
              <w:spacing w:after="0"/>
              <w:rPr>
                <w:sz w:val="20"/>
                <w:szCs w:val="20"/>
                <w:color w:val="auto"/>
              </w:rPr>
            </w:pPr>
            <w:r>
              <w:rPr>
                <w:rFonts w:ascii="Arial" w:cs="Arial" w:eastAsia="Arial" w:hAnsi="Arial"/>
                <w:sz w:val="18"/>
                <w:szCs w:val="18"/>
                <w:color w:val="auto"/>
              </w:rPr>
              <w:t>Closing price (April 12, 2024): C$209.89/US$152.38</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 Operating profit – US$2.3 billion</w:t>
            </w:r>
          </w:p>
        </w:tc>
        <w:tc>
          <w:tcPr>
            <w:tcW w:w="5080" w:type="dxa"/>
            <w:vAlign w:val="bottom"/>
          </w:tcPr>
          <w:p>
            <w:pPr>
              <w:ind w:left="420"/>
              <w:spacing w:after="0"/>
              <w:rPr>
                <w:sz w:val="20"/>
                <w:szCs w:val="20"/>
                <w:color w:val="auto"/>
              </w:rPr>
            </w:pPr>
            <w:r>
              <w:rPr>
                <w:rFonts w:ascii="Arial" w:cs="Arial" w:eastAsia="Arial" w:hAnsi="Arial"/>
                <w:sz w:val="18"/>
                <w:szCs w:val="18"/>
                <w:color w:val="auto"/>
              </w:rPr>
              <w:t>High (2023): C$195.04/ US$146.22</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 Adjusted EBITDA margin* – 39.3%</w:t>
            </w:r>
          </w:p>
        </w:tc>
        <w:tc>
          <w:tcPr>
            <w:tcW w:w="5080" w:type="dxa"/>
            <w:vAlign w:val="bottom"/>
          </w:tcPr>
          <w:p>
            <w:pPr>
              <w:ind w:left="420"/>
              <w:spacing w:after="0"/>
              <w:rPr>
                <w:sz w:val="20"/>
                <w:szCs w:val="20"/>
                <w:color w:val="auto"/>
              </w:rPr>
            </w:pPr>
            <w:r>
              <w:rPr>
                <w:rFonts w:ascii="Arial" w:cs="Arial" w:eastAsia="Arial" w:hAnsi="Arial"/>
                <w:sz w:val="18"/>
                <w:szCs w:val="18"/>
                <w:color w:val="auto"/>
              </w:rPr>
              <w:t>Low (2023): C$154.46/ US$114.07</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 Diluted earnings per share (EPS) – US$5.80</w:t>
            </w:r>
          </w:p>
        </w:tc>
        <w:tc>
          <w:tcPr>
            <w:tcW w:w="5080" w:type="dxa"/>
            <w:vAlign w:val="bottom"/>
            <w:vMerge w:val="restart"/>
          </w:tcPr>
          <w:p>
            <w:pPr>
              <w:ind w:left="420"/>
              <w:spacing w:after="0"/>
              <w:rPr>
                <w:sz w:val="20"/>
                <w:szCs w:val="20"/>
                <w:color w:val="auto"/>
              </w:rPr>
            </w:pPr>
            <w:r>
              <w:rPr>
                <w:rFonts w:ascii="Arial" w:cs="Arial" w:eastAsia="Arial" w:hAnsi="Arial"/>
                <w:sz w:val="25"/>
                <w:szCs w:val="25"/>
                <w:color w:val="B94831"/>
              </w:rPr>
              <w:t>Market capitalization (April 12, 2024):</w:t>
            </w:r>
          </w:p>
        </w:tc>
        <w:tc>
          <w:tcPr>
            <w:tcW w:w="0" w:type="dxa"/>
            <w:vAlign w:val="bottom"/>
          </w:tcPr>
          <w:p>
            <w:pPr>
              <w:spacing w:after="0"/>
              <w:rPr>
                <w:sz w:val="1"/>
                <w:szCs w:val="1"/>
                <w:color w:val="auto"/>
              </w:rPr>
            </w:pPr>
          </w:p>
        </w:tc>
      </w:tr>
      <w:tr>
        <w:trPr>
          <w:trHeight w:val="131"/>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 Adjusted EPS* – US$3.51</w:t>
            </w:r>
          </w:p>
        </w:tc>
        <w:tc>
          <w:tcPr>
            <w:tcW w:w="5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060" w:type="dxa"/>
            <w:vAlign w:val="bottom"/>
            <w:vMerge w:val="continue"/>
          </w:tcPr>
          <w:p>
            <w:pPr>
              <w:spacing w:after="0"/>
              <w:rPr>
                <w:sz w:val="13"/>
                <w:szCs w:val="13"/>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rPr>
              <w:t>US$68.9 billion</w:t>
            </w:r>
          </w:p>
        </w:tc>
        <w:tc>
          <w:tcPr>
            <w:tcW w:w="0" w:type="dxa"/>
            <w:vAlign w:val="bottom"/>
          </w:tcPr>
          <w:p>
            <w:pPr>
              <w:spacing w:after="0"/>
              <w:rPr>
                <w:sz w:val="1"/>
                <w:szCs w:val="1"/>
                <w:color w:val="auto"/>
              </w:rPr>
            </w:pPr>
          </w:p>
        </w:tc>
      </w:tr>
      <w:tr>
        <w:trPr>
          <w:trHeight w:val="134"/>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 Net cash provided by operating activities – US$2.3 billion</w:t>
            </w:r>
          </w:p>
        </w:tc>
        <w:tc>
          <w:tcPr>
            <w:tcW w:w="5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060" w:type="dxa"/>
            <w:vAlign w:val="bottom"/>
            <w:vMerge w:val="continue"/>
          </w:tcPr>
          <w:p>
            <w:pPr>
              <w:spacing w:after="0"/>
              <w:rPr>
                <w:sz w:val="12"/>
                <w:szCs w:val="12"/>
                <w:color w:val="auto"/>
              </w:rPr>
            </w:pPr>
          </w:p>
        </w:tc>
        <w:tc>
          <w:tcPr>
            <w:tcW w:w="5080" w:type="dxa"/>
            <w:vAlign w:val="bottom"/>
            <w:vMerge w:val="restart"/>
          </w:tcPr>
          <w:p>
            <w:pPr>
              <w:ind w:left="420"/>
              <w:spacing w:after="0"/>
              <w:rPr>
                <w:sz w:val="20"/>
                <w:szCs w:val="20"/>
                <w:color w:val="auto"/>
              </w:rPr>
            </w:pPr>
            <w:r>
              <w:rPr>
                <w:rFonts w:ascii="Arial" w:cs="Arial" w:eastAsia="Arial" w:hAnsi="Arial"/>
                <w:sz w:val="25"/>
                <w:szCs w:val="25"/>
                <w:color w:val="B94831"/>
              </w:rPr>
              <w:t>Dividend per common share (as of</w:t>
            </w:r>
          </w:p>
        </w:tc>
        <w:tc>
          <w:tcPr>
            <w:tcW w:w="0" w:type="dxa"/>
            <w:vAlign w:val="bottom"/>
          </w:tcPr>
          <w:p>
            <w:pPr>
              <w:spacing w:after="0"/>
              <w:rPr>
                <w:sz w:val="1"/>
                <w:szCs w:val="1"/>
                <w:color w:val="auto"/>
              </w:rPr>
            </w:pPr>
          </w:p>
        </w:tc>
      </w:tr>
      <w:tr>
        <w:trPr>
          <w:trHeight w:val="22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 Free cash flow* – US$1.9 billion</w:t>
            </w:r>
          </w:p>
        </w:tc>
        <w:tc>
          <w:tcPr>
            <w:tcW w:w="5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5060" w:type="dxa"/>
            <w:vAlign w:val="bottom"/>
            <w:vMerge w:val="restart"/>
          </w:tcPr>
          <w:p>
            <w:pPr>
              <w:spacing w:after="0"/>
              <w:rPr>
                <w:sz w:val="20"/>
                <w:szCs w:val="20"/>
                <w:color w:val="auto"/>
              </w:rPr>
            </w:pPr>
            <w:r>
              <w:rPr>
                <w:rFonts w:ascii="Arial" w:cs="Arial" w:eastAsia="Arial" w:hAnsi="Arial"/>
                <w:sz w:val="25"/>
                <w:szCs w:val="25"/>
                <w:color w:val="B94831"/>
              </w:rPr>
              <w:t>Stock exchange listings (Symbol: TRI):</w:t>
            </w:r>
          </w:p>
        </w:tc>
        <w:tc>
          <w:tcPr>
            <w:tcW w:w="5080" w:type="dxa"/>
            <w:vAlign w:val="bottom"/>
          </w:tcPr>
          <w:p>
            <w:pPr>
              <w:ind w:left="420"/>
              <w:spacing w:after="0"/>
              <w:rPr>
                <w:sz w:val="20"/>
                <w:szCs w:val="20"/>
                <w:color w:val="auto"/>
              </w:rPr>
            </w:pPr>
            <w:r>
              <w:rPr>
                <w:rFonts w:ascii="Arial" w:cs="Arial" w:eastAsia="Arial" w:hAnsi="Arial"/>
                <w:sz w:val="25"/>
                <w:szCs w:val="25"/>
                <w:color w:val="B94831"/>
              </w:rPr>
              <w:t>April 12, 2024):</w:t>
            </w:r>
          </w:p>
        </w:tc>
        <w:tc>
          <w:tcPr>
            <w:tcW w:w="0" w:type="dxa"/>
            <w:vAlign w:val="bottom"/>
          </w:tcPr>
          <w:p>
            <w:pPr>
              <w:spacing w:after="0"/>
              <w:rPr>
                <w:sz w:val="1"/>
                <w:szCs w:val="1"/>
                <w:color w:val="auto"/>
              </w:rPr>
            </w:pPr>
          </w:p>
        </w:tc>
      </w:tr>
      <w:tr>
        <w:trPr>
          <w:trHeight w:val="98"/>
        </w:trPr>
        <w:tc>
          <w:tcPr>
            <w:tcW w:w="5060" w:type="dxa"/>
            <w:vAlign w:val="bottom"/>
            <w:vMerge w:val="continue"/>
          </w:tcPr>
          <w:p>
            <w:pPr>
              <w:spacing w:after="0"/>
              <w:rPr>
                <w:sz w:val="8"/>
                <w:szCs w:val="8"/>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rPr>
              <w:t>$0.54 quarterly ($2.16 annualized)</w:t>
            </w:r>
          </w:p>
        </w:tc>
        <w:tc>
          <w:tcPr>
            <w:tcW w:w="0" w:type="dxa"/>
            <w:vAlign w:val="bottom"/>
          </w:tcPr>
          <w:p>
            <w:pPr>
              <w:spacing w:after="0"/>
              <w:rPr>
                <w:sz w:val="1"/>
                <w:szCs w:val="1"/>
                <w:color w:val="auto"/>
              </w:rPr>
            </w:pP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 Toronto Stock Exchange (TSX)</w:t>
            </w:r>
          </w:p>
        </w:tc>
        <w:tc>
          <w:tcPr>
            <w:tcW w:w="5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 New York Stock Exchange (NYSE)</w:t>
            </w:r>
          </w:p>
        </w:tc>
        <w:tc>
          <w:tcPr>
            <w:tcW w:w="5080" w:type="dxa"/>
            <w:vAlign w:val="bottom"/>
          </w:tcPr>
          <w:p>
            <w:pPr>
              <w:ind w:left="420"/>
              <w:spacing w:after="0"/>
              <w:rPr>
                <w:sz w:val="20"/>
                <w:szCs w:val="20"/>
                <w:color w:val="auto"/>
              </w:rPr>
            </w:pPr>
            <w:r>
              <w:rPr>
                <w:rFonts w:ascii="Arial" w:cs="Arial" w:eastAsia="Arial" w:hAnsi="Arial"/>
                <w:sz w:val="18"/>
                <w:szCs w:val="18"/>
                <w:color w:val="auto"/>
                <w:w w:val="98"/>
              </w:rPr>
              <w:t>31 consecutive years of common share dividend increases.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0" w:right="400"/>
        <w:spacing w:after="0" w:line="263" w:lineRule="auto"/>
        <w:rPr>
          <w:sz w:val="20"/>
          <w:szCs w:val="20"/>
          <w:color w:val="auto"/>
        </w:rPr>
      </w:pPr>
      <w:r>
        <w:rPr>
          <w:rFonts w:ascii="Arial" w:cs="Arial" w:eastAsia="Arial" w:hAnsi="Arial"/>
          <w:sz w:val="18"/>
          <w:szCs w:val="18"/>
          <w:i w:val="1"/>
          <w:iCs w:val="1"/>
          <w:color w:val="auto"/>
        </w:rPr>
        <w:t>All revenue information reflected in the first table above is based on our 2023 full-year results. Our “Big 3” segments refer to our Legal Professionals, Corporates and Tax &amp; Accounting Professionals segments combined.</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For more information about our company, visit </w:t>
      </w:r>
      <w:r>
        <w:rPr>
          <w:rFonts w:ascii="Arial" w:cs="Arial" w:eastAsia="Arial" w:hAnsi="Arial"/>
          <w:sz w:val="18"/>
          <w:szCs w:val="18"/>
          <w:b w:val="1"/>
          <w:bCs w:val="1"/>
          <w:color w:val="335367"/>
        </w:rPr>
        <w:t>www.thomsonreuters.com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Non-International Financial Reporting Standards (non-IFRS) financial measures. Please see the note in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133985</wp:posOffset>
            </wp:positionV>
            <wp:extent cx="69297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19" w:lineRule="exact"/>
        <w:rPr>
          <w:sz w:val="20"/>
          <w:szCs w:val="20"/>
          <w:color w:val="auto"/>
        </w:rPr>
      </w:pPr>
    </w:p>
    <w:p>
      <w:pPr>
        <w:ind w:left="6100"/>
        <w:spacing w:after="0"/>
        <w:rPr>
          <w:sz w:val="20"/>
          <w:szCs w:val="20"/>
          <w:color w:val="auto"/>
        </w:rPr>
      </w:pPr>
      <w:r>
        <w:rPr>
          <w:rFonts w:ascii="Arial" w:cs="Arial" w:eastAsia="Arial" w:hAnsi="Arial"/>
          <w:sz w:val="13"/>
          <w:szCs w:val="13"/>
          <w:color w:val="auto"/>
        </w:rPr>
        <w:t>Management Proxy Circular and Notice of Annual Meeting of Shareholders   Page 3</w:t>
      </w:r>
    </w:p>
    <w:p>
      <w:pPr>
        <w:sectPr>
          <w:pgSz w:w="11900" w:h="16838" w:orient="portrait"/>
          <w:cols w:equalWidth="0" w:num="1">
            <w:col w:w="11080"/>
          </w:cols>
          <w:pgMar w:left="320" w:top="454"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About this Circular and Related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358775</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line="249" w:lineRule="auto"/>
        <w:rPr>
          <w:sz w:val="20"/>
          <w:szCs w:val="20"/>
          <w:color w:val="auto"/>
        </w:rPr>
      </w:pPr>
      <w:r>
        <w:rPr>
          <w:rFonts w:ascii="Arial" w:cs="Arial" w:eastAsia="Arial" w:hAnsi="Arial"/>
          <w:sz w:val="27"/>
          <w:szCs w:val="27"/>
          <w:color w:val="auto"/>
        </w:rPr>
        <w:t>We are providing this circular and proxy materials to you in connection with our annual meeting of shareholders to be held on Wednesday, June 5, 2024. As a shareholder, you are invited to attend the meeting. If you are unable to attend, you may still vote by completing the enclosed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150495</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This circular describes the items to be voted on at the meeting and the voting process and contains additional information about executive compensation, corporate governance practices and other matters that will be discussed at the meeting.</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Unless otherwise indicated:</w:t>
      </w:r>
    </w:p>
    <w:p>
      <w:pPr>
        <w:sectPr>
          <w:pgSz w:w="11900" w:h="16838" w:orient="portrait"/>
          <w:cols w:equalWidth="0" w:num="1">
            <w:col w:w="11020"/>
          </w:cols>
          <w:pgMar w:left="320" w:top="454" w:right="55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as of April 12,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 this circular are expressed in U.S. dollars;</w:t>
      </w:r>
    </w:p>
    <w:p>
      <w:pPr>
        <w:spacing w:after="0" w:line="12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applicable amounts translated to U.S. dollars from Canadian dollars utilized the average Canadian/U.S. dollar month-end exchange rate for 2023, which was C$1 = US$0.74219; and</w:t>
      </w:r>
    </w:p>
    <w:p>
      <w:pPr>
        <w:spacing w:after="0" w:line="64" w:lineRule="exact"/>
        <w:rPr>
          <w:sz w:val="20"/>
          <w:szCs w:val="20"/>
          <w:color w:val="auto"/>
        </w:rPr>
      </w:pPr>
    </w:p>
    <w:p>
      <w:pPr>
        <w:sectPr>
          <w:pgSz w:w="11900" w:h="16838" w:orient="portrait"/>
          <w:cols w:equalWidth="0" w:num="2">
            <w:col w:w="180" w:space="300"/>
            <w:col w:w="10540"/>
          </w:cols>
          <w:pgMar w:left="320" w:top="454" w:right="559" w:bottom="1440" w:gutter="0" w:footer="0" w:header="0"/>
          <w:type w:val="continuous"/>
        </w:sectPr>
      </w:pPr>
    </w:p>
    <w:p>
      <w:pPr>
        <w:ind w:left="480" w:right="20" w:hanging="313"/>
        <w:spacing w:after="0" w:line="265" w:lineRule="auto"/>
        <w:tabs>
          <w:tab w:leader="none" w:pos="480" w:val="left"/>
        </w:tabs>
        <w:numPr>
          <w:ilvl w:val="0"/>
          <w:numId w:val="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applicable amounts translated to U.S. dollars from Swiss francs utilized the average Swiss franc/U.S. dollar month-end exchange rate for 2023, which was CHF 1 = US$1.11676.</w:t>
      </w:r>
    </w:p>
    <w:p>
      <w:pPr>
        <w:spacing w:after="0" w:line="51" w:lineRule="exact"/>
        <w:rPr>
          <w:sz w:val="20"/>
          <w:szCs w:val="20"/>
          <w:color w:val="auto"/>
        </w:rPr>
      </w:pPr>
    </w:p>
    <w:p>
      <w:pPr>
        <w:ind w:left="160" w:right="780"/>
        <w:spacing w:after="0" w:line="265" w:lineRule="auto"/>
        <w:rPr>
          <w:sz w:val="20"/>
          <w:szCs w:val="20"/>
          <w:color w:val="auto"/>
        </w:rPr>
      </w:pPr>
      <w:r>
        <w:rPr>
          <w:rFonts w:ascii="Arial" w:cs="Arial" w:eastAsia="Arial" w:hAnsi="Arial"/>
          <w:sz w:val="18"/>
          <w:szCs w:val="18"/>
          <w:color w:val="auto"/>
        </w:rPr>
        <w:t>In this circular, the terms “we”, “us” and “our” refer to Thomson Reuters Corporation and our consolidated subsidiaries. The term “Woodbridge” refers to The Woodbridge Company Limited and other companies affiliated with it.</w:t>
      </w:r>
    </w:p>
    <w:p>
      <w:pPr>
        <w:spacing w:after="0" w:line="5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Please see the “Voting Information and How to Attend” section of this document for an explanation of how you can vote on the matters to be considered at the meeting, whether or not you decide to attend the meeting.</w:t>
      </w:r>
    </w:p>
    <w:p>
      <w:pPr>
        <w:spacing w:after="0" w:line="51"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We are a Canadian company that is considered to be a “foreign private issuer” for U.S. federal securities law purposes. As a result, we have prepared this circular in accordance with applicable Canadian disclosure requirements.</w:t>
      </w:r>
    </w:p>
    <w:p>
      <w:pPr>
        <w:spacing w:after="0" w:line="5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Information contained on our website or any other websites identified in this circular is not part of this circular. All website addresses listed in this circular are intended to be inactive, textual references only. The Thomson Reuters logo and our other trademarks, trade names and service names mentioned in this circular are the property of Thomson Reuters.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Front cover photo credit: REUTERS/Issam Abdallah.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4   Management Proxy Circular and Notice of Annual Meeting of Shareholders</w:t>
      </w:r>
    </w:p>
    <w:p>
      <w:pPr>
        <w:sectPr>
          <w:pgSz w:w="11900" w:h="16838" w:orient="portrait"/>
          <w:cols w:equalWidth="0" w:num="1">
            <w:col w:w="11020"/>
          </w:cols>
          <w:pgMar w:left="320" w:top="454" w:right="5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Business of the Meeting</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Highlights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year’s meeting will cover the following items of business. Additional information is provided in this circular.</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2840" w:type="dxa"/>
            <w:vAlign w:val="bottom"/>
            <w:shd w:val="clear" w:color="auto" w:fill="262626"/>
          </w:tcPr>
          <w:p>
            <w:pPr>
              <w:spacing w:after="0"/>
              <w:rPr>
                <w:sz w:val="20"/>
                <w:szCs w:val="20"/>
                <w:color w:val="auto"/>
              </w:rPr>
            </w:pPr>
            <w:r>
              <w:rPr>
                <w:rFonts w:ascii="Arial" w:cs="Arial" w:eastAsia="Arial" w:hAnsi="Arial"/>
                <w:sz w:val="14"/>
                <w:szCs w:val="14"/>
                <w:b w:val="1"/>
                <w:bCs w:val="1"/>
                <w:color w:val="FFFFFF"/>
              </w:rPr>
              <w:t>  Item of Business</w:t>
            </w:r>
          </w:p>
        </w:tc>
        <w:tc>
          <w:tcPr>
            <w:tcW w:w="460" w:type="dxa"/>
            <w:vAlign w:val="bottom"/>
            <w:shd w:val="clear" w:color="auto" w:fill="262626"/>
          </w:tcPr>
          <w:p>
            <w:pPr>
              <w:spacing w:after="0"/>
              <w:rPr>
                <w:sz w:val="15"/>
                <w:szCs w:val="15"/>
                <w:color w:val="auto"/>
              </w:rPr>
            </w:pPr>
          </w:p>
        </w:tc>
        <w:tc>
          <w:tcPr>
            <w:tcW w:w="700" w:type="dxa"/>
            <w:vAlign w:val="bottom"/>
            <w:shd w:val="clear" w:color="auto" w:fill="262626"/>
          </w:tcPr>
          <w:p>
            <w:pPr>
              <w:spacing w:after="0"/>
              <w:rPr>
                <w:sz w:val="15"/>
                <w:szCs w:val="15"/>
                <w:color w:val="auto"/>
              </w:rPr>
            </w:pPr>
          </w:p>
        </w:tc>
        <w:tc>
          <w:tcPr>
            <w:tcW w:w="2780" w:type="dxa"/>
            <w:vAlign w:val="bottom"/>
            <w:shd w:val="clear" w:color="auto" w:fill="262626"/>
          </w:tcPr>
          <w:p>
            <w:pPr>
              <w:spacing w:after="0"/>
              <w:rPr>
                <w:sz w:val="15"/>
                <w:szCs w:val="15"/>
                <w:color w:val="auto"/>
              </w:rPr>
            </w:pPr>
          </w:p>
        </w:tc>
        <w:tc>
          <w:tcPr>
            <w:tcW w:w="940" w:type="dxa"/>
            <w:vAlign w:val="bottom"/>
            <w:shd w:val="clear" w:color="auto" w:fill="262626"/>
          </w:tcPr>
          <w:p>
            <w:pPr>
              <w:spacing w:after="0"/>
              <w:rPr>
                <w:sz w:val="15"/>
                <w:szCs w:val="15"/>
                <w:color w:val="auto"/>
              </w:rPr>
            </w:pPr>
          </w:p>
        </w:tc>
        <w:tc>
          <w:tcPr>
            <w:tcW w:w="920" w:type="dxa"/>
            <w:vAlign w:val="bottom"/>
            <w:shd w:val="clear" w:color="auto" w:fill="262626"/>
          </w:tcPr>
          <w:p>
            <w:pPr>
              <w:spacing w:after="0"/>
              <w:rPr>
                <w:sz w:val="15"/>
                <w:szCs w:val="15"/>
                <w:color w:val="auto"/>
              </w:rPr>
            </w:pPr>
          </w:p>
        </w:tc>
        <w:tc>
          <w:tcPr>
            <w:tcW w:w="660" w:type="dxa"/>
            <w:vAlign w:val="bottom"/>
            <w:tcBorders>
              <w:right w:val="single" w:sz="8" w:color="262626"/>
            </w:tcBorders>
            <w:shd w:val="clear" w:color="auto" w:fill="262626"/>
          </w:tcPr>
          <w:p>
            <w:pPr>
              <w:spacing w:after="0"/>
              <w:rPr>
                <w:sz w:val="15"/>
                <w:szCs w:val="15"/>
                <w:color w:val="auto"/>
              </w:rPr>
            </w:pPr>
          </w:p>
        </w:tc>
        <w:tc>
          <w:tcPr>
            <w:tcW w:w="1620" w:type="dxa"/>
            <w:vAlign w:val="bottom"/>
            <w:shd w:val="clear" w:color="auto" w:fill="262626"/>
          </w:tcPr>
          <w:p>
            <w:pPr>
              <w:ind w:left="100"/>
              <w:spacing w:after="0"/>
              <w:rPr>
                <w:sz w:val="20"/>
                <w:szCs w:val="20"/>
                <w:color w:val="auto"/>
              </w:rPr>
            </w:pPr>
            <w:r>
              <w:rPr>
                <w:rFonts w:ascii="Arial" w:cs="Arial" w:eastAsia="Arial" w:hAnsi="Arial"/>
                <w:sz w:val="14"/>
                <w:szCs w:val="14"/>
                <w:b w:val="1"/>
                <w:bCs w:val="1"/>
                <w:color w:val="FFFFFF"/>
              </w:rPr>
              <w:t>Board Vote</w:t>
            </w:r>
          </w:p>
        </w:tc>
        <w:tc>
          <w:tcPr>
            <w:tcW w:w="0" w:type="dxa"/>
            <w:vAlign w:val="bottom"/>
          </w:tcPr>
          <w:p>
            <w:pPr>
              <w:spacing w:after="0"/>
              <w:rPr>
                <w:sz w:val="1"/>
                <w:szCs w:val="1"/>
                <w:color w:val="auto"/>
              </w:rPr>
            </w:pPr>
          </w:p>
        </w:tc>
      </w:tr>
      <w:tr>
        <w:trPr>
          <w:trHeight w:val="210"/>
        </w:trPr>
        <w:tc>
          <w:tcPr>
            <w:tcW w:w="2840" w:type="dxa"/>
            <w:vAlign w:val="bottom"/>
            <w:shd w:val="clear" w:color="auto" w:fill="262626"/>
          </w:tcPr>
          <w:p>
            <w:pPr>
              <w:spacing w:after="0"/>
              <w:rPr>
                <w:sz w:val="18"/>
                <w:szCs w:val="18"/>
                <w:color w:val="auto"/>
              </w:rPr>
            </w:pPr>
          </w:p>
        </w:tc>
        <w:tc>
          <w:tcPr>
            <w:tcW w:w="460" w:type="dxa"/>
            <w:vAlign w:val="bottom"/>
            <w:shd w:val="clear" w:color="auto" w:fill="262626"/>
          </w:tcPr>
          <w:p>
            <w:pPr>
              <w:spacing w:after="0"/>
              <w:rPr>
                <w:sz w:val="18"/>
                <w:szCs w:val="18"/>
                <w:color w:val="auto"/>
              </w:rPr>
            </w:pPr>
          </w:p>
        </w:tc>
        <w:tc>
          <w:tcPr>
            <w:tcW w:w="700" w:type="dxa"/>
            <w:vAlign w:val="bottom"/>
            <w:shd w:val="clear" w:color="auto" w:fill="262626"/>
          </w:tcPr>
          <w:p>
            <w:pPr>
              <w:spacing w:after="0"/>
              <w:rPr>
                <w:sz w:val="18"/>
                <w:szCs w:val="18"/>
                <w:color w:val="auto"/>
              </w:rPr>
            </w:pPr>
          </w:p>
        </w:tc>
        <w:tc>
          <w:tcPr>
            <w:tcW w:w="2780" w:type="dxa"/>
            <w:vAlign w:val="bottom"/>
            <w:shd w:val="clear" w:color="auto" w:fill="262626"/>
          </w:tcPr>
          <w:p>
            <w:pPr>
              <w:spacing w:after="0"/>
              <w:rPr>
                <w:sz w:val="18"/>
                <w:szCs w:val="18"/>
                <w:color w:val="auto"/>
              </w:rPr>
            </w:pPr>
          </w:p>
        </w:tc>
        <w:tc>
          <w:tcPr>
            <w:tcW w:w="940" w:type="dxa"/>
            <w:vAlign w:val="bottom"/>
            <w:shd w:val="clear" w:color="auto" w:fill="262626"/>
          </w:tcPr>
          <w:p>
            <w:pPr>
              <w:spacing w:after="0"/>
              <w:rPr>
                <w:sz w:val="18"/>
                <w:szCs w:val="18"/>
                <w:color w:val="auto"/>
              </w:rPr>
            </w:pPr>
          </w:p>
        </w:tc>
        <w:tc>
          <w:tcPr>
            <w:tcW w:w="920" w:type="dxa"/>
            <w:vAlign w:val="bottom"/>
            <w:shd w:val="clear" w:color="auto" w:fill="262626"/>
          </w:tcPr>
          <w:p>
            <w:pPr>
              <w:spacing w:after="0"/>
              <w:rPr>
                <w:sz w:val="18"/>
                <w:szCs w:val="18"/>
                <w:color w:val="auto"/>
              </w:rPr>
            </w:pPr>
          </w:p>
        </w:tc>
        <w:tc>
          <w:tcPr>
            <w:tcW w:w="660" w:type="dxa"/>
            <w:vAlign w:val="bottom"/>
            <w:tcBorders>
              <w:right w:val="single" w:sz="8" w:color="262626"/>
            </w:tcBorders>
            <w:shd w:val="clear" w:color="auto" w:fill="262626"/>
          </w:tcPr>
          <w:p>
            <w:pPr>
              <w:spacing w:after="0"/>
              <w:rPr>
                <w:sz w:val="18"/>
                <w:szCs w:val="18"/>
                <w:color w:val="auto"/>
              </w:rPr>
            </w:pPr>
          </w:p>
        </w:tc>
        <w:tc>
          <w:tcPr>
            <w:tcW w:w="1620" w:type="dxa"/>
            <w:vAlign w:val="bottom"/>
            <w:shd w:val="clear" w:color="auto" w:fill="262626"/>
          </w:tcPr>
          <w:p>
            <w:pPr>
              <w:ind w:left="100"/>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226"/>
        </w:trPr>
        <w:tc>
          <w:tcPr>
            <w:tcW w:w="2840" w:type="dxa"/>
            <w:vAlign w:val="bottom"/>
          </w:tcPr>
          <w:p>
            <w:pPr>
              <w:spacing w:after="0"/>
              <w:rPr>
                <w:sz w:val="20"/>
                <w:szCs w:val="20"/>
                <w:color w:val="auto"/>
              </w:rPr>
            </w:pPr>
            <w:r>
              <w:rPr>
                <w:rFonts w:ascii="Arial" w:cs="Arial" w:eastAsia="Arial" w:hAnsi="Arial"/>
                <w:sz w:val="14"/>
                <w:szCs w:val="14"/>
                <w:b w:val="1"/>
                <w:bCs w:val="1"/>
                <w:color w:val="auto"/>
              </w:rPr>
              <w:t>1. Financial statements</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Borders>
              <w:right w:val="single" w:sz="8" w:color="AFAFAF"/>
            </w:tcBorders>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5"/>
        </w:trPr>
        <w:tc>
          <w:tcPr>
            <w:tcW w:w="3300" w:type="dxa"/>
            <w:vAlign w:val="bottom"/>
            <w:gridSpan w:val="2"/>
          </w:tcPr>
          <w:p>
            <w:pPr>
              <w:spacing w:after="0"/>
              <w:rPr>
                <w:sz w:val="20"/>
                <w:szCs w:val="20"/>
                <w:color w:val="auto"/>
              </w:rPr>
            </w:pPr>
            <w:r>
              <w:rPr>
                <w:rFonts w:ascii="Arial" w:cs="Arial" w:eastAsia="Arial" w:hAnsi="Arial"/>
                <w:sz w:val="14"/>
                <w:szCs w:val="14"/>
                <w:color w:val="auto"/>
              </w:rPr>
              <w:t>Receipt of our 2023 audited financial statements.</w:t>
            </w: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Borders>
              <w:right w:val="single" w:sz="8" w:color="AFAFAF"/>
            </w:tcBorders>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300" w:type="dxa"/>
            <w:vAlign w:val="bottom"/>
            <w:tcBorders>
              <w:right w:val="single" w:sz="8" w:color="AFAFAF"/>
            </w:tcBorders>
            <w:gridSpan w:val="7"/>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Our 2023 annual consolidated financial statements are included in our 2023 annual report, which is available in the “Investor Relations” section</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00" w:type="dxa"/>
            <w:vAlign w:val="bottom"/>
            <w:gridSpan w:val="2"/>
          </w:tcPr>
          <w:p>
            <w:pPr>
              <w:ind w:left="240"/>
              <w:spacing w:after="0"/>
              <w:rPr>
                <w:sz w:val="20"/>
                <w:szCs w:val="20"/>
                <w:color w:val="auto"/>
              </w:rPr>
            </w:pPr>
            <w:r>
              <w:rPr>
                <w:rFonts w:ascii="Arial" w:cs="Arial" w:eastAsia="Arial" w:hAnsi="Arial"/>
                <w:sz w:val="14"/>
                <w:szCs w:val="14"/>
                <w:color w:val="auto"/>
              </w:rPr>
              <w:t xml:space="preserve">of our website, </w:t>
            </w:r>
            <w:r>
              <w:rPr>
                <w:rFonts w:ascii="Arial" w:cs="Arial" w:eastAsia="Arial" w:hAnsi="Arial"/>
                <w:sz w:val="14"/>
                <w:szCs w:val="14"/>
                <w:b w:val="1"/>
                <w:bCs w:val="1"/>
                <w:color w:val="335367"/>
              </w:rPr>
              <w:t>www.thomsonreuters.com</w:t>
            </w: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Shareholders who requested a copy of the 2023 annual report will receive it by mail or e-mail.</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Borders>
              <w:right w:val="single" w:sz="8" w:color="AFAFAF"/>
            </w:tcBorders>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9300" w:type="dxa"/>
            <w:vAlign w:val="bottom"/>
            <w:tcBorders>
              <w:right w:val="single" w:sz="8" w:color="AFAFAF"/>
            </w:tcBorders>
            <w:gridSpan w:val="7"/>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Representatives from Thomson Reuters and our independent auditor, PricewaterhouseCoopers LLP, will be available to discuss any questions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gridSpan w:val="2"/>
          </w:tcPr>
          <w:p>
            <w:pPr>
              <w:ind w:left="240"/>
              <w:spacing w:after="0"/>
              <w:rPr>
                <w:sz w:val="20"/>
                <w:szCs w:val="20"/>
                <w:color w:val="auto"/>
              </w:rPr>
            </w:pPr>
            <w:r>
              <w:rPr>
                <w:rFonts w:ascii="Arial" w:cs="Arial" w:eastAsia="Arial" w:hAnsi="Arial"/>
                <w:sz w:val="14"/>
                <w:szCs w:val="14"/>
                <w:color w:val="auto"/>
              </w:rPr>
              <w:t>about our financial statements at the meeting.</w:t>
            </w:r>
          </w:p>
        </w:tc>
        <w:tc>
          <w:tcPr>
            <w:tcW w:w="7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FAFAF"/>
            </w:tcBorders>
            <w:gridSpan w:val="2"/>
          </w:tcPr>
          <w:p>
            <w:pPr>
              <w:spacing w:after="0"/>
              <w:rPr>
                <w:sz w:val="4"/>
                <w:szCs w:val="4"/>
                <w:color w:val="auto"/>
              </w:rPr>
            </w:pPr>
          </w:p>
        </w:tc>
        <w:tc>
          <w:tcPr>
            <w:tcW w:w="700" w:type="dxa"/>
            <w:vAlign w:val="bottom"/>
            <w:tcBorders>
              <w:bottom w:val="single" w:sz="8" w:color="AFAFAF"/>
            </w:tcBorders>
          </w:tcPr>
          <w:p>
            <w:pPr>
              <w:spacing w:after="0"/>
              <w:rPr>
                <w:sz w:val="4"/>
                <w:szCs w:val="4"/>
                <w:color w:val="auto"/>
              </w:rPr>
            </w:pPr>
          </w:p>
        </w:tc>
        <w:tc>
          <w:tcPr>
            <w:tcW w:w="2780" w:type="dxa"/>
            <w:vAlign w:val="bottom"/>
            <w:tcBorders>
              <w:bottom w:val="single" w:sz="8" w:color="AFAFAF"/>
            </w:tcBorders>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920" w:type="dxa"/>
            <w:vAlign w:val="bottom"/>
            <w:tcBorders>
              <w:bottom w:val="single" w:sz="8" w:color="AFAFAF"/>
            </w:tcBorders>
          </w:tcPr>
          <w:p>
            <w:pPr>
              <w:spacing w:after="0"/>
              <w:rPr>
                <w:sz w:val="4"/>
                <w:szCs w:val="4"/>
                <w:color w:val="auto"/>
              </w:rPr>
            </w:pPr>
          </w:p>
        </w:tc>
        <w:tc>
          <w:tcPr>
            <w:tcW w:w="660" w:type="dxa"/>
            <w:vAlign w:val="bottom"/>
            <w:tcBorders>
              <w:bottom w:val="single" w:sz="8" w:color="AFAFAF"/>
              <w:right w:val="single" w:sz="8" w:color="AFAFAF"/>
            </w:tcBorders>
          </w:tcPr>
          <w:p>
            <w:pPr>
              <w:spacing w:after="0"/>
              <w:rPr>
                <w:sz w:val="4"/>
                <w:szCs w:val="4"/>
                <w:color w:val="auto"/>
              </w:rPr>
            </w:pPr>
          </w:p>
        </w:tc>
        <w:tc>
          <w:tcPr>
            <w:tcW w:w="1620" w:type="dxa"/>
            <w:vAlign w:val="bottom"/>
            <w:tcBorders>
              <w:bottom w:val="single" w:sz="8" w:color="AFAFAF"/>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2. Election of Directors (page 15 of the circular)</w:t>
            </w:r>
          </w:p>
        </w:tc>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Borders>
              <w:right w:val="single" w:sz="8" w:color="AFAFAF"/>
            </w:tcBorders>
          </w:tcPr>
          <w:p>
            <w:pPr>
              <w:spacing w:after="0"/>
              <w:rPr>
                <w:sz w:val="17"/>
                <w:szCs w:val="17"/>
                <w:color w:val="auto"/>
              </w:rPr>
            </w:pPr>
          </w:p>
        </w:tc>
        <w:tc>
          <w:tcPr>
            <w:tcW w:w="1620" w:type="dxa"/>
            <w:vAlign w:val="bottom"/>
          </w:tcPr>
          <w:p>
            <w:pPr>
              <w:ind w:left="10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FOR each director</w:t>
            </w:r>
          </w:p>
        </w:tc>
        <w:tc>
          <w:tcPr>
            <w:tcW w:w="0" w:type="dxa"/>
            <w:vAlign w:val="bottom"/>
          </w:tcPr>
          <w:p>
            <w:pPr>
              <w:spacing w:after="0"/>
              <w:rPr>
                <w:sz w:val="1"/>
                <w:szCs w:val="1"/>
                <w:color w:val="auto"/>
              </w:rPr>
            </w:pPr>
          </w:p>
        </w:tc>
      </w:tr>
      <w:tr>
        <w:trPr>
          <w:trHeight w:val="189"/>
        </w:trPr>
        <w:tc>
          <w:tcPr>
            <w:tcW w:w="9300" w:type="dxa"/>
            <w:vAlign w:val="bottom"/>
            <w:tcBorders>
              <w:right w:val="single" w:sz="8" w:color="AFAFAF"/>
            </w:tcBorders>
            <w:gridSpan w:val="7"/>
            <w:vMerge w:val="restart"/>
          </w:tcPr>
          <w:p>
            <w:pPr>
              <w:spacing w:after="0"/>
              <w:rPr>
                <w:sz w:val="20"/>
                <w:szCs w:val="20"/>
                <w:color w:val="auto"/>
              </w:rPr>
            </w:pPr>
            <w:r>
              <w:rPr>
                <w:rFonts w:ascii="Arial" w:cs="Arial" w:eastAsia="Arial" w:hAnsi="Arial"/>
                <w:sz w:val="14"/>
                <w:szCs w:val="14"/>
                <w:color w:val="auto"/>
              </w:rPr>
              <w:t>At the meeting, 13 individuals are proposed to be elected to our Board of Directors. All of these individuals are currently directors of our company.</w:t>
            </w:r>
          </w:p>
        </w:tc>
        <w:tc>
          <w:tcPr>
            <w:tcW w:w="1620" w:type="dxa"/>
            <w:vAlign w:val="bottom"/>
          </w:tcPr>
          <w:p>
            <w:pPr>
              <w:ind w:left="100"/>
              <w:spacing w:after="0"/>
              <w:rPr>
                <w:sz w:val="20"/>
                <w:szCs w:val="20"/>
                <w:color w:val="auto"/>
              </w:rPr>
            </w:pPr>
            <w:r>
              <w:rPr>
                <w:rFonts w:ascii="Arial" w:cs="Arial" w:eastAsia="Arial" w:hAnsi="Arial"/>
                <w:sz w:val="14"/>
                <w:szCs w:val="14"/>
                <w:color w:val="auto"/>
              </w:rPr>
              <w:t>nominee</w:t>
            </w:r>
          </w:p>
        </w:tc>
        <w:tc>
          <w:tcPr>
            <w:tcW w:w="0" w:type="dxa"/>
            <w:vAlign w:val="bottom"/>
          </w:tcPr>
          <w:p>
            <w:pPr>
              <w:spacing w:after="0"/>
              <w:rPr>
                <w:sz w:val="1"/>
                <w:szCs w:val="1"/>
                <w:color w:val="auto"/>
              </w:rPr>
            </w:pPr>
          </w:p>
        </w:tc>
      </w:tr>
      <w:tr>
        <w:trPr>
          <w:trHeight w:val="67"/>
        </w:trPr>
        <w:tc>
          <w:tcPr>
            <w:tcW w:w="9300" w:type="dxa"/>
            <w:vAlign w:val="bottom"/>
            <w:tcBorders>
              <w:right w:val="single" w:sz="8" w:color="AFAFAF"/>
            </w:tcBorders>
            <w:gridSpan w:val="7"/>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9300" w:type="dxa"/>
            <w:vAlign w:val="bottom"/>
            <w:tcBorders>
              <w:right w:val="single" w:sz="8" w:color="AFAFAF"/>
            </w:tcBorders>
            <w:gridSpan w:val="7"/>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The Corporate Governance Committee believes that the director nominees have the qualifications, skills and experience necessary for the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240"/>
              <w:spacing w:after="0"/>
              <w:rPr>
                <w:sz w:val="20"/>
                <w:szCs w:val="20"/>
                <w:color w:val="auto"/>
              </w:rPr>
            </w:pPr>
            <w:r>
              <w:rPr>
                <w:rFonts w:ascii="Arial" w:cs="Arial" w:eastAsia="Arial" w:hAnsi="Arial"/>
                <w:sz w:val="14"/>
                <w:szCs w:val="14"/>
                <w:color w:val="auto"/>
              </w:rPr>
              <w:t>Board to fulfill its mandate.</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300" w:type="dxa"/>
            <w:vAlign w:val="bottom"/>
            <w:tcBorders>
              <w:right w:val="single" w:sz="8" w:color="AFAFAF"/>
            </w:tcBorders>
            <w:gridSpan w:val="7"/>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 majority of our directors are independent and three of our directors (David Thomson, Ed Clark and Peter Thomson) are affiliated with our</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20" w:type="dxa"/>
            <w:vAlign w:val="bottom"/>
            <w:gridSpan w:val="5"/>
          </w:tcPr>
          <w:p>
            <w:pPr>
              <w:ind w:left="240"/>
              <w:spacing w:after="0"/>
              <w:rPr>
                <w:sz w:val="20"/>
                <w:szCs w:val="20"/>
                <w:color w:val="auto"/>
              </w:rPr>
            </w:pPr>
            <w:r>
              <w:rPr>
                <w:rFonts w:ascii="Arial" w:cs="Arial" w:eastAsia="Arial" w:hAnsi="Arial"/>
                <w:sz w:val="14"/>
                <w:szCs w:val="14"/>
                <w:color w:val="auto"/>
              </w:rPr>
              <w:t>principal shareholder, Woodbridge. Only one director (our CEO, Steve Hasker) is a member of management.</w:t>
            </w: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The roles and responsibilities of the Chairman (David Thomson) and the CEO (Steve Hasker) are separate.</w:t>
            </w:r>
          </w:p>
        </w:tc>
        <w:tc>
          <w:tcPr>
            <w:tcW w:w="920" w:type="dxa"/>
            <w:vAlign w:val="bottom"/>
          </w:tcPr>
          <w:p>
            <w:pPr>
              <w:spacing w:after="0"/>
              <w:rPr>
                <w:sz w:val="22"/>
                <w:szCs w:val="22"/>
                <w:color w:val="auto"/>
              </w:rPr>
            </w:pPr>
          </w:p>
        </w:tc>
        <w:tc>
          <w:tcPr>
            <w:tcW w:w="660" w:type="dxa"/>
            <w:vAlign w:val="bottom"/>
            <w:tcBorders>
              <w:right w:val="single" w:sz="8" w:color="AFAFAF"/>
            </w:tcBorders>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38% of the director nominees are women and two have self-identified as racially or ethnically diverse.</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Borders>
              <w:right w:val="single" w:sz="8" w:color="AFAFAF"/>
            </w:tcBorders>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300" w:type="dxa"/>
            <w:vAlign w:val="bottom"/>
            <w:tcBorders>
              <w:right w:val="single" w:sz="8" w:color="AFAFAF"/>
            </w:tcBorders>
            <w:gridSpan w:val="7"/>
          </w:tcPr>
          <w:p>
            <w:pPr>
              <w:ind w:left="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Shareholders vote annually for individual directors. At last year’s annual meeting, our director nominees who are standing for re-election</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240"/>
              <w:spacing w:after="0"/>
              <w:rPr>
                <w:sz w:val="20"/>
                <w:szCs w:val="20"/>
                <w:color w:val="auto"/>
              </w:rPr>
            </w:pPr>
            <w:r>
              <w:rPr>
                <w:rFonts w:ascii="Arial" w:cs="Arial" w:eastAsia="Arial" w:hAnsi="Arial"/>
                <w:sz w:val="14"/>
                <w:szCs w:val="14"/>
                <w:color w:val="auto"/>
              </w:rPr>
              <w:t>received an average of 99% “for” votes.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300" w:type="dxa"/>
            <w:vAlign w:val="bottom"/>
            <w:gridSpan w:val="2"/>
          </w:tcPr>
          <w:p>
            <w:pPr>
              <w:spacing w:after="0"/>
              <w:rPr>
                <w:sz w:val="20"/>
                <w:szCs w:val="20"/>
                <w:color w:val="auto"/>
              </w:rPr>
            </w:pPr>
            <w:r>
              <w:rPr>
                <w:rFonts w:ascii="Arial" w:cs="Arial" w:eastAsia="Arial" w:hAnsi="Arial"/>
                <w:sz w:val="14"/>
                <w:szCs w:val="14"/>
                <w:color w:val="auto"/>
              </w:rPr>
              <w:t>The director nominees for this year’s meeting are:</w:t>
            </w:r>
          </w:p>
        </w:tc>
        <w:tc>
          <w:tcPr>
            <w:tcW w:w="7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Borders>
              <w:right w:val="single" w:sz="8" w:color="AFAFAF"/>
            </w:tcBorders>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Borders>
              <w:right w:val="single" w:sz="8" w:color="AFAFAF"/>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840" w:type="dxa"/>
            <w:vAlign w:val="bottom"/>
            <w:shd w:val="clear" w:color="auto" w:fill="262626"/>
          </w:tcPr>
          <w:p>
            <w:pPr>
              <w:spacing w:after="0"/>
              <w:rPr>
                <w:sz w:val="15"/>
                <w:szCs w:val="15"/>
                <w:color w:val="auto"/>
              </w:rPr>
            </w:pPr>
          </w:p>
        </w:tc>
        <w:tc>
          <w:tcPr>
            <w:tcW w:w="460" w:type="dxa"/>
            <w:vAlign w:val="bottom"/>
            <w:shd w:val="clear" w:color="auto" w:fill="262626"/>
          </w:tcPr>
          <w:p>
            <w:pPr>
              <w:spacing w:after="0"/>
              <w:rPr>
                <w:sz w:val="15"/>
                <w:szCs w:val="15"/>
                <w:color w:val="auto"/>
              </w:rPr>
            </w:pPr>
          </w:p>
        </w:tc>
        <w:tc>
          <w:tcPr>
            <w:tcW w:w="700" w:type="dxa"/>
            <w:vAlign w:val="bottom"/>
            <w:shd w:val="clear" w:color="auto" w:fill="262626"/>
          </w:tcPr>
          <w:p>
            <w:pPr>
              <w:spacing w:after="0"/>
              <w:rPr>
                <w:sz w:val="15"/>
                <w:szCs w:val="15"/>
                <w:color w:val="auto"/>
              </w:rPr>
            </w:pPr>
          </w:p>
        </w:tc>
        <w:tc>
          <w:tcPr>
            <w:tcW w:w="2780" w:type="dxa"/>
            <w:vAlign w:val="bottom"/>
            <w:shd w:val="clear" w:color="auto" w:fill="262626"/>
          </w:tcPr>
          <w:p>
            <w:pPr>
              <w:spacing w:after="0"/>
              <w:rPr>
                <w:sz w:val="15"/>
                <w:szCs w:val="15"/>
                <w:color w:val="auto"/>
              </w:rPr>
            </w:pPr>
          </w:p>
        </w:tc>
        <w:tc>
          <w:tcPr>
            <w:tcW w:w="940" w:type="dxa"/>
            <w:vAlign w:val="bottom"/>
            <w:shd w:val="clear" w:color="auto" w:fill="262626"/>
          </w:tcPr>
          <w:p>
            <w:pPr>
              <w:spacing w:after="0"/>
              <w:rPr>
                <w:sz w:val="15"/>
                <w:szCs w:val="15"/>
                <w:color w:val="auto"/>
              </w:rPr>
            </w:pPr>
          </w:p>
        </w:tc>
        <w:tc>
          <w:tcPr>
            <w:tcW w:w="92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Overall</w:t>
            </w:r>
          </w:p>
        </w:tc>
        <w:tc>
          <w:tcPr>
            <w:tcW w:w="660" w:type="dxa"/>
            <w:vAlign w:val="bottom"/>
            <w:tcBorders>
              <w:right w:val="single" w:sz="8" w:color="AFAFAF"/>
            </w:tcBorders>
            <w:shd w:val="clear" w:color="auto" w:fill="262626"/>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40" w:type="dxa"/>
            <w:vAlign w:val="bottom"/>
            <w:shd w:val="clear" w:color="auto" w:fill="262626"/>
          </w:tcPr>
          <w:p>
            <w:pPr>
              <w:spacing w:after="0"/>
              <w:rPr>
                <w:sz w:val="13"/>
                <w:szCs w:val="13"/>
                <w:color w:val="auto"/>
              </w:rPr>
            </w:pPr>
          </w:p>
        </w:tc>
        <w:tc>
          <w:tcPr>
            <w:tcW w:w="460" w:type="dxa"/>
            <w:vAlign w:val="bottom"/>
            <w:shd w:val="clear" w:color="auto" w:fill="262626"/>
          </w:tcPr>
          <w:p>
            <w:pPr>
              <w:spacing w:after="0"/>
              <w:rPr>
                <w:sz w:val="13"/>
                <w:szCs w:val="13"/>
                <w:color w:val="auto"/>
              </w:rPr>
            </w:pPr>
          </w:p>
        </w:tc>
        <w:tc>
          <w:tcPr>
            <w:tcW w:w="700" w:type="dxa"/>
            <w:vAlign w:val="bottom"/>
            <w:shd w:val="clear" w:color="auto" w:fill="262626"/>
          </w:tcPr>
          <w:p>
            <w:pPr>
              <w:spacing w:after="0"/>
              <w:rPr>
                <w:sz w:val="13"/>
                <w:szCs w:val="13"/>
                <w:color w:val="auto"/>
              </w:rPr>
            </w:pPr>
          </w:p>
        </w:tc>
        <w:tc>
          <w:tcPr>
            <w:tcW w:w="2780" w:type="dxa"/>
            <w:vAlign w:val="bottom"/>
            <w:shd w:val="clear" w:color="auto" w:fill="262626"/>
          </w:tcPr>
          <w:p>
            <w:pPr>
              <w:spacing w:after="0"/>
              <w:rPr>
                <w:sz w:val="13"/>
                <w:szCs w:val="13"/>
                <w:color w:val="auto"/>
              </w:rPr>
            </w:pPr>
          </w:p>
        </w:tc>
        <w:tc>
          <w:tcPr>
            <w:tcW w:w="940" w:type="dxa"/>
            <w:vAlign w:val="bottom"/>
            <w:shd w:val="clear" w:color="auto" w:fill="262626"/>
          </w:tcPr>
          <w:p>
            <w:pPr>
              <w:spacing w:after="0"/>
              <w:rPr>
                <w:sz w:val="13"/>
                <w:szCs w:val="13"/>
                <w:color w:val="auto"/>
              </w:rPr>
            </w:pPr>
          </w:p>
        </w:tc>
        <w:tc>
          <w:tcPr>
            <w:tcW w:w="92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w w:val="99"/>
              </w:rPr>
              <w:t>Attendance</w:t>
            </w:r>
          </w:p>
        </w:tc>
        <w:tc>
          <w:tcPr>
            <w:tcW w:w="660" w:type="dxa"/>
            <w:vAlign w:val="bottom"/>
            <w:tcBorders>
              <w:right w:val="single" w:sz="8" w:color="AFAFAF"/>
            </w:tcBorders>
            <w:shd w:val="clear" w:color="auto" w:fill="262626"/>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shd w:val="clear" w:color="auto" w:fill="262626"/>
          </w:tcPr>
          <w:p>
            <w:pPr>
              <w:spacing w:after="0"/>
              <w:rPr>
                <w:sz w:val="13"/>
                <w:szCs w:val="13"/>
                <w:color w:val="auto"/>
              </w:rPr>
            </w:pPr>
          </w:p>
        </w:tc>
        <w:tc>
          <w:tcPr>
            <w:tcW w:w="460" w:type="dxa"/>
            <w:vAlign w:val="bottom"/>
            <w:shd w:val="clear" w:color="auto" w:fill="262626"/>
          </w:tcPr>
          <w:p>
            <w:pPr>
              <w:spacing w:after="0"/>
              <w:rPr>
                <w:sz w:val="13"/>
                <w:szCs w:val="13"/>
                <w:color w:val="auto"/>
              </w:rPr>
            </w:pPr>
          </w:p>
        </w:tc>
        <w:tc>
          <w:tcPr>
            <w:tcW w:w="700" w:type="dxa"/>
            <w:vAlign w:val="bottom"/>
            <w:shd w:val="clear" w:color="auto" w:fill="262626"/>
          </w:tcPr>
          <w:p>
            <w:pPr>
              <w:spacing w:after="0"/>
              <w:rPr>
                <w:sz w:val="13"/>
                <w:szCs w:val="13"/>
                <w:color w:val="auto"/>
              </w:rPr>
            </w:pPr>
          </w:p>
        </w:tc>
        <w:tc>
          <w:tcPr>
            <w:tcW w:w="2780" w:type="dxa"/>
            <w:vAlign w:val="bottom"/>
            <w:shd w:val="clear" w:color="auto" w:fill="262626"/>
          </w:tcPr>
          <w:p>
            <w:pPr>
              <w:spacing w:after="0"/>
              <w:rPr>
                <w:sz w:val="13"/>
                <w:szCs w:val="13"/>
                <w:color w:val="auto"/>
              </w:rPr>
            </w:pPr>
          </w:p>
        </w:tc>
        <w:tc>
          <w:tcPr>
            <w:tcW w:w="940" w:type="dxa"/>
            <w:vAlign w:val="bottom"/>
            <w:shd w:val="clear" w:color="auto" w:fill="262626"/>
          </w:tcPr>
          <w:p>
            <w:pPr>
              <w:spacing w:after="0"/>
              <w:rPr>
                <w:sz w:val="13"/>
                <w:szCs w:val="13"/>
                <w:color w:val="auto"/>
              </w:rPr>
            </w:pPr>
          </w:p>
        </w:tc>
        <w:tc>
          <w:tcPr>
            <w:tcW w:w="92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at Board</w:t>
            </w:r>
          </w:p>
        </w:tc>
        <w:tc>
          <w:tcPr>
            <w:tcW w:w="660" w:type="dxa"/>
            <w:vAlign w:val="bottom"/>
            <w:tcBorders>
              <w:right w:val="single" w:sz="8" w:color="AFAFAF"/>
            </w:tcBorders>
            <w:shd w:val="clear" w:color="auto" w:fill="262626"/>
          </w:tcPr>
          <w:p>
            <w:pPr>
              <w:jc w:val="center"/>
              <w:spacing w:after="0"/>
              <w:rPr>
                <w:sz w:val="20"/>
                <w:szCs w:val="20"/>
                <w:color w:val="auto"/>
              </w:rPr>
            </w:pPr>
            <w:r>
              <w:rPr>
                <w:rFonts w:ascii="Arial" w:cs="Arial" w:eastAsia="Arial" w:hAnsi="Arial"/>
                <w:sz w:val="14"/>
                <w:szCs w:val="14"/>
                <w:b w:val="1"/>
                <w:bCs w:val="1"/>
                <w:color w:val="FFFFFF"/>
              </w:rPr>
              <w:t>Other</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262626"/>
          </w:tcPr>
          <w:p>
            <w:pPr>
              <w:spacing w:after="0"/>
              <w:rPr>
                <w:sz w:val="13"/>
                <w:szCs w:val="13"/>
                <w:color w:val="auto"/>
              </w:rPr>
            </w:pPr>
          </w:p>
        </w:tc>
        <w:tc>
          <w:tcPr>
            <w:tcW w:w="460" w:type="dxa"/>
            <w:vAlign w:val="bottom"/>
            <w:shd w:val="clear" w:color="auto" w:fill="262626"/>
          </w:tcPr>
          <w:p>
            <w:pPr>
              <w:spacing w:after="0"/>
              <w:rPr>
                <w:sz w:val="13"/>
                <w:szCs w:val="13"/>
                <w:color w:val="auto"/>
              </w:rPr>
            </w:pPr>
          </w:p>
        </w:tc>
        <w:tc>
          <w:tcPr>
            <w:tcW w:w="700" w:type="dxa"/>
            <w:vAlign w:val="bottom"/>
            <w:shd w:val="clear" w:color="auto" w:fill="262626"/>
          </w:tcPr>
          <w:p>
            <w:pPr>
              <w:jc w:val="center"/>
              <w:spacing w:after="0" w:line="157" w:lineRule="exact"/>
              <w:rPr>
                <w:sz w:val="20"/>
                <w:szCs w:val="20"/>
                <w:color w:val="auto"/>
              </w:rPr>
            </w:pPr>
            <w:r>
              <w:rPr>
                <w:rFonts w:ascii="Arial" w:cs="Arial" w:eastAsia="Arial" w:hAnsi="Arial"/>
                <w:sz w:val="14"/>
                <w:szCs w:val="14"/>
                <w:b w:val="1"/>
                <w:bCs w:val="1"/>
                <w:color w:val="FFFFFF"/>
              </w:rPr>
              <w:t>Director</w:t>
            </w:r>
          </w:p>
        </w:tc>
        <w:tc>
          <w:tcPr>
            <w:tcW w:w="2780" w:type="dxa"/>
            <w:vAlign w:val="bottom"/>
            <w:shd w:val="clear" w:color="auto" w:fill="262626"/>
          </w:tcPr>
          <w:p>
            <w:pPr>
              <w:spacing w:after="0"/>
              <w:rPr>
                <w:sz w:val="13"/>
                <w:szCs w:val="13"/>
                <w:color w:val="auto"/>
              </w:rPr>
            </w:pPr>
          </w:p>
        </w:tc>
        <w:tc>
          <w:tcPr>
            <w:tcW w:w="940" w:type="dxa"/>
            <w:vAlign w:val="bottom"/>
            <w:shd w:val="clear" w:color="auto" w:fill="262626"/>
          </w:tcPr>
          <w:p>
            <w:pPr>
              <w:spacing w:after="0"/>
              <w:rPr>
                <w:sz w:val="13"/>
                <w:szCs w:val="13"/>
                <w:color w:val="auto"/>
              </w:rPr>
            </w:pPr>
          </w:p>
        </w:tc>
        <w:tc>
          <w:tcPr>
            <w:tcW w:w="920" w:type="dxa"/>
            <w:vAlign w:val="bottom"/>
            <w:shd w:val="clear" w:color="auto" w:fill="262626"/>
          </w:tcPr>
          <w:p>
            <w:pPr>
              <w:jc w:val="center"/>
              <w:spacing w:after="0" w:line="157" w:lineRule="exact"/>
              <w:rPr>
                <w:sz w:val="20"/>
                <w:szCs w:val="20"/>
                <w:color w:val="auto"/>
              </w:rPr>
            </w:pPr>
            <w:r>
              <w:rPr>
                <w:rFonts w:ascii="Arial" w:cs="Arial" w:eastAsia="Arial" w:hAnsi="Arial"/>
                <w:sz w:val="14"/>
                <w:szCs w:val="14"/>
                <w:b w:val="1"/>
                <w:bCs w:val="1"/>
                <w:color w:val="FFFFFF"/>
                <w:w w:val="98"/>
              </w:rPr>
              <w:t>Meetings</w:t>
            </w:r>
          </w:p>
        </w:tc>
        <w:tc>
          <w:tcPr>
            <w:tcW w:w="660" w:type="dxa"/>
            <w:vAlign w:val="bottom"/>
            <w:tcBorders>
              <w:right w:val="single" w:sz="8" w:color="AFAFAF"/>
            </w:tcBorders>
            <w:shd w:val="clear" w:color="auto" w:fill="262626"/>
          </w:tcPr>
          <w:p>
            <w:pPr>
              <w:jc w:val="center"/>
              <w:spacing w:after="0" w:line="157" w:lineRule="exact"/>
              <w:rPr>
                <w:sz w:val="20"/>
                <w:szCs w:val="20"/>
                <w:color w:val="auto"/>
              </w:rPr>
            </w:pPr>
            <w:r>
              <w:rPr>
                <w:rFonts w:ascii="Arial" w:cs="Arial" w:eastAsia="Arial" w:hAnsi="Arial"/>
                <w:sz w:val="14"/>
                <w:szCs w:val="14"/>
                <w:b w:val="1"/>
                <w:bCs w:val="1"/>
                <w:color w:val="FFFFFF"/>
              </w:rPr>
              <w:t>public</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840" w:type="dxa"/>
            <w:vAlign w:val="bottom"/>
            <w:shd w:val="clear" w:color="auto" w:fill="262626"/>
          </w:tcPr>
          <w:p>
            <w:pPr>
              <w:spacing w:after="0"/>
              <w:rPr>
                <w:sz w:val="20"/>
                <w:szCs w:val="20"/>
                <w:color w:val="auto"/>
              </w:rPr>
            </w:pPr>
            <w:r>
              <w:rPr>
                <w:rFonts w:ascii="Arial" w:cs="Arial" w:eastAsia="Arial" w:hAnsi="Arial"/>
                <w:sz w:val="14"/>
                <w:szCs w:val="14"/>
                <w:b w:val="1"/>
                <w:bCs w:val="1"/>
                <w:color w:val="FFFFFF"/>
              </w:rPr>
              <w:t>  Name</w:t>
            </w:r>
          </w:p>
        </w:tc>
        <w:tc>
          <w:tcPr>
            <w:tcW w:w="460" w:type="dxa"/>
            <w:vAlign w:val="bottom"/>
            <w:shd w:val="clear" w:color="auto" w:fill="262626"/>
          </w:tcPr>
          <w:p>
            <w:pPr>
              <w:ind w:left="100"/>
              <w:spacing w:after="0"/>
              <w:rPr>
                <w:sz w:val="20"/>
                <w:szCs w:val="20"/>
                <w:color w:val="auto"/>
              </w:rPr>
            </w:pPr>
            <w:r>
              <w:rPr>
                <w:rFonts w:ascii="Arial" w:cs="Arial" w:eastAsia="Arial" w:hAnsi="Arial"/>
                <w:sz w:val="14"/>
                <w:szCs w:val="14"/>
                <w:b w:val="1"/>
                <w:bCs w:val="1"/>
                <w:color w:val="FFFFFF"/>
              </w:rPr>
              <w:t>Age</w:t>
            </w:r>
          </w:p>
        </w:tc>
        <w:tc>
          <w:tcPr>
            <w:tcW w:w="70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Since</w:t>
            </w:r>
          </w:p>
        </w:tc>
        <w:tc>
          <w:tcPr>
            <w:tcW w:w="2780" w:type="dxa"/>
            <w:vAlign w:val="bottom"/>
            <w:shd w:val="clear" w:color="auto" w:fill="262626"/>
          </w:tcPr>
          <w:p>
            <w:pPr>
              <w:ind w:left="700"/>
              <w:spacing w:after="0"/>
              <w:rPr>
                <w:sz w:val="20"/>
                <w:szCs w:val="20"/>
                <w:color w:val="auto"/>
              </w:rPr>
            </w:pPr>
            <w:r>
              <w:rPr>
                <w:rFonts w:ascii="Arial" w:cs="Arial" w:eastAsia="Arial" w:hAnsi="Arial"/>
                <w:sz w:val="14"/>
                <w:szCs w:val="14"/>
                <w:b w:val="1"/>
                <w:bCs w:val="1"/>
                <w:color w:val="FFFFFF"/>
              </w:rPr>
              <w:t>Principal occupation</w:t>
            </w:r>
          </w:p>
        </w:tc>
        <w:tc>
          <w:tcPr>
            <w:tcW w:w="94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Committees</w:t>
            </w:r>
          </w:p>
        </w:tc>
        <w:tc>
          <w:tcPr>
            <w:tcW w:w="920" w:type="dxa"/>
            <w:vAlign w:val="bottom"/>
            <w:shd w:val="clear" w:color="auto" w:fill="262626"/>
          </w:tcPr>
          <w:p>
            <w:pPr>
              <w:jc w:val="center"/>
              <w:spacing w:after="0" w:line="227" w:lineRule="exact"/>
              <w:rPr>
                <w:sz w:val="20"/>
                <w:szCs w:val="20"/>
                <w:color w:val="auto"/>
              </w:rPr>
            </w:pPr>
            <w:r>
              <w:rPr>
                <w:rFonts w:ascii="Arial" w:cs="Arial" w:eastAsia="Arial" w:hAnsi="Arial"/>
                <w:sz w:val="14"/>
                <w:szCs w:val="14"/>
                <w:b w:val="1"/>
                <w:bCs w:val="1"/>
                <w:color w:val="FFFFFF"/>
              </w:rPr>
              <w:t>in 2023</w:t>
            </w:r>
            <w:r>
              <w:rPr>
                <w:rFonts w:ascii="Arial" w:cs="Arial" w:eastAsia="Arial" w:hAnsi="Arial"/>
                <w:sz w:val="21"/>
                <w:szCs w:val="21"/>
                <w:b w:val="1"/>
                <w:bCs w:val="1"/>
                <w:color w:val="FFFFFF"/>
                <w:vertAlign w:val="superscript"/>
              </w:rPr>
              <w:t>1</w:t>
            </w:r>
          </w:p>
        </w:tc>
        <w:tc>
          <w:tcPr>
            <w:tcW w:w="660" w:type="dxa"/>
            <w:vAlign w:val="bottom"/>
            <w:tcBorders>
              <w:right w:val="single" w:sz="8" w:color="AFAFAF"/>
            </w:tcBorders>
            <w:shd w:val="clear" w:color="auto" w:fill="262626"/>
          </w:tcPr>
          <w:p>
            <w:pPr>
              <w:jc w:val="center"/>
              <w:spacing w:after="0"/>
              <w:rPr>
                <w:sz w:val="20"/>
                <w:szCs w:val="20"/>
                <w:color w:val="auto"/>
              </w:rPr>
            </w:pPr>
            <w:r>
              <w:rPr>
                <w:rFonts w:ascii="Arial" w:cs="Arial" w:eastAsia="Arial" w:hAnsi="Arial"/>
                <w:sz w:val="14"/>
                <w:szCs w:val="14"/>
                <w:b w:val="1"/>
                <w:bCs w:val="1"/>
                <w:color w:val="FFFFFF"/>
              </w:rPr>
              <w:t>boards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40" w:type="dxa"/>
            <w:vAlign w:val="bottom"/>
          </w:tcPr>
          <w:p>
            <w:pPr>
              <w:spacing w:after="0"/>
              <w:rPr>
                <w:sz w:val="20"/>
                <w:szCs w:val="20"/>
                <w:color w:val="auto"/>
              </w:rPr>
            </w:pPr>
            <w:r>
              <w:rPr>
                <w:rFonts w:ascii="Arial" w:cs="Arial" w:eastAsia="Arial" w:hAnsi="Arial"/>
                <w:sz w:val="14"/>
                <w:szCs w:val="14"/>
                <w:b w:val="1"/>
                <w:bCs w:val="1"/>
                <w:color w:val="auto"/>
              </w:rPr>
              <w:t>  David Thomson</w:t>
            </w:r>
          </w:p>
        </w:tc>
        <w:tc>
          <w:tcPr>
            <w:tcW w:w="460" w:type="dxa"/>
            <w:vAlign w:val="bottom"/>
          </w:tcPr>
          <w:p>
            <w:pPr>
              <w:ind w:left="100"/>
              <w:spacing w:after="0"/>
              <w:rPr>
                <w:sz w:val="20"/>
                <w:szCs w:val="20"/>
                <w:color w:val="auto"/>
              </w:rPr>
            </w:pPr>
            <w:r>
              <w:rPr>
                <w:rFonts w:ascii="Arial" w:cs="Arial" w:eastAsia="Arial" w:hAnsi="Arial"/>
                <w:sz w:val="14"/>
                <w:szCs w:val="14"/>
                <w:color w:val="auto"/>
              </w:rPr>
              <w:t>66</w:t>
            </w:r>
          </w:p>
        </w:tc>
        <w:tc>
          <w:tcPr>
            <w:tcW w:w="700" w:type="dxa"/>
            <w:vAlign w:val="bottom"/>
          </w:tcPr>
          <w:p>
            <w:pPr>
              <w:jc w:val="center"/>
              <w:spacing w:after="0"/>
              <w:rPr>
                <w:sz w:val="20"/>
                <w:szCs w:val="20"/>
                <w:color w:val="auto"/>
              </w:rPr>
            </w:pPr>
            <w:r>
              <w:rPr>
                <w:rFonts w:ascii="Arial" w:cs="Arial" w:eastAsia="Arial" w:hAnsi="Arial"/>
                <w:sz w:val="14"/>
                <w:szCs w:val="14"/>
                <w:color w:val="auto"/>
              </w:rPr>
              <w:t>1988</w:t>
            </w:r>
          </w:p>
        </w:tc>
        <w:tc>
          <w:tcPr>
            <w:tcW w:w="2780" w:type="dxa"/>
            <w:vAlign w:val="bottom"/>
          </w:tcPr>
          <w:p>
            <w:pPr>
              <w:ind w:left="40"/>
              <w:spacing w:after="0"/>
              <w:rPr>
                <w:sz w:val="20"/>
                <w:szCs w:val="20"/>
                <w:color w:val="auto"/>
              </w:rPr>
            </w:pPr>
            <w:r>
              <w:rPr>
                <w:rFonts w:ascii="Arial" w:cs="Arial" w:eastAsia="Arial" w:hAnsi="Arial"/>
                <w:sz w:val="14"/>
                <w:szCs w:val="14"/>
                <w:color w:val="auto"/>
              </w:rPr>
              <w:t>Chairman of Woodbridge</w:t>
            </w: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100%/100%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40" w:type="dxa"/>
            <w:vAlign w:val="bottom"/>
          </w:tcPr>
          <w:p>
            <w:pPr>
              <w:spacing w:after="0"/>
              <w:rPr>
                <w:sz w:val="20"/>
                <w:szCs w:val="20"/>
                <w:color w:val="auto"/>
              </w:rPr>
            </w:pPr>
            <w:r>
              <w:rPr>
                <w:rFonts w:ascii="Arial" w:cs="Arial" w:eastAsia="Arial" w:hAnsi="Arial"/>
                <w:sz w:val="14"/>
                <w:szCs w:val="14"/>
                <w:b w:val="1"/>
                <w:bCs w:val="1"/>
                <w:color w:val="auto"/>
              </w:rPr>
              <w:t>  Steve Hasker</w:t>
            </w:r>
          </w:p>
        </w:tc>
        <w:tc>
          <w:tcPr>
            <w:tcW w:w="460" w:type="dxa"/>
            <w:vAlign w:val="bottom"/>
          </w:tcPr>
          <w:p>
            <w:pPr>
              <w:ind w:left="100"/>
              <w:spacing w:after="0"/>
              <w:rPr>
                <w:sz w:val="20"/>
                <w:szCs w:val="20"/>
                <w:color w:val="auto"/>
              </w:rPr>
            </w:pPr>
            <w:r>
              <w:rPr>
                <w:rFonts w:ascii="Arial" w:cs="Arial" w:eastAsia="Arial" w:hAnsi="Arial"/>
                <w:sz w:val="14"/>
                <w:szCs w:val="14"/>
                <w:color w:val="auto"/>
              </w:rPr>
              <w:t>54</w:t>
            </w:r>
          </w:p>
        </w:tc>
        <w:tc>
          <w:tcPr>
            <w:tcW w:w="700" w:type="dxa"/>
            <w:vAlign w:val="bottom"/>
          </w:tcPr>
          <w:p>
            <w:pPr>
              <w:jc w:val="center"/>
              <w:spacing w:after="0"/>
              <w:rPr>
                <w:sz w:val="20"/>
                <w:szCs w:val="20"/>
                <w:color w:val="auto"/>
              </w:rPr>
            </w:pPr>
            <w:r>
              <w:rPr>
                <w:rFonts w:ascii="Arial" w:cs="Arial" w:eastAsia="Arial" w:hAnsi="Arial"/>
                <w:sz w:val="14"/>
                <w:szCs w:val="14"/>
                <w:color w:val="auto"/>
              </w:rPr>
              <w:t>2020</w:t>
            </w:r>
          </w:p>
        </w:tc>
        <w:tc>
          <w:tcPr>
            <w:tcW w:w="2780" w:type="dxa"/>
            <w:vAlign w:val="bottom"/>
          </w:tcPr>
          <w:p>
            <w:pPr>
              <w:ind w:left="40"/>
              <w:spacing w:after="0"/>
              <w:rPr>
                <w:sz w:val="20"/>
                <w:szCs w:val="20"/>
                <w:color w:val="auto"/>
              </w:rPr>
            </w:pPr>
            <w:r>
              <w:rPr>
                <w:rFonts w:ascii="Arial" w:cs="Arial" w:eastAsia="Arial" w:hAnsi="Arial"/>
                <w:sz w:val="14"/>
                <w:szCs w:val="14"/>
                <w:color w:val="auto"/>
              </w:rPr>
              <w:t>President and CEO of Thomson Reuters</w:t>
            </w: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100%/100%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Kirk E. Arnold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64</w:t>
            </w:r>
          </w:p>
        </w:tc>
        <w:tc>
          <w:tcPr>
            <w:tcW w:w="700" w:type="dxa"/>
            <w:vAlign w:val="bottom"/>
          </w:tcPr>
          <w:p>
            <w:pPr>
              <w:jc w:val="center"/>
              <w:spacing w:after="0"/>
              <w:rPr>
                <w:sz w:val="20"/>
                <w:szCs w:val="20"/>
                <w:color w:val="auto"/>
              </w:rPr>
            </w:pPr>
            <w:r>
              <w:rPr>
                <w:rFonts w:ascii="Arial" w:cs="Arial" w:eastAsia="Arial" w:hAnsi="Arial"/>
                <w:sz w:val="14"/>
                <w:szCs w:val="14"/>
                <w:color w:val="auto"/>
              </w:rPr>
              <w:t>2020</w:t>
            </w:r>
          </w:p>
        </w:tc>
        <w:tc>
          <w:tcPr>
            <w:tcW w:w="2780" w:type="dxa"/>
            <w:vAlign w:val="bottom"/>
          </w:tcPr>
          <w:p>
            <w:pPr>
              <w:ind w:left="40"/>
              <w:spacing w:after="0"/>
              <w:rPr>
                <w:sz w:val="20"/>
                <w:szCs w:val="20"/>
                <w:color w:val="auto"/>
              </w:rPr>
            </w:pPr>
            <w:r>
              <w:rPr>
                <w:rFonts w:ascii="Arial" w:cs="Arial" w:eastAsia="Arial" w:hAnsi="Arial"/>
                <w:sz w:val="14"/>
                <w:szCs w:val="14"/>
                <w:color w:val="auto"/>
              </w:rPr>
              <w:t>Advisor, General Catalyst growth</w:t>
            </w:r>
          </w:p>
        </w:tc>
        <w:tc>
          <w:tcPr>
            <w:tcW w:w="940" w:type="dxa"/>
            <w:vAlign w:val="bottom"/>
          </w:tcPr>
          <w:p>
            <w:pPr>
              <w:jc w:val="center"/>
              <w:spacing w:after="0"/>
              <w:rPr>
                <w:sz w:val="20"/>
                <w:szCs w:val="20"/>
                <w:color w:val="auto"/>
              </w:rPr>
            </w:pPr>
            <w:r>
              <w:rPr>
                <w:rFonts w:ascii="Arial" w:cs="Arial" w:eastAsia="Arial" w:hAnsi="Arial"/>
                <w:sz w:val="14"/>
                <w:szCs w:val="14"/>
                <w:color w:val="auto"/>
              </w:rPr>
              <w:t>CG, HR, R</w:t>
            </w:r>
          </w:p>
        </w:tc>
        <w:tc>
          <w:tcPr>
            <w:tcW w:w="920" w:type="dxa"/>
            <w:vAlign w:val="bottom"/>
          </w:tcPr>
          <w:p>
            <w:pPr>
              <w:jc w:val="center"/>
              <w:spacing w:after="0"/>
              <w:rPr>
                <w:sz w:val="20"/>
                <w:szCs w:val="20"/>
                <w:color w:val="auto"/>
              </w:rPr>
            </w:pPr>
            <w:r>
              <w:rPr>
                <w:rFonts w:ascii="Arial" w:cs="Arial" w:eastAsia="Arial" w:hAnsi="Arial"/>
                <w:sz w:val="14"/>
                <w:szCs w:val="14"/>
                <w:color w:val="auto"/>
              </w:rPr>
              <w:t>100%/100%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2</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auto"/>
              </w:rPr>
              <w:t>companies</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2840" w:type="dxa"/>
            <w:vAlign w:val="bottom"/>
          </w:tcPr>
          <w:p>
            <w:pPr>
              <w:spacing w:after="0"/>
              <w:rPr>
                <w:sz w:val="20"/>
                <w:szCs w:val="20"/>
                <w:color w:val="auto"/>
              </w:rPr>
            </w:pPr>
            <w:r>
              <w:rPr>
                <w:rFonts w:ascii="Arial" w:cs="Arial" w:eastAsia="Arial" w:hAnsi="Arial"/>
                <w:sz w:val="14"/>
                <w:szCs w:val="14"/>
                <w:b w:val="1"/>
                <w:bCs w:val="1"/>
                <w:color w:val="auto"/>
              </w:rPr>
              <w:t>  W. Edmund Clark, C.M.</w:t>
            </w:r>
          </w:p>
        </w:tc>
        <w:tc>
          <w:tcPr>
            <w:tcW w:w="460" w:type="dxa"/>
            <w:vAlign w:val="bottom"/>
          </w:tcPr>
          <w:p>
            <w:pPr>
              <w:ind w:left="100"/>
              <w:spacing w:after="0"/>
              <w:rPr>
                <w:sz w:val="20"/>
                <w:szCs w:val="20"/>
                <w:color w:val="auto"/>
              </w:rPr>
            </w:pPr>
            <w:r>
              <w:rPr>
                <w:rFonts w:ascii="Arial" w:cs="Arial" w:eastAsia="Arial" w:hAnsi="Arial"/>
                <w:sz w:val="14"/>
                <w:szCs w:val="14"/>
                <w:color w:val="auto"/>
              </w:rPr>
              <w:t>76</w:t>
            </w:r>
          </w:p>
        </w:tc>
        <w:tc>
          <w:tcPr>
            <w:tcW w:w="700" w:type="dxa"/>
            <w:vAlign w:val="bottom"/>
          </w:tcPr>
          <w:p>
            <w:pPr>
              <w:jc w:val="center"/>
              <w:spacing w:after="0"/>
              <w:rPr>
                <w:sz w:val="20"/>
                <w:szCs w:val="20"/>
                <w:color w:val="auto"/>
              </w:rPr>
            </w:pPr>
            <w:r>
              <w:rPr>
                <w:rFonts w:ascii="Arial" w:cs="Arial" w:eastAsia="Arial" w:hAnsi="Arial"/>
                <w:sz w:val="14"/>
                <w:szCs w:val="14"/>
                <w:color w:val="auto"/>
              </w:rPr>
              <w:t>2015</w:t>
            </w:r>
          </w:p>
        </w:tc>
        <w:tc>
          <w:tcPr>
            <w:tcW w:w="2780" w:type="dxa"/>
            <w:vAlign w:val="bottom"/>
          </w:tcPr>
          <w:p>
            <w:pPr>
              <w:ind w:left="40"/>
              <w:spacing w:after="0"/>
              <w:rPr>
                <w:sz w:val="20"/>
                <w:szCs w:val="20"/>
                <w:color w:val="auto"/>
              </w:rPr>
            </w:pPr>
            <w:r>
              <w:rPr>
                <w:rFonts w:ascii="Arial" w:cs="Arial" w:eastAsia="Arial" w:hAnsi="Arial"/>
                <w:sz w:val="14"/>
                <w:szCs w:val="14"/>
                <w:color w:val="auto"/>
              </w:rPr>
              <w:t>Former Group President and CEO of TD</w:t>
            </w:r>
          </w:p>
        </w:tc>
        <w:tc>
          <w:tcPr>
            <w:tcW w:w="940" w:type="dxa"/>
            <w:vAlign w:val="bottom"/>
          </w:tcPr>
          <w:p>
            <w:pPr>
              <w:jc w:val="center"/>
              <w:spacing w:after="0"/>
              <w:rPr>
                <w:sz w:val="20"/>
                <w:szCs w:val="20"/>
                <w:color w:val="auto"/>
              </w:rPr>
            </w:pPr>
            <w:r>
              <w:rPr>
                <w:rFonts w:ascii="Arial" w:cs="Arial" w:eastAsia="Arial" w:hAnsi="Arial"/>
                <w:sz w:val="14"/>
                <w:szCs w:val="14"/>
                <w:color w:val="auto"/>
              </w:rPr>
              <w:t>CG, HR</w:t>
            </w:r>
          </w:p>
        </w:tc>
        <w:tc>
          <w:tcPr>
            <w:tcW w:w="920" w:type="dxa"/>
            <w:vAlign w:val="bottom"/>
          </w:tcPr>
          <w:p>
            <w:pPr>
              <w:jc w:val="center"/>
              <w:spacing w:after="0"/>
              <w:rPr>
                <w:sz w:val="20"/>
                <w:szCs w:val="20"/>
                <w:color w:val="auto"/>
              </w:rPr>
            </w:pPr>
            <w:r>
              <w:rPr>
                <w:rFonts w:ascii="Arial" w:cs="Arial" w:eastAsia="Arial" w:hAnsi="Arial"/>
                <w:sz w:val="14"/>
                <w:szCs w:val="14"/>
                <w:color w:val="auto"/>
              </w:rPr>
              <w:t>89%/100%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auto"/>
              </w:rPr>
              <w:t>Bank Group</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LaVerne Council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62</w:t>
            </w:r>
          </w:p>
        </w:tc>
        <w:tc>
          <w:tcPr>
            <w:tcW w:w="700" w:type="dxa"/>
            <w:vAlign w:val="bottom"/>
          </w:tcPr>
          <w:p>
            <w:pPr>
              <w:jc w:val="center"/>
              <w:spacing w:after="0"/>
              <w:rPr>
                <w:sz w:val="20"/>
                <w:szCs w:val="20"/>
                <w:color w:val="auto"/>
              </w:rPr>
            </w:pPr>
            <w:r>
              <w:rPr>
                <w:rFonts w:ascii="Arial" w:cs="Arial" w:eastAsia="Arial" w:hAnsi="Arial"/>
                <w:sz w:val="14"/>
                <w:szCs w:val="14"/>
                <w:color w:val="auto"/>
              </w:rPr>
              <w:t>2022</w:t>
            </w:r>
          </w:p>
        </w:tc>
        <w:tc>
          <w:tcPr>
            <w:tcW w:w="2780" w:type="dxa"/>
            <w:vAlign w:val="bottom"/>
          </w:tcPr>
          <w:p>
            <w:pPr>
              <w:ind w:left="40"/>
              <w:spacing w:after="0"/>
              <w:rPr>
                <w:sz w:val="20"/>
                <w:szCs w:val="20"/>
                <w:color w:val="auto"/>
              </w:rPr>
            </w:pPr>
            <w:r>
              <w:rPr>
                <w:rFonts w:ascii="Arial" w:cs="Arial" w:eastAsia="Arial" w:hAnsi="Arial"/>
                <w:sz w:val="14"/>
                <w:szCs w:val="14"/>
                <w:color w:val="auto"/>
              </w:rPr>
              <w:t>CEO of Emerald One</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A, R</w:t>
            </w:r>
          </w:p>
        </w:tc>
        <w:tc>
          <w:tcPr>
            <w:tcW w:w="920" w:type="dxa"/>
            <w:vAlign w:val="bottom"/>
          </w:tcPr>
          <w:p>
            <w:pPr>
              <w:jc w:val="center"/>
              <w:spacing w:after="0"/>
              <w:rPr>
                <w:sz w:val="20"/>
                <w:szCs w:val="20"/>
                <w:color w:val="auto"/>
              </w:rPr>
            </w:pPr>
            <w:r>
              <w:rPr>
                <w:rFonts w:ascii="Arial" w:cs="Arial" w:eastAsia="Arial" w:hAnsi="Arial"/>
                <w:sz w:val="14"/>
                <w:szCs w:val="14"/>
                <w:color w:val="auto"/>
              </w:rPr>
              <w:t>100%/100%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2</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Michael E. Daniels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69</w:t>
            </w:r>
          </w:p>
        </w:tc>
        <w:tc>
          <w:tcPr>
            <w:tcW w:w="700" w:type="dxa"/>
            <w:vAlign w:val="bottom"/>
          </w:tcPr>
          <w:p>
            <w:pPr>
              <w:jc w:val="center"/>
              <w:spacing w:after="0"/>
              <w:rPr>
                <w:sz w:val="20"/>
                <w:szCs w:val="20"/>
                <w:color w:val="auto"/>
              </w:rPr>
            </w:pPr>
            <w:r>
              <w:rPr>
                <w:rFonts w:ascii="Arial" w:cs="Arial" w:eastAsia="Arial" w:hAnsi="Arial"/>
                <w:sz w:val="14"/>
                <w:szCs w:val="14"/>
                <w:color w:val="auto"/>
              </w:rPr>
              <w:t>2014</w:t>
            </w:r>
          </w:p>
        </w:tc>
        <w:tc>
          <w:tcPr>
            <w:tcW w:w="2780" w:type="dxa"/>
            <w:vAlign w:val="bottom"/>
          </w:tcPr>
          <w:p>
            <w:pPr>
              <w:ind w:left="40"/>
              <w:spacing w:after="0"/>
              <w:rPr>
                <w:sz w:val="20"/>
                <w:szCs w:val="20"/>
                <w:color w:val="auto"/>
              </w:rPr>
            </w:pPr>
            <w:r>
              <w:rPr>
                <w:rFonts w:ascii="Arial" w:cs="Arial" w:eastAsia="Arial" w:hAnsi="Arial"/>
                <w:sz w:val="14"/>
                <w:szCs w:val="14"/>
                <w:color w:val="auto"/>
              </w:rPr>
              <w:t>Former SVP and Group Executive at IBM</w:t>
            </w:r>
          </w:p>
        </w:tc>
        <w:tc>
          <w:tcPr>
            <w:tcW w:w="940" w:type="dxa"/>
            <w:vAlign w:val="bottom"/>
          </w:tcPr>
          <w:p>
            <w:pPr>
              <w:jc w:val="center"/>
              <w:spacing w:after="0"/>
              <w:rPr>
                <w:sz w:val="20"/>
                <w:szCs w:val="20"/>
                <w:color w:val="auto"/>
              </w:rPr>
            </w:pPr>
            <w:r>
              <w:rPr>
                <w:rFonts w:ascii="Arial" w:cs="Arial" w:eastAsia="Arial" w:hAnsi="Arial"/>
                <w:sz w:val="14"/>
                <w:szCs w:val="14"/>
                <w:color w:val="auto"/>
              </w:rPr>
              <w:t>A, CG, HR, R</w:t>
            </w:r>
          </w:p>
        </w:tc>
        <w:tc>
          <w:tcPr>
            <w:tcW w:w="920" w:type="dxa"/>
            <w:vAlign w:val="bottom"/>
          </w:tcPr>
          <w:p>
            <w:pPr>
              <w:jc w:val="center"/>
              <w:spacing w:after="0"/>
              <w:rPr>
                <w:sz w:val="20"/>
                <w:szCs w:val="20"/>
                <w:color w:val="auto"/>
              </w:rPr>
            </w:pPr>
            <w:r>
              <w:rPr>
                <w:rFonts w:ascii="Arial" w:cs="Arial" w:eastAsia="Arial" w:hAnsi="Arial"/>
                <w:sz w:val="14"/>
                <w:szCs w:val="14"/>
                <w:color w:val="auto"/>
              </w:rPr>
              <w:t>89%/100%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2</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Kirk Koenigsbauer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56</w:t>
            </w:r>
          </w:p>
        </w:tc>
        <w:tc>
          <w:tcPr>
            <w:tcW w:w="700" w:type="dxa"/>
            <w:vAlign w:val="bottom"/>
          </w:tcPr>
          <w:p>
            <w:pPr>
              <w:jc w:val="center"/>
              <w:spacing w:after="0"/>
              <w:rPr>
                <w:sz w:val="20"/>
                <w:szCs w:val="20"/>
                <w:color w:val="auto"/>
              </w:rPr>
            </w:pPr>
            <w:r>
              <w:rPr>
                <w:rFonts w:ascii="Arial" w:cs="Arial" w:eastAsia="Arial" w:hAnsi="Arial"/>
                <w:sz w:val="14"/>
                <w:szCs w:val="14"/>
                <w:color w:val="auto"/>
              </w:rPr>
              <w:t>2020</w:t>
            </w:r>
          </w:p>
        </w:tc>
        <w:tc>
          <w:tcPr>
            <w:tcW w:w="2780" w:type="dxa"/>
            <w:vAlign w:val="bottom"/>
          </w:tcPr>
          <w:p>
            <w:pPr>
              <w:ind w:left="40"/>
              <w:spacing w:after="0"/>
              <w:rPr>
                <w:sz w:val="20"/>
                <w:szCs w:val="20"/>
                <w:color w:val="auto"/>
              </w:rPr>
            </w:pPr>
            <w:r>
              <w:rPr>
                <w:rFonts w:ascii="Arial" w:cs="Arial" w:eastAsia="Arial" w:hAnsi="Arial"/>
                <w:sz w:val="14"/>
                <w:szCs w:val="14"/>
                <w:color w:val="auto"/>
              </w:rPr>
              <w:t>COO and Corporate VP, Microsoft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HR, R</w:t>
            </w:r>
          </w:p>
        </w:tc>
        <w:tc>
          <w:tcPr>
            <w:tcW w:w="920" w:type="dxa"/>
            <w:vAlign w:val="bottom"/>
          </w:tcPr>
          <w:p>
            <w:pPr>
              <w:jc w:val="center"/>
              <w:spacing w:after="0"/>
              <w:rPr>
                <w:sz w:val="20"/>
                <w:szCs w:val="20"/>
                <w:color w:val="auto"/>
              </w:rPr>
            </w:pPr>
            <w:r>
              <w:rPr>
                <w:rFonts w:ascii="Arial" w:cs="Arial" w:eastAsia="Arial" w:hAnsi="Arial"/>
                <w:sz w:val="14"/>
                <w:szCs w:val="14"/>
                <w:color w:val="auto"/>
              </w:rPr>
              <w:t>89%/100%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Deanna Oppenheimer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66</w:t>
            </w:r>
          </w:p>
        </w:tc>
        <w:tc>
          <w:tcPr>
            <w:tcW w:w="700" w:type="dxa"/>
            <w:vAlign w:val="bottom"/>
          </w:tcPr>
          <w:p>
            <w:pPr>
              <w:jc w:val="center"/>
              <w:spacing w:after="0"/>
              <w:rPr>
                <w:sz w:val="20"/>
                <w:szCs w:val="20"/>
                <w:color w:val="auto"/>
              </w:rPr>
            </w:pPr>
            <w:r>
              <w:rPr>
                <w:rFonts w:ascii="Arial" w:cs="Arial" w:eastAsia="Arial" w:hAnsi="Arial"/>
                <w:sz w:val="14"/>
                <w:szCs w:val="14"/>
                <w:color w:val="auto"/>
              </w:rPr>
              <w:t>2020</w:t>
            </w:r>
          </w:p>
        </w:tc>
        <w:tc>
          <w:tcPr>
            <w:tcW w:w="2780" w:type="dxa"/>
            <w:vAlign w:val="bottom"/>
          </w:tcPr>
          <w:p>
            <w:pPr>
              <w:ind w:left="40"/>
              <w:spacing w:after="0"/>
              <w:rPr>
                <w:sz w:val="20"/>
                <w:szCs w:val="20"/>
                <w:color w:val="auto"/>
              </w:rPr>
            </w:pPr>
            <w:r>
              <w:rPr>
                <w:rFonts w:ascii="Arial" w:cs="Arial" w:eastAsia="Arial" w:hAnsi="Arial"/>
                <w:sz w:val="14"/>
                <w:szCs w:val="14"/>
                <w:color w:val="auto"/>
              </w:rPr>
              <w:t>Founder, Cameoworks</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 CG</w:t>
            </w:r>
          </w:p>
        </w:tc>
        <w:tc>
          <w:tcPr>
            <w:tcW w:w="920" w:type="dxa"/>
            <w:vAlign w:val="bottom"/>
          </w:tcPr>
          <w:p>
            <w:pPr>
              <w:jc w:val="center"/>
              <w:spacing w:after="0"/>
              <w:rPr>
                <w:sz w:val="20"/>
                <w:szCs w:val="20"/>
                <w:color w:val="auto"/>
              </w:rPr>
            </w:pPr>
            <w:r>
              <w:rPr>
                <w:rFonts w:ascii="Arial" w:cs="Arial" w:eastAsia="Arial" w:hAnsi="Arial"/>
                <w:sz w:val="14"/>
                <w:szCs w:val="14"/>
                <w:color w:val="auto"/>
              </w:rPr>
              <w:t>89%/100%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1</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Simon Paris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54</w:t>
            </w:r>
          </w:p>
        </w:tc>
        <w:tc>
          <w:tcPr>
            <w:tcW w:w="700" w:type="dxa"/>
            <w:vAlign w:val="bottom"/>
          </w:tcPr>
          <w:p>
            <w:pPr>
              <w:jc w:val="center"/>
              <w:spacing w:after="0"/>
              <w:rPr>
                <w:sz w:val="20"/>
                <w:szCs w:val="20"/>
                <w:color w:val="auto"/>
              </w:rPr>
            </w:pPr>
            <w:r>
              <w:rPr>
                <w:rFonts w:ascii="Arial" w:cs="Arial" w:eastAsia="Arial" w:hAnsi="Arial"/>
                <w:sz w:val="14"/>
                <w:szCs w:val="14"/>
                <w:color w:val="auto"/>
              </w:rPr>
              <w:t>2020</w:t>
            </w:r>
          </w:p>
        </w:tc>
        <w:tc>
          <w:tcPr>
            <w:tcW w:w="2780" w:type="dxa"/>
            <w:vAlign w:val="bottom"/>
          </w:tcPr>
          <w:p>
            <w:pPr>
              <w:ind w:left="40"/>
              <w:spacing w:after="0"/>
              <w:rPr>
                <w:sz w:val="20"/>
                <w:szCs w:val="20"/>
                <w:color w:val="auto"/>
              </w:rPr>
            </w:pPr>
            <w:r>
              <w:rPr>
                <w:rFonts w:ascii="Arial" w:cs="Arial" w:eastAsia="Arial" w:hAnsi="Arial"/>
                <w:sz w:val="14"/>
                <w:szCs w:val="14"/>
                <w:color w:val="auto"/>
              </w:rPr>
              <w:t>CEO, Finastra</w:t>
            </w:r>
          </w:p>
        </w:tc>
        <w:tc>
          <w:tcPr>
            <w:tcW w:w="940" w:type="dxa"/>
            <w:vAlign w:val="bottom"/>
          </w:tcPr>
          <w:p>
            <w:pPr>
              <w:jc w:val="center"/>
              <w:spacing w:after="0"/>
              <w:rPr>
                <w:sz w:val="20"/>
                <w:szCs w:val="20"/>
                <w:color w:val="auto"/>
              </w:rPr>
            </w:pPr>
            <w:r>
              <w:rPr>
                <w:rFonts w:ascii="Arial" w:cs="Arial" w:eastAsia="Arial" w:hAnsi="Arial"/>
                <w:sz w:val="14"/>
                <w:szCs w:val="14"/>
                <w:color w:val="auto"/>
              </w:rPr>
              <w:t>A, CG, R</w:t>
            </w:r>
          </w:p>
        </w:tc>
        <w:tc>
          <w:tcPr>
            <w:tcW w:w="920" w:type="dxa"/>
            <w:vAlign w:val="bottom"/>
          </w:tcPr>
          <w:p>
            <w:pPr>
              <w:jc w:val="center"/>
              <w:spacing w:after="0"/>
              <w:rPr>
                <w:sz w:val="20"/>
                <w:szCs w:val="20"/>
                <w:color w:val="auto"/>
              </w:rPr>
            </w:pPr>
            <w:r>
              <w:rPr>
                <w:rFonts w:ascii="Arial" w:cs="Arial" w:eastAsia="Arial" w:hAnsi="Arial"/>
                <w:sz w:val="14"/>
                <w:szCs w:val="14"/>
                <w:color w:val="auto"/>
              </w:rPr>
              <w:t>89%/100%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1</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Kim M. Rivera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55</w:t>
            </w:r>
          </w:p>
        </w:tc>
        <w:tc>
          <w:tcPr>
            <w:tcW w:w="700" w:type="dxa"/>
            <w:vAlign w:val="bottom"/>
          </w:tcPr>
          <w:p>
            <w:pPr>
              <w:jc w:val="center"/>
              <w:spacing w:after="0"/>
              <w:rPr>
                <w:sz w:val="20"/>
                <w:szCs w:val="20"/>
                <w:color w:val="auto"/>
              </w:rPr>
            </w:pPr>
            <w:r>
              <w:rPr>
                <w:rFonts w:ascii="Arial" w:cs="Arial" w:eastAsia="Arial" w:hAnsi="Arial"/>
                <w:sz w:val="14"/>
                <w:szCs w:val="14"/>
                <w:color w:val="auto"/>
              </w:rPr>
              <w:t>2019</w:t>
            </w:r>
          </w:p>
        </w:tc>
        <w:tc>
          <w:tcPr>
            <w:tcW w:w="2780" w:type="dxa"/>
            <w:vAlign w:val="bottom"/>
          </w:tcPr>
          <w:p>
            <w:pPr>
              <w:ind w:left="40"/>
              <w:spacing w:after="0"/>
              <w:rPr>
                <w:sz w:val="20"/>
                <w:szCs w:val="20"/>
                <w:color w:val="auto"/>
              </w:rPr>
            </w:pPr>
            <w:r>
              <w:rPr>
                <w:rFonts w:ascii="Arial" w:cs="Arial" w:eastAsia="Arial" w:hAnsi="Arial"/>
                <w:sz w:val="14"/>
                <w:szCs w:val="14"/>
                <w:color w:val="auto"/>
              </w:rPr>
              <w:t>Chief Legal and Business Affairs Officer,</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A, R</w:t>
            </w:r>
          </w:p>
        </w:tc>
        <w:tc>
          <w:tcPr>
            <w:tcW w:w="920" w:type="dxa"/>
            <w:vAlign w:val="bottom"/>
          </w:tcPr>
          <w:p>
            <w:pPr>
              <w:jc w:val="center"/>
              <w:spacing w:after="0"/>
              <w:rPr>
                <w:sz w:val="20"/>
                <w:szCs w:val="20"/>
                <w:color w:val="auto"/>
              </w:rPr>
            </w:pPr>
            <w:r>
              <w:rPr>
                <w:rFonts w:ascii="Arial" w:cs="Arial" w:eastAsia="Arial" w:hAnsi="Arial"/>
                <w:sz w:val="14"/>
                <w:szCs w:val="14"/>
                <w:color w:val="auto"/>
              </w:rPr>
              <w:t>78%/100%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auto"/>
              </w:rPr>
              <w:t>OneTrust</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Barry Salzberg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70</w:t>
            </w:r>
          </w:p>
        </w:tc>
        <w:tc>
          <w:tcPr>
            <w:tcW w:w="700" w:type="dxa"/>
            <w:vAlign w:val="bottom"/>
          </w:tcPr>
          <w:p>
            <w:pPr>
              <w:jc w:val="center"/>
              <w:spacing w:after="0"/>
              <w:rPr>
                <w:sz w:val="20"/>
                <w:szCs w:val="20"/>
                <w:color w:val="auto"/>
              </w:rPr>
            </w:pPr>
            <w:r>
              <w:rPr>
                <w:rFonts w:ascii="Arial" w:cs="Arial" w:eastAsia="Arial" w:hAnsi="Arial"/>
                <w:sz w:val="14"/>
                <w:szCs w:val="14"/>
                <w:color w:val="auto"/>
              </w:rPr>
              <w:t>2015</w:t>
            </w:r>
          </w:p>
        </w:tc>
        <w:tc>
          <w:tcPr>
            <w:tcW w:w="2780" w:type="dxa"/>
            <w:vAlign w:val="bottom"/>
          </w:tcPr>
          <w:p>
            <w:pPr>
              <w:ind w:left="40"/>
              <w:spacing w:after="0"/>
              <w:rPr>
                <w:sz w:val="20"/>
                <w:szCs w:val="20"/>
                <w:color w:val="auto"/>
              </w:rPr>
            </w:pPr>
            <w:r>
              <w:rPr>
                <w:rFonts w:ascii="Arial" w:cs="Arial" w:eastAsia="Arial" w:hAnsi="Arial"/>
                <w:sz w:val="14"/>
                <w:szCs w:val="14"/>
                <w:color w:val="auto"/>
              </w:rPr>
              <w:t>Former Global CEO of Deloitte</w:t>
            </w:r>
          </w:p>
        </w:tc>
        <w:tc>
          <w:tcPr>
            <w:tcW w:w="940" w:type="dxa"/>
            <w:vAlign w:val="bottom"/>
          </w:tcPr>
          <w:p>
            <w:pPr>
              <w:jc w:val="center"/>
              <w:spacing w:after="0"/>
              <w:rPr>
                <w:sz w:val="20"/>
                <w:szCs w:val="20"/>
                <w:color w:val="auto"/>
              </w:rPr>
            </w:pPr>
            <w:r>
              <w:rPr>
                <w:rFonts w:ascii="Arial" w:cs="Arial" w:eastAsia="Arial" w:hAnsi="Arial"/>
                <w:sz w:val="14"/>
                <w:szCs w:val="14"/>
                <w:color w:val="auto"/>
              </w:rPr>
              <w:t>A, CG, R</w:t>
            </w:r>
          </w:p>
        </w:tc>
        <w:tc>
          <w:tcPr>
            <w:tcW w:w="920" w:type="dxa"/>
            <w:vAlign w:val="bottom"/>
          </w:tcPr>
          <w:p>
            <w:pPr>
              <w:jc w:val="center"/>
              <w:spacing w:after="0"/>
              <w:rPr>
                <w:sz w:val="20"/>
                <w:szCs w:val="20"/>
                <w:color w:val="auto"/>
              </w:rPr>
            </w:pPr>
            <w:r>
              <w:rPr>
                <w:rFonts w:ascii="Arial" w:cs="Arial" w:eastAsia="Arial" w:hAnsi="Arial"/>
                <w:sz w:val="14"/>
                <w:szCs w:val="14"/>
                <w:color w:val="auto"/>
              </w:rPr>
              <w:t>100%/100%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840" w:type="dxa"/>
            <w:vAlign w:val="bottom"/>
          </w:tcPr>
          <w:p>
            <w:pPr>
              <w:spacing w:after="0"/>
              <w:rPr>
                <w:sz w:val="20"/>
                <w:szCs w:val="20"/>
                <w:color w:val="auto"/>
              </w:rPr>
            </w:pPr>
            <w:r>
              <w:rPr>
                <w:rFonts w:ascii="Arial" w:cs="Arial" w:eastAsia="Arial" w:hAnsi="Arial"/>
                <w:sz w:val="14"/>
                <w:szCs w:val="14"/>
                <w:b w:val="1"/>
                <w:bCs w:val="1"/>
                <w:color w:val="auto"/>
              </w:rPr>
              <w:t>  Peter J. Thomson</w:t>
            </w:r>
          </w:p>
        </w:tc>
        <w:tc>
          <w:tcPr>
            <w:tcW w:w="460" w:type="dxa"/>
            <w:vAlign w:val="bottom"/>
          </w:tcPr>
          <w:p>
            <w:pPr>
              <w:ind w:left="100"/>
              <w:spacing w:after="0"/>
              <w:rPr>
                <w:sz w:val="20"/>
                <w:szCs w:val="20"/>
                <w:color w:val="auto"/>
              </w:rPr>
            </w:pPr>
            <w:r>
              <w:rPr>
                <w:rFonts w:ascii="Arial" w:cs="Arial" w:eastAsia="Arial" w:hAnsi="Arial"/>
                <w:sz w:val="14"/>
                <w:szCs w:val="14"/>
                <w:color w:val="auto"/>
              </w:rPr>
              <w:t>58</w:t>
            </w:r>
          </w:p>
        </w:tc>
        <w:tc>
          <w:tcPr>
            <w:tcW w:w="700" w:type="dxa"/>
            <w:vAlign w:val="bottom"/>
          </w:tcPr>
          <w:p>
            <w:pPr>
              <w:jc w:val="center"/>
              <w:spacing w:after="0"/>
              <w:rPr>
                <w:sz w:val="20"/>
                <w:szCs w:val="20"/>
                <w:color w:val="auto"/>
              </w:rPr>
            </w:pPr>
            <w:r>
              <w:rPr>
                <w:rFonts w:ascii="Arial" w:cs="Arial" w:eastAsia="Arial" w:hAnsi="Arial"/>
                <w:sz w:val="14"/>
                <w:szCs w:val="14"/>
                <w:color w:val="auto"/>
              </w:rPr>
              <w:t>1995</w:t>
            </w:r>
          </w:p>
        </w:tc>
        <w:tc>
          <w:tcPr>
            <w:tcW w:w="2780" w:type="dxa"/>
            <w:vAlign w:val="bottom"/>
          </w:tcPr>
          <w:p>
            <w:pPr>
              <w:ind w:left="40"/>
              <w:spacing w:after="0"/>
              <w:rPr>
                <w:sz w:val="20"/>
                <w:szCs w:val="20"/>
                <w:color w:val="auto"/>
              </w:rPr>
            </w:pPr>
            <w:r>
              <w:rPr>
                <w:rFonts w:ascii="Arial" w:cs="Arial" w:eastAsia="Arial" w:hAnsi="Arial"/>
                <w:sz w:val="14"/>
                <w:szCs w:val="14"/>
                <w:color w:val="auto"/>
              </w:rPr>
              <w:t>Chairman of Woodbridge</w:t>
            </w:r>
          </w:p>
        </w:tc>
        <w:tc>
          <w:tcPr>
            <w:tcW w:w="940" w:type="dxa"/>
            <w:vAlign w:val="bottom"/>
          </w:tcPr>
          <w:p>
            <w:pPr>
              <w:jc w:val="center"/>
              <w:spacing w:after="0"/>
              <w:rPr>
                <w:sz w:val="20"/>
                <w:szCs w:val="20"/>
                <w:color w:val="auto"/>
              </w:rPr>
            </w:pPr>
            <w:r>
              <w:rPr>
                <w:rFonts w:ascii="Arial" w:cs="Arial" w:eastAsia="Arial" w:hAnsi="Arial"/>
                <w:sz w:val="14"/>
                <w:szCs w:val="14"/>
                <w:color w:val="auto"/>
              </w:rPr>
              <w:t>HR</w:t>
            </w:r>
          </w:p>
        </w:tc>
        <w:tc>
          <w:tcPr>
            <w:tcW w:w="920" w:type="dxa"/>
            <w:vAlign w:val="bottom"/>
          </w:tcPr>
          <w:p>
            <w:pPr>
              <w:jc w:val="center"/>
              <w:spacing w:after="0"/>
              <w:rPr>
                <w:sz w:val="20"/>
                <w:szCs w:val="20"/>
                <w:color w:val="auto"/>
              </w:rPr>
            </w:pPr>
            <w:r>
              <w:rPr>
                <w:rFonts w:ascii="Arial" w:cs="Arial" w:eastAsia="Arial" w:hAnsi="Arial"/>
                <w:sz w:val="14"/>
                <w:szCs w:val="14"/>
                <w:color w:val="auto"/>
              </w:rPr>
              <w:t>100%/100%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  Beth Wilson </w:t>
            </w:r>
            <w:r>
              <w:rPr>
                <w:rFonts w:ascii="MS PGothic" w:cs="MS PGothic" w:eastAsia="MS PGothic" w:hAnsi="MS PGothic"/>
                <w:sz w:val="14"/>
                <w:szCs w:val="14"/>
                <w:color w:val="auto"/>
                <w:shd w:val="clear" w:color="auto" w:fill="54F400"/>
              </w:rPr>
              <w:t>✓</w:t>
            </w:r>
          </w:p>
        </w:tc>
        <w:tc>
          <w:tcPr>
            <w:tcW w:w="460" w:type="dxa"/>
            <w:vAlign w:val="bottom"/>
          </w:tcPr>
          <w:p>
            <w:pPr>
              <w:ind w:left="100"/>
              <w:spacing w:after="0"/>
              <w:rPr>
                <w:sz w:val="20"/>
                <w:szCs w:val="20"/>
                <w:color w:val="auto"/>
              </w:rPr>
            </w:pPr>
            <w:r>
              <w:rPr>
                <w:rFonts w:ascii="Arial" w:cs="Arial" w:eastAsia="Arial" w:hAnsi="Arial"/>
                <w:sz w:val="14"/>
                <w:szCs w:val="14"/>
                <w:color w:val="auto"/>
              </w:rPr>
              <w:t>55</w:t>
            </w:r>
          </w:p>
        </w:tc>
        <w:tc>
          <w:tcPr>
            <w:tcW w:w="700" w:type="dxa"/>
            <w:vAlign w:val="bottom"/>
          </w:tcPr>
          <w:p>
            <w:pPr>
              <w:jc w:val="center"/>
              <w:spacing w:after="0"/>
              <w:rPr>
                <w:sz w:val="20"/>
                <w:szCs w:val="20"/>
                <w:color w:val="auto"/>
              </w:rPr>
            </w:pPr>
            <w:r>
              <w:rPr>
                <w:rFonts w:ascii="Arial" w:cs="Arial" w:eastAsia="Arial" w:hAnsi="Arial"/>
                <w:sz w:val="14"/>
                <w:szCs w:val="14"/>
                <w:color w:val="auto"/>
              </w:rPr>
              <w:t>2022</w:t>
            </w:r>
          </w:p>
        </w:tc>
        <w:tc>
          <w:tcPr>
            <w:tcW w:w="2780" w:type="dxa"/>
            <w:vAlign w:val="bottom"/>
          </w:tcPr>
          <w:p>
            <w:pPr>
              <w:ind w:left="40"/>
              <w:spacing w:after="0"/>
              <w:rPr>
                <w:sz w:val="20"/>
                <w:szCs w:val="20"/>
                <w:color w:val="auto"/>
              </w:rPr>
            </w:pPr>
            <w:r>
              <w:rPr>
                <w:rFonts w:ascii="Arial" w:cs="Arial" w:eastAsia="Arial" w:hAnsi="Arial"/>
                <w:sz w:val="14"/>
                <w:szCs w:val="14"/>
                <w:color w:val="auto"/>
              </w:rPr>
              <w:t>Chair of the Chartered Professional</w:t>
            </w:r>
          </w:p>
        </w:tc>
        <w:tc>
          <w:tcPr>
            <w:tcW w:w="940" w:type="dxa"/>
            <w:vAlign w:val="bottom"/>
          </w:tcPr>
          <w:p>
            <w:pPr>
              <w:jc w:val="center"/>
              <w:spacing w:after="0"/>
              <w:rPr>
                <w:sz w:val="20"/>
                <w:szCs w:val="20"/>
                <w:color w:val="auto"/>
              </w:rPr>
            </w:pPr>
            <w:r>
              <w:rPr>
                <w:rFonts w:ascii="Arial" w:cs="Arial" w:eastAsia="Arial" w:hAnsi="Arial"/>
                <w:sz w:val="14"/>
                <w:szCs w:val="14"/>
                <w:color w:val="auto"/>
              </w:rPr>
              <w:t>A, HR</w:t>
            </w:r>
          </w:p>
        </w:tc>
        <w:tc>
          <w:tcPr>
            <w:tcW w:w="920" w:type="dxa"/>
            <w:vAlign w:val="bottom"/>
          </w:tcPr>
          <w:p>
            <w:pPr>
              <w:jc w:val="center"/>
              <w:spacing w:after="0"/>
              <w:rPr>
                <w:sz w:val="20"/>
                <w:szCs w:val="20"/>
                <w:color w:val="auto"/>
              </w:rPr>
            </w:pPr>
            <w:r>
              <w:rPr>
                <w:rFonts w:ascii="Arial" w:cs="Arial" w:eastAsia="Arial" w:hAnsi="Arial"/>
                <w:sz w:val="14"/>
                <w:szCs w:val="14"/>
                <w:color w:val="auto"/>
              </w:rPr>
              <w:t>78%/100%</w:t>
            </w:r>
          </w:p>
        </w:tc>
        <w:tc>
          <w:tcPr>
            <w:tcW w:w="660" w:type="dxa"/>
            <w:vAlign w:val="bottom"/>
            <w:tcBorders>
              <w:right w:val="single" w:sz="8" w:color="AFAFAF"/>
            </w:tcBorders>
          </w:tcPr>
          <w:p>
            <w:pPr>
              <w:jc w:val="center"/>
              <w:spacing w:after="0"/>
              <w:rPr>
                <w:sz w:val="20"/>
                <w:szCs w:val="20"/>
                <w:color w:val="auto"/>
              </w:rPr>
            </w:pPr>
            <w:r>
              <w:rPr>
                <w:rFonts w:ascii="Arial" w:cs="Arial" w:eastAsia="Arial" w:hAnsi="Arial"/>
                <w:sz w:val="14"/>
                <w:szCs w:val="14"/>
                <w:color w:val="auto"/>
              </w:rPr>
              <w:t>1</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vMerge w:val="restart"/>
          </w:tcPr>
          <w:p>
            <w:pPr>
              <w:ind w:left="160"/>
              <w:spacing w:after="0" w:line="161" w:lineRule="exact"/>
              <w:rPr>
                <w:sz w:val="20"/>
                <w:szCs w:val="20"/>
                <w:color w:val="auto"/>
              </w:rPr>
            </w:pPr>
            <w:r>
              <w:rPr>
                <w:rFonts w:ascii="MS PGothic" w:cs="MS PGothic" w:eastAsia="MS PGothic" w:hAnsi="MS PGothic"/>
                <w:sz w:val="14"/>
                <w:szCs w:val="14"/>
                <w:color w:val="auto"/>
                <w:shd w:val="clear" w:color="auto" w:fill="54F400"/>
              </w:rPr>
              <w:t>✓</w:t>
            </w:r>
            <w:r>
              <w:rPr>
                <w:rFonts w:ascii="Arial" w:cs="Arial" w:eastAsia="Arial" w:hAnsi="Arial"/>
                <w:sz w:val="14"/>
                <w:szCs w:val="14"/>
                <w:b w:val="1"/>
                <w:bCs w:val="1"/>
                <w:color w:val="auto"/>
              </w:rPr>
              <w:t>= independent</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auto"/>
              </w:rPr>
              <w:t>Accountants of Canada</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Borders>
              <w:right w:val="single" w:sz="8" w:color="AFAFAF"/>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Borders>
              <w:right w:val="single" w:sz="8" w:color="AFAFAF"/>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780" w:type="dxa"/>
            <w:vAlign w:val="bottom"/>
            <w:gridSpan w:val="4"/>
          </w:tcPr>
          <w:p>
            <w:pPr>
              <w:ind w:left="160"/>
              <w:spacing w:after="0" w:line="155" w:lineRule="exact"/>
              <w:rPr>
                <w:sz w:val="20"/>
                <w:szCs w:val="20"/>
                <w:color w:val="auto"/>
              </w:rPr>
            </w:pPr>
            <w:r>
              <w:rPr>
                <w:rFonts w:ascii="Arial" w:cs="Arial" w:eastAsia="Arial" w:hAnsi="Arial"/>
                <w:sz w:val="14"/>
                <w:szCs w:val="14"/>
                <w:b w:val="1"/>
                <w:bCs w:val="1"/>
                <w:i w:val="1"/>
                <w:iCs w:val="1"/>
                <w:color w:val="auto"/>
              </w:rPr>
              <w:t>Committee legend: A = Audit; CG = Corporate Governance; HR = Human Resources; and R = Risk</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Borders>
              <w:right w:val="single" w:sz="8" w:color="AFAFAF"/>
            </w:tcBorders>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9300" w:type="dxa"/>
            <w:vAlign w:val="bottom"/>
            <w:tcBorders>
              <w:right w:val="single" w:sz="8" w:color="AFAFAF"/>
            </w:tcBorders>
            <w:gridSpan w:val="7"/>
          </w:tcPr>
          <w:p>
            <w:pPr>
              <w:ind w:left="280"/>
              <w:spacing w:after="0" w:line="148" w:lineRule="exact"/>
              <w:rPr>
                <w:sz w:val="20"/>
                <w:szCs w:val="20"/>
                <w:color w:val="auto"/>
              </w:rPr>
            </w:pPr>
            <w:r>
              <w:rPr>
                <w:rFonts w:ascii="Arial" w:cs="Arial" w:eastAsia="Arial" w:hAnsi="Arial"/>
                <w:sz w:val="13"/>
                <w:szCs w:val="13"/>
                <w:color w:val="auto"/>
              </w:rPr>
              <w:t>1   The first percentage figure in each row is attendance for all board meetings, special and regularly scheduled, and the second is attendance for</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40" w:type="dxa"/>
            <w:vAlign w:val="bottom"/>
            <w:tcBorders>
              <w:bottom w:val="single" w:sz="8" w:color="AFAFAF"/>
            </w:tcBorders>
          </w:tcPr>
          <w:p>
            <w:pPr>
              <w:ind w:left="420"/>
              <w:spacing w:after="0"/>
              <w:rPr>
                <w:sz w:val="20"/>
                <w:szCs w:val="20"/>
                <w:color w:val="auto"/>
              </w:rPr>
            </w:pPr>
            <w:r>
              <w:rPr>
                <w:rFonts w:ascii="Arial" w:cs="Arial" w:eastAsia="Arial" w:hAnsi="Arial"/>
                <w:sz w:val="13"/>
                <w:szCs w:val="13"/>
                <w:color w:val="auto"/>
              </w:rPr>
              <w:t>regularly scheduled board meetings.</w:t>
            </w:r>
          </w:p>
        </w:tc>
        <w:tc>
          <w:tcPr>
            <w:tcW w:w="460" w:type="dxa"/>
            <w:vAlign w:val="bottom"/>
            <w:tcBorders>
              <w:bottom w:val="single" w:sz="8" w:color="AFAFAF"/>
            </w:tcBorders>
          </w:tcPr>
          <w:p>
            <w:pPr>
              <w:spacing w:after="0"/>
              <w:rPr>
                <w:sz w:val="15"/>
                <w:szCs w:val="15"/>
                <w:color w:val="auto"/>
              </w:rPr>
            </w:pPr>
          </w:p>
        </w:tc>
        <w:tc>
          <w:tcPr>
            <w:tcW w:w="700" w:type="dxa"/>
            <w:vAlign w:val="bottom"/>
            <w:tcBorders>
              <w:bottom w:val="single" w:sz="8" w:color="AFAFAF"/>
            </w:tcBorders>
          </w:tcPr>
          <w:p>
            <w:pPr>
              <w:spacing w:after="0"/>
              <w:rPr>
                <w:sz w:val="15"/>
                <w:szCs w:val="15"/>
                <w:color w:val="auto"/>
              </w:rPr>
            </w:pPr>
          </w:p>
        </w:tc>
        <w:tc>
          <w:tcPr>
            <w:tcW w:w="2780" w:type="dxa"/>
            <w:vAlign w:val="bottom"/>
            <w:tcBorders>
              <w:bottom w:val="single" w:sz="8" w:color="AFAFAF"/>
            </w:tcBorders>
          </w:tcPr>
          <w:p>
            <w:pPr>
              <w:spacing w:after="0"/>
              <w:rPr>
                <w:sz w:val="15"/>
                <w:szCs w:val="15"/>
                <w:color w:val="auto"/>
              </w:rPr>
            </w:pPr>
          </w:p>
        </w:tc>
        <w:tc>
          <w:tcPr>
            <w:tcW w:w="940" w:type="dxa"/>
            <w:vAlign w:val="bottom"/>
            <w:tcBorders>
              <w:bottom w:val="single" w:sz="8" w:color="AFAFAF"/>
            </w:tcBorders>
          </w:tcPr>
          <w:p>
            <w:pPr>
              <w:spacing w:after="0"/>
              <w:rPr>
                <w:sz w:val="15"/>
                <w:szCs w:val="15"/>
                <w:color w:val="auto"/>
              </w:rPr>
            </w:pPr>
          </w:p>
        </w:tc>
        <w:tc>
          <w:tcPr>
            <w:tcW w:w="920" w:type="dxa"/>
            <w:vAlign w:val="bottom"/>
            <w:tcBorders>
              <w:bottom w:val="single" w:sz="8" w:color="AFAFAF"/>
            </w:tcBorders>
          </w:tcPr>
          <w:p>
            <w:pPr>
              <w:spacing w:after="0"/>
              <w:rPr>
                <w:sz w:val="15"/>
                <w:szCs w:val="15"/>
                <w:color w:val="auto"/>
              </w:rPr>
            </w:pPr>
          </w:p>
        </w:tc>
        <w:tc>
          <w:tcPr>
            <w:tcW w:w="660" w:type="dxa"/>
            <w:vAlign w:val="bottom"/>
            <w:tcBorders>
              <w:bottom w:val="single" w:sz="8" w:color="AFAFAF"/>
              <w:right w:val="single" w:sz="8" w:color="AFAFAF"/>
            </w:tcBorders>
          </w:tcPr>
          <w:p>
            <w:pPr>
              <w:spacing w:after="0"/>
              <w:rPr>
                <w:sz w:val="15"/>
                <w:szCs w:val="15"/>
                <w:color w:val="auto"/>
              </w:rPr>
            </w:pPr>
          </w:p>
        </w:tc>
        <w:tc>
          <w:tcPr>
            <w:tcW w:w="1620" w:type="dxa"/>
            <w:vAlign w:val="bottom"/>
            <w:tcBorders>
              <w:bottom w:val="single" w:sz="8" w:color="AFAFA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5</w:t>
      </w:r>
    </w:p>
    <w:p>
      <w:pPr>
        <w:sectPr>
          <w:pgSz w:w="11900" w:h="16838" w:orient="portrait"/>
          <w:cols w:equalWidth="0" w:num="1">
            <w:col w:w="11080"/>
          </w:cols>
          <w:pgMar w:left="320" w:top="454"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6768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6768465"/>
                    </a:xfrm>
                    <a:prstGeom prst="rect">
                      <a:avLst/>
                    </a:prstGeom>
                    <a:noFill/>
                  </pic:spPr>
                </pic:pic>
              </a:graphicData>
            </a:graphic>
          </wp:anchor>
        </w:drawing>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40" w:type="dxa"/>
            <w:vAlign w:val="bottom"/>
            <w:tcBorders>
              <w:right w:val="single" w:sz="8" w:color="262626"/>
            </w:tcBorders>
          </w:tcPr>
          <w:p>
            <w:pPr>
              <w:spacing w:after="0"/>
              <w:rPr>
                <w:sz w:val="15"/>
                <w:szCs w:val="15"/>
                <w:color w:val="auto"/>
              </w:rPr>
            </w:pPr>
          </w:p>
        </w:tc>
        <w:tc>
          <w:tcPr>
            <w:tcW w:w="9540" w:type="dxa"/>
            <w:vAlign w:val="bottom"/>
            <w:tcBorders>
              <w:right w:val="single" w:sz="8" w:color="262626"/>
            </w:tcBorders>
            <w:shd w:val="clear" w:color="auto" w:fill="262626"/>
          </w:tcPr>
          <w:p>
            <w:pPr>
              <w:spacing w:after="0"/>
              <w:rPr>
                <w:sz w:val="20"/>
                <w:szCs w:val="20"/>
                <w:color w:val="auto"/>
              </w:rPr>
            </w:pPr>
            <w:r>
              <w:rPr>
                <w:rFonts w:ascii="Arial" w:cs="Arial" w:eastAsia="Arial" w:hAnsi="Arial"/>
                <w:sz w:val="14"/>
                <w:szCs w:val="14"/>
                <w:b w:val="1"/>
                <w:bCs w:val="1"/>
                <w:color w:val="FFFFFF"/>
              </w:rPr>
              <w:t>Item of Business</w:t>
            </w:r>
          </w:p>
        </w:tc>
        <w:tc>
          <w:tcPr>
            <w:tcW w:w="1340" w:type="dxa"/>
            <w:vAlign w:val="bottom"/>
            <w:shd w:val="clear" w:color="auto" w:fill="262626"/>
          </w:tcPr>
          <w:p>
            <w:pPr>
              <w:ind w:left="20"/>
              <w:spacing w:after="0"/>
              <w:rPr>
                <w:sz w:val="20"/>
                <w:szCs w:val="20"/>
                <w:color w:val="auto"/>
              </w:rPr>
            </w:pPr>
            <w:r>
              <w:rPr>
                <w:rFonts w:ascii="Arial" w:cs="Arial" w:eastAsia="Arial" w:hAnsi="Arial"/>
                <w:sz w:val="14"/>
                <w:szCs w:val="14"/>
                <w:b w:val="1"/>
                <w:bCs w:val="1"/>
                <w:color w:val="FFFFFF"/>
              </w:rPr>
              <w:t>Board Vote</w:t>
            </w:r>
          </w:p>
        </w:tc>
      </w:tr>
      <w:tr>
        <w:trPr>
          <w:trHeight w:val="210"/>
        </w:trPr>
        <w:tc>
          <w:tcPr>
            <w:tcW w:w="40" w:type="dxa"/>
            <w:vAlign w:val="bottom"/>
            <w:tcBorders>
              <w:right w:val="single" w:sz="8" w:color="262626"/>
            </w:tcBorders>
          </w:tcPr>
          <w:p>
            <w:pPr>
              <w:spacing w:after="0"/>
              <w:rPr>
                <w:sz w:val="18"/>
                <w:szCs w:val="18"/>
                <w:color w:val="auto"/>
              </w:rPr>
            </w:pPr>
          </w:p>
        </w:tc>
        <w:tc>
          <w:tcPr>
            <w:tcW w:w="9540" w:type="dxa"/>
            <w:vAlign w:val="bottom"/>
            <w:tcBorders>
              <w:right w:val="single" w:sz="8" w:color="262626"/>
            </w:tcBorders>
            <w:shd w:val="clear" w:color="auto" w:fill="262626"/>
          </w:tcPr>
          <w:p>
            <w:pPr>
              <w:spacing w:after="0"/>
              <w:rPr>
                <w:sz w:val="18"/>
                <w:szCs w:val="18"/>
                <w:color w:val="auto"/>
              </w:rPr>
            </w:pPr>
          </w:p>
        </w:tc>
        <w:tc>
          <w:tcPr>
            <w:tcW w:w="1340" w:type="dxa"/>
            <w:vAlign w:val="bottom"/>
            <w:shd w:val="clear" w:color="auto" w:fill="262626"/>
          </w:tcPr>
          <w:p>
            <w:pPr>
              <w:ind w:left="20"/>
              <w:spacing w:after="0"/>
              <w:rPr>
                <w:sz w:val="20"/>
                <w:szCs w:val="20"/>
                <w:color w:val="auto"/>
              </w:rPr>
            </w:pPr>
            <w:r>
              <w:rPr>
                <w:rFonts w:ascii="Arial" w:cs="Arial" w:eastAsia="Arial" w:hAnsi="Arial"/>
                <w:sz w:val="14"/>
                <w:szCs w:val="14"/>
                <w:b w:val="1"/>
                <w:bCs w:val="1"/>
                <w:color w:val="FFFFFF"/>
              </w:rPr>
              <w:t>Recommendation</w:t>
            </w:r>
          </w:p>
        </w:tc>
      </w:tr>
      <w:tr>
        <w:trPr>
          <w:trHeight w:val="238"/>
        </w:trPr>
        <w:tc>
          <w:tcPr>
            <w:tcW w:w="9580" w:type="dxa"/>
            <w:vAlign w:val="bottom"/>
            <w:gridSpan w:val="2"/>
          </w:tcPr>
          <w:p>
            <w:pPr>
              <w:spacing w:after="0"/>
              <w:rPr>
                <w:sz w:val="20"/>
                <w:szCs w:val="20"/>
                <w:color w:val="auto"/>
              </w:rPr>
            </w:pPr>
            <w:r>
              <w:rPr>
                <w:rFonts w:ascii="Arial" w:cs="Arial" w:eastAsia="Arial" w:hAnsi="Arial"/>
                <w:sz w:val="14"/>
                <w:szCs w:val="14"/>
                <w:b w:val="1"/>
                <w:bCs w:val="1"/>
                <w:color w:val="auto"/>
              </w:rPr>
              <w:t>3. Appointment of PricewaterhouseCoopers LLP as Auditor (page 51 of the circular)</w:t>
            </w:r>
          </w:p>
        </w:tc>
        <w:tc>
          <w:tcPr>
            <w:tcW w:w="1340" w:type="dxa"/>
            <w:vAlign w:val="bottom"/>
          </w:tcPr>
          <w:p>
            <w:pPr>
              <w:ind w:left="8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FOR</w:t>
            </w:r>
          </w:p>
        </w:tc>
      </w:tr>
      <w:tr>
        <w:trPr>
          <w:trHeight w:val="207"/>
        </w:trPr>
        <w:tc>
          <w:tcPr>
            <w:tcW w:w="9580" w:type="dxa"/>
            <w:vAlign w:val="bottom"/>
            <w:gridSpan w:val="2"/>
          </w:tcPr>
          <w:p>
            <w:pPr>
              <w:spacing w:after="0"/>
              <w:rPr>
                <w:sz w:val="20"/>
                <w:szCs w:val="20"/>
                <w:color w:val="auto"/>
              </w:rPr>
            </w:pPr>
            <w:r>
              <w:rPr>
                <w:rFonts w:ascii="Arial" w:cs="Arial" w:eastAsia="Arial" w:hAnsi="Arial"/>
                <w:sz w:val="14"/>
                <w:szCs w:val="14"/>
                <w:color w:val="auto"/>
              </w:rPr>
              <w:t>We are proposing to re-appoint PricewaterhouseCoopers LLP as our independent auditor for another year until the 2025 annual meeting of</w:t>
            </w:r>
          </w:p>
        </w:tc>
        <w:tc>
          <w:tcPr>
            <w:tcW w:w="1340" w:type="dxa"/>
            <w:vAlign w:val="bottom"/>
          </w:tcPr>
          <w:p>
            <w:pPr>
              <w:spacing w:after="0"/>
              <w:rPr>
                <w:sz w:val="18"/>
                <w:szCs w:val="18"/>
                <w:color w:val="auto"/>
              </w:rPr>
            </w:pPr>
          </w:p>
        </w:tc>
      </w:tr>
      <w:tr>
        <w:trPr>
          <w:trHeight w:val="189"/>
        </w:trPr>
        <w:tc>
          <w:tcPr>
            <w:tcW w:w="9580" w:type="dxa"/>
            <w:vAlign w:val="bottom"/>
            <w:gridSpan w:val="2"/>
          </w:tcPr>
          <w:p>
            <w:pPr>
              <w:spacing w:after="0"/>
              <w:rPr>
                <w:sz w:val="20"/>
                <w:szCs w:val="20"/>
                <w:color w:val="auto"/>
              </w:rPr>
            </w:pPr>
            <w:r>
              <w:rPr>
                <w:rFonts w:ascii="Arial" w:cs="Arial" w:eastAsia="Arial" w:hAnsi="Arial"/>
                <w:sz w:val="14"/>
                <w:szCs w:val="14"/>
                <w:color w:val="auto"/>
              </w:rPr>
              <w:t>shareholders. Our Audit Committee is directly responsible for overseeing the independent auditor during the year.</w:t>
            </w:r>
          </w:p>
        </w:tc>
        <w:tc>
          <w:tcPr>
            <w:tcW w:w="1340" w:type="dxa"/>
            <w:vAlign w:val="bottom"/>
          </w:tcPr>
          <w:p>
            <w:pPr>
              <w:spacing w:after="0"/>
              <w:rPr>
                <w:sz w:val="16"/>
                <w:szCs w:val="16"/>
                <w:color w:val="auto"/>
              </w:rPr>
            </w:pPr>
          </w:p>
        </w:tc>
      </w:tr>
      <w:tr>
        <w:trPr>
          <w:trHeight w:val="61"/>
        </w:trPr>
        <w:tc>
          <w:tcPr>
            <w:tcW w:w="9580" w:type="dxa"/>
            <w:vAlign w:val="bottom"/>
            <w:tcBorders>
              <w:bottom w:val="single" w:sz="8" w:color="AFAFAF"/>
            </w:tcBorders>
            <w:gridSpan w:val="2"/>
          </w:tcPr>
          <w:p>
            <w:pPr>
              <w:spacing w:after="0"/>
              <w:rPr>
                <w:sz w:val="5"/>
                <w:szCs w:val="5"/>
                <w:color w:val="auto"/>
              </w:rPr>
            </w:pPr>
          </w:p>
        </w:tc>
        <w:tc>
          <w:tcPr>
            <w:tcW w:w="1340" w:type="dxa"/>
            <w:vAlign w:val="bottom"/>
            <w:tcBorders>
              <w:bottom w:val="single" w:sz="8" w:color="AFAFAF"/>
            </w:tcBorders>
          </w:tcPr>
          <w:p>
            <w:pPr>
              <w:spacing w:after="0"/>
              <w:rPr>
                <w:sz w:val="5"/>
                <w:szCs w:val="5"/>
                <w:color w:val="auto"/>
              </w:rPr>
            </w:pPr>
          </w:p>
        </w:tc>
      </w:tr>
      <w:tr>
        <w:trPr>
          <w:trHeight w:val="232"/>
        </w:trPr>
        <w:tc>
          <w:tcPr>
            <w:tcW w:w="9580" w:type="dxa"/>
            <w:vAlign w:val="bottom"/>
            <w:gridSpan w:val="2"/>
          </w:tcPr>
          <w:p>
            <w:pPr>
              <w:spacing w:after="0"/>
              <w:rPr>
                <w:sz w:val="20"/>
                <w:szCs w:val="20"/>
                <w:color w:val="auto"/>
              </w:rPr>
            </w:pPr>
            <w:r>
              <w:rPr>
                <w:rFonts w:ascii="Arial" w:cs="Arial" w:eastAsia="Arial" w:hAnsi="Arial"/>
                <w:sz w:val="14"/>
                <w:szCs w:val="14"/>
                <w:b w:val="1"/>
                <w:bCs w:val="1"/>
                <w:color w:val="auto"/>
              </w:rPr>
              <w:t>4. Advisory resolution on executive compensation (page 58 of the circular)</w:t>
            </w:r>
          </w:p>
        </w:tc>
        <w:tc>
          <w:tcPr>
            <w:tcW w:w="1340" w:type="dxa"/>
            <w:vAlign w:val="bottom"/>
          </w:tcPr>
          <w:p>
            <w:pPr>
              <w:ind w:left="8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FOR</w:t>
            </w:r>
          </w:p>
        </w:tc>
      </w:tr>
      <w:tr>
        <w:trPr>
          <w:trHeight w:val="194"/>
        </w:trPr>
        <w:tc>
          <w:tcPr>
            <w:tcW w:w="9580" w:type="dxa"/>
            <w:vAlign w:val="bottom"/>
            <w:gridSpan w:val="2"/>
          </w:tcPr>
          <w:p>
            <w:pPr>
              <w:spacing w:after="0"/>
              <w:rPr>
                <w:sz w:val="20"/>
                <w:szCs w:val="20"/>
                <w:color w:val="auto"/>
              </w:rPr>
            </w:pPr>
            <w:r>
              <w:rPr>
                <w:rFonts w:ascii="Arial" w:cs="Arial" w:eastAsia="Arial" w:hAnsi="Arial"/>
                <w:sz w:val="14"/>
                <w:szCs w:val="14"/>
                <w:color w:val="auto"/>
              </w:rPr>
              <w:t>We will have a non-binding advisory resolution on executive compensation, which is sometimes called “say on pay”. This will provide you with an</w:t>
            </w:r>
          </w:p>
        </w:tc>
        <w:tc>
          <w:tcPr>
            <w:tcW w:w="1340" w:type="dxa"/>
            <w:vAlign w:val="bottom"/>
          </w:tcPr>
          <w:p>
            <w:pPr>
              <w:spacing w:after="0"/>
              <w:rPr>
                <w:sz w:val="16"/>
                <w:szCs w:val="16"/>
                <w:color w:val="auto"/>
              </w:rPr>
            </w:pPr>
          </w:p>
        </w:tc>
      </w:tr>
      <w:tr>
        <w:trPr>
          <w:trHeight w:val="183"/>
        </w:trPr>
        <w:tc>
          <w:tcPr>
            <w:tcW w:w="9580" w:type="dxa"/>
            <w:vAlign w:val="bottom"/>
            <w:gridSpan w:val="2"/>
          </w:tcPr>
          <w:p>
            <w:pPr>
              <w:spacing w:after="0"/>
              <w:rPr>
                <w:sz w:val="20"/>
                <w:szCs w:val="20"/>
                <w:color w:val="auto"/>
              </w:rPr>
            </w:pPr>
            <w:r>
              <w:rPr>
                <w:rFonts w:ascii="Arial" w:cs="Arial" w:eastAsia="Arial" w:hAnsi="Arial"/>
                <w:sz w:val="14"/>
                <w:szCs w:val="14"/>
                <w:color w:val="auto"/>
              </w:rPr>
              <w:t>opportunity to provide a view on our company’s approach to executive compensation, as described in this circular.</w:t>
            </w:r>
          </w:p>
        </w:tc>
        <w:tc>
          <w:tcPr>
            <w:tcW w:w="1340" w:type="dxa"/>
            <w:vAlign w:val="bottom"/>
          </w:tcPr>
          <w:p>
            <w:pPr>
              <w:spacing w:after="0"/>
              <w:rPr>
                <w:sz w:val="15"/>
                <w:szCs w:val="15"/>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9540" w:type="dxa"/>
            <w:vAlign w:val="bottom"/>
            <w:tcBorders>
              <w:top w:val="single" w:sz="8" w:color="auto"/>
              <w:right w:val="single" w:sz="8" w:color="auto"/>
            </w:tcBorders>
            <w:shd w:val="clear" w:color="auto" w:fill="F4E3E0"/>
          </w:tcPr>
          <w:p>
            <w:pPr>
              <w:ind w:left="260"/>
              <w:spacing w:after="0" w:line="14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 for performance</w:t>
            </w:r>
            <w:r>
              <w:rPr>
                <w:rFonts w:ascii="Arial" w:cs="Arial" w:eastAsia="Arial" w:hAnsi="Arial"/>
                <w:sz w:val="14"/>
                <w:szCs w:val="14"/>
                <w:color w:val="auto"/>
              </w:rPr>
              <w:t>” is the foundation of our compensation philosophy for our named executive officers. Their compensation is primarily</w:t>
            </w:r>
          </w:p>
        </w:tc>
        <w:tc>
          <w:tcPr>
            <w:tcW w:w="1340" w:type="dxa"/>
            <w:vAlign w:val="bottom"/>
          </w:tcPr>
          <w:p>
            <w:pPr>
              <w:spacing w:after="0"/>
              <w:rPr>
                <w:sz w:val="12"/>
                <w:szCs w:val="12"/>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9540" w:type="dxa"/>
            <w:vAlign w:val="bottom"/>
            <w:tcBorders>
              <w:right w:val="single" w:sz="8" w:color="auto"/>
            </w:tcBorders>
            <w:shd w:val="clear" w:color="auto" w:fill="F4E3E0"/>
          </w:tcPr>
          <w:p>
            <w:pPr>
              <w:ind w:left="260"/>
              <w:spacing w:after="0"/>
              <w:rPr>
                <w:sz w:val="20"/>
                <w:szCs w:val="20"/>
                <w:color w:val="auto"/>
              </w:rPr>
            </w:pPr>
            <w:r>
              <w:rPr>
                <w:rFonts w:ascii="Arial" w:cs="Arial" w:eastAsia="Arial" w:hAnsi="Arial"/>
                <w:sz w:val="14"/>
                <w:szCs w:val="14"/>
                <w:color w:val="auto"/>
              </w:rPr>
              <w:t>variable and performance-based, utilizing multiple and complementary financial measures that are aligned with our strategy to drive shareholder</w:t>
            </w:r>
          </w:p>
        </w:tc>
        <w:tc>
          <w:tcPr>
            <w:tcW w:w="1340" w:type="dxa"/>
            <w:vAlign w:val="bottom"/>
          </w:tcPr>
          <w:p>
            <w:pPr>
              <w:spacing w:after="0"/>
              <w:rPr>
                <w:sz w:val="13"/>
                <w:szCs w:val="13"/>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9540" w:type="dxa"/>
            <w:vAlign w:val="bottom"/>
            <w:tcBorders>
              <w:bottom w:val="single" w:sz="8" w:color="auto"/>
              <w:right w:val="single" w:sz="8" w:color="auto"/>
            </w:tcBorders>
            <w:shd w:val="clear" w:color="auto" w:fill="F4E3E0"/>
          </w:tcPr>
          <w:p>
            <w:pPr>
              <w:ind w:left="260"/>
              <w:spacing w:after="0"/>
              <w:rPr>
                <w:sz w:val="20"/>
                <w:szCs w:val="20"/>
                <w:color w:val="auto"/>
              </w:rPr>
            </w:pPr>
            <w:r>
              <w:rPr>
                <w:rFonts w:ascii="Arial" w:cs="Arial" w:eastAsia="Arial" w:hAnsi="Arial"/>
                <w:sz w:val="14"/>
                <w:szCs w:val="14"/>
                <w:color w:val="auto"/>
              </w:rPr>
              <w:t>value.</w:t>
            </w:r>
          </w:p>
        </w:tc>
        <w:tc>
          <w:tcPr>
            <w:tcW w:w="1340" w:type="dxa"/>
            <w:vAlign w:val="bottom"/>
          </w:tcPr>
          <w:p>
            <w:pPr>
              <w:spacing w:after="0"/>
              <w:rPr>
                <w:sz w:val="14"/>
                <w:szCs w:val="14"/>
                <w:color w:val="auto"/>
              </w:rPr>
            </w:pPr>
          </w:p>
        </w:tc>
      </w:tr>
      <w:tr>
        <w:trPr>
          <w:trHeight w:val="145"/>
        </w:trPr>
        <w:tc>
          <w:tcPr>
            <w:tcW w:w="40" w:type="dxa"/>
            <w:vAlign w:val="bottom"/>
          </w:tcPr>
          <w:p>
            <w:pPr>
              <w:spacing w:after="0"/>
              <w:rPr>
                <w:sz w:val="12"/>
                <w:szCs w:val="12"/>
                <w:color w:val="auto"/>
              </w:rPr>
            </w:pPr>
          </w:p>
        </w:tc>
        <w:tc>
          <w:tcPr>
            <w:tcW w:w="9540" w:type="dxa"/>
            <w:vAlign w:val="bottom"/>
          </w:tcPr>
          <w:p>
            <w:pPr>
              <w:spacing w:after="0" w:line="145" w:lineRule="exact"/>
              <w:rPr>
                <w:sz w:val="20"/>
                <w:szCs w:val="20"/>
                <w:color w:val="auto"/>
              </w:rPr>
            </w:pPr>
            <w:r>
              <w:rPr>
                <w:rFonts w:ascii="Arial" w:cs="Arial" w:eastAsia="Arial" w:hAnsi="Arial"/>
                <w:sz w:val="14"/>
                <w:szCs w:val="14"/>
                <w:color w:val="auto"/>
              </w:rPr>
              <w:t>Consistent with our long-standing core business and governance principles, “</w:t>
            </w:r>
            <w:r>
              <w:rPr>
                <w:rFonts w:ascii="Arial" w:cs="Arial" w:eastAsia="Arial" w:hAnsi="Arial"/>
                <w:sz w:val="14"/>
                <w:szCs w:val="14"/>
                <w:b w:val="1"/>
                <w:bCs w:val="1"/>
                <w:color w:val="auto"/>
              </w:rPr>
              <w:t>pay for performance</w:t>
            </w:r>
            <w:r>
              <w:rPr>
                <w:rFonts w:ascii="Arial" w:cs="Arial" w:eastAsia="Arial" w:hAnsi="Arial"/>
                <w:sz w:val="14"/>
                <w:szCs w:val="14"/>
                <w:color w:val="auto"/>
              </w:rPr>
              <w:t>” continued to be a key part of our compensation</w:t>
            </w:r>
          </w:p>
        </w:tc>
        <w:tc>
          <w:tcPr>
            <w:tcW w:w="1340" w:type="dxa"/>
            <w:vAlign w:val="bottom"/>
          </w:tcPr>
          <w:p>
            <w:pPr>
              <w:spacing w:after="0"/>
              <w:rPr>
                <w:sz w:val="12"/>
                <w:szCs w:val="12"/>
                <w:color w:val="auto"/>
              </w:rPr>
            </w:pPr>
          </w:p>
        </w:tc>
      </w:tr>
      <w:tr>
        <w:trPr>
          <w:trHeight w:val="189"/>
        </w:trPr>
        <w:tc>
          <w:tcPr>
            <w:tcW w:w="9580" w:type="dxa"/>
            <w:vAlign w:val="bottom"/>
            <w:gridSpan w:val="2"/>
          </w:tcPr>
          <w:p>
            <w:pPr>
              <w:spacing w:after="0"/>
              <w:rPr>
                <w:sz w:val="20"/>
                <w:szCs w:val="20"/>
                <w:color w:val="auto"/>
              </w:rPr>
            </w:pPr>
            <w:r>
              <w:rPr>
                <w:rFonts w:ascii="Arial" w:cs="Arial" w:eastAsia="Arial" w:hAnsi="Arial"/>
                <w:sz w:val="14"/>
                <w:szCs w:val="14"/>
                <w:color w:val="auto"/>
              </w:rPr>
              <w:t>philosophy for our named executive officers in 2023.</w:t>
            </w:r>
          </w:p>
        </w:tc>
        <w:tc>
          <w:tcPr>
            <w:tcW w:w="1340" w:type="dxa"/>
            <w:vAlign w:val="bottom"/>
          </w:tcPr>
          <w:p>
            <w:pPr>
              <w:spacing w:after="0"/>
              <w:rPr>
                <w:sz w:val="16"/>
                <w:szCs w:val="16"/>
                <w:color w:val="auto"/>
              </w:rPr>
            </w:pPr>
          </w:p>
        </w:tc>
      </w:tr>
    </w:tbl>
    <w:p>
      <w:pPr>
        <w:spacing w:after="0" w:line="61"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w:t>
      </w:r>
      <w:r>
        <w:rPr>
          <w:rFonts w:ascii="Arial" w:cs="Arial" w:eastAsia="Arial" w:hAnsi="Arial"/>
          <w:sz w:val="14"/>
          <w:szCs w:val="14"/>
          <w:b w:val="1"/>
          <w:bCs w:val="1"/>
          <w:color w:val="54F400"/>
        </w:rPr>
        <w:t>2023 compensation decisions were aligned with our strategic objectives</w:t>
      </w:r>
      <w:r>
        <w:rPr>
          <w:rFonts w:ascii="Arial" w:cs="Arial" w:eastAsia="Arial" w:hAnsi="Arial"/>
          <w:sz w:val="14"/>
          <w:szCs w:val="14"/>
          <w:color w:val="auto"/>
        </w:rPr>
        <w:t xml:space="preserve"> – During 2023, the HR Committee actively engaged in reviewing and</w:t>
      </w:r>
    </w:p>
    <w:p>
      <w:pPr>
        <w:spacing w:after="0" w:line="58" w:lineRule="exact"/>
        <w:rPr>
          <w:sz w:val="20"/>
          <w:szCs w:val="20"/>
          <w:color w:val="auto"/>
        </w:rPr>
      </w:pPr>
    </w:p>
    <w:p>
      <w:pPr>
        <w:ind w:left="160" w:right="1480"/>
        <w:spacing w:after="0" w:line="249" w:lineRule="auto"/>
        <w:rPr>
          <w:sz w:val="20"/>
          <w:szCs w:val="20"/>
          <w:color w:val="auto"/>
        </w:rPr>
      </w:pPr>
      <w:r>
        <w:rPr>
          <w:rFonts w:ascii="Arial" w:cs="Arial" w:eastAsia="Arial" w:hAnsi="Arial"/>
          <w:sz w:val="14"/>
          <w:szCs w:val="14"/>
          <w:color w:val="auto"/>
        </w:rPr>
        <w:t>discussing the design and approach to our compensation, talent and culture. Our 2023 compensation program focused the organization on strong performance and organic growth, and it enabled Thomson Reuters to attract, engage and retain the talent needed to execute our short-term and long-term strategy. We believe that our 2023 compensation program appropriately balanced risk and reward.</w:t>
      </w:r>
    </w:p>
    <w:p>
      <w:pPr>
        <w:spacing w:after="0" w:line="87" w:lineRule="exact"/>
        <w:rPr>
          <w:sz w:val="20"/>
          <w:szCs w:val="20"/>
          <w:color w:val="auto"/>
        </w:rPr>
      </w:pPr>
    </w:p>
    <w:p>
      <w:pPr>
        <w:ind w:left="160" w:right="1400"/>
        <w:spacing w:after="0" w:line="260" w:lineRule="auto"/>
        <w:rPr>
          <w:sz w:val="20"/>
          <w:szCs w:val="20"/>
          <w:color w:val="auto"/>
        </w:rPr>
      </w:pPr>
      <w:r>
        <w:rPr>
          <w:rFonts w:ascii="Arial" w:cs="Arial" w:eastAsia="Arial" w:hAnsi="Arial"/>
          <w:sz w:val="14"/>
          <w:szCs w:val="14"/>
          <w:color w:val="auto"/>
        </w:rPr>
        <w:t>In 2023, a significant portion of executive pay was at risk and linked to both operational performance and stock price. Our incentive plan goals reflected our published business outlook, operating plan and long-term strategy. Annual incentive awards focused on growth objectives for the year. The table below reflects summary 2023 compensation information for our named executive officers:</w:t>
      </w:r>
    </w:p>
    <w:p>
      <w:pPr>
        <w:spacing w:after="0" w:line="9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80" w:type="dxa"/>
            <w:vAlign w:val="bottom"/>
            <w:shd w:val="clear" w:color="auto" w:fill="262626"/>
          </w:tcPr>
          <w:p>
            <w:pPr>
              <w:spacing w:after="0"/>
              <w:rPr>
                <w:sz w:val="14"/>
                <w:szCs w:val="14"/>
                <w:color w:val="auto"/>
              </w:rPr>
            </w:pPr>
          </w:p>
        </w:tc>
        <w:tc>
          <w:tcPr>
            <w:tcW w:w="2220" w:type="dxa"/>
            <w:vAlign w:val="bottom"/>
            <w:shd w:val="clear" w:color="auto" w:fill="262626"/>
          </w:tcPr>
          <w:p>
            <w:pPr>
              <w:spacing w:after="0"/>
              <w:rPr>
                <w:sz w:val="14"/>
                <w:szCs w:val="14"/>
                <w:color w:val="auto"/>
              </w:rPr>
            </w:pPr>
          </w:p>
        </w:tc>
        <w:tc>
          <w:tcPr>
            <w:tcW w:w="1380" w:type="dxa"/>
            <w:vAlign w:val="bottom"/>
            <w:shd w:val="clear" w:color="auto" w:fill="262626"/>
          </w:tcPr>
          <w:p>
            <w:pPr>
              <w:jc w:val="center"/>
              <w:ind w:left="69"/>
              <w:spacing w:after="0"/>
              <w:rPr>
                <w:sz w:val="20"/>
                <w:szCs w:val="20"/>
                <w:color w:val="auto"/>
              </w:rPr>
            </w:pPr>
            <w:r>
              <w:rPr>
                <w:rFonts w:ascii="Arial" w:cs="Arial" w:eastAsia="Arial" w:hAnsi="Arial"/>
                <w:sz w:val="14"/>
                <w:szCs w:val="14"/>
                <w:b w:val="1"/>
                <w:bCs w:val="1"/>
                <w:color w:val="FFFFFF"/>
              </w:rPr>
              <w:t>Target annual</w:t>
            </w:r>
          </w:p>
        </w:tc>
        <w:tc>
          <w:tcPr>
            <w:tcW w:w="148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Long-term incentive</w:t>
            </w:r>
          </w:p>
        </w:tc>
        <w:tc>
          <w:tcPr>
            <w:tcW w:w="800" w:type="dxa"/>
            <w:vAlign w:val="bottom"/>
            <w:shd w:val="clear" w:color="auto" w:fill="262626"/>
          </w:tcPr>
          <w:p>
            <w:pPr>
              <w:spacing w:after="0"/>
              <w:rPr>
                <w:sz w:val="14"/>
                <w:szCs w:val="14"/>
                <w:color w:val="auto"/>
              </w:rPr>
            </w:pPr>
          </w:p>
        </w:tc>
      </w:tr>
      <w:tr>
        <w:trPr>
          <w:trHeight w:val="160"/>
        </w:trPr>
        <w:tc>
          <w:tcPr>
            <w:tcW w:w="3680" w:type="dxa"/>
            <w:vAlign w:val="bottom"/>
            <w:shd w:val="clear" w:color="auto" w:fill="262626"/>
          </w:tcPr>
          <w:p>
            <w:pPr>
              <w:spacing w:after="0"/>
              <w:rPr>
                <w:sz w:val="13"/>
                <w:szCs w:val="13"/>
                <w:color w:val="auto"/>
              </w:rPr>
            </w:pPr>
          </w:p>
        </w:tc>
        <w:tc>
          <w:tcPr>
            <w:tcW w:w="2220" w:type="dxa"/>
            <w:vAlign w:val="bottom"/>
            <w:shd w:val="clear" w:color="auto" w:fill="262626"/>
          </w:tcPr>
          <w:p>
            <w:pPr>
              <w:spacing w:after="0"/>
              <w:rPr>
                <w:sz w:val="13"/>
                <w:szCs w:val="13"/>
                <w:color w:val="auto"/>
              </w:rPr>
            </w:pPr>
          </w:p>
        </w:tc>
        <w:tc>
          <w:tcPr>
            <w:tcW w:w="1380" w:type="dxa"/>
            <w:vAlign w:val="bottom"/>
            <w:shd w:val="clear" w:color="auto" w:fill="262626"/>
          </w:tcPr>
          <w:p>
            <w:pPr>
              <w:jc w:val="center"/>
              <w:ind w:left="69"/>
              <w:spacing w:after="0"/>
              <w:rPr>
                <w:sz w:val="20"/>
                <w:szCs w:val="20"/>
                <w:color w:val="auto"/>
              </w:rPr>
            </w:pPr>
            <w:r>
              <w:rPr>
                <w:rFonts w:ascii="Arial" w:cs="Arial" w:eastAsia="Arial" w:hAnsi="Arial"/>
                <w:sz w:val="14"/>
                <w:szCs w:val="14"/>
                <w:b w:val="1"/>
                <w:bCs w:val="1"/>
                <w:color w:val="FFFFFF"/>
              </w:rPr>
              <w:t>incentive award</w:t>
            </w:r>
          </w:p>
        </w:tc>
        <w:tc>
          <w:tcPr>
            <w:tcW w:w="148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award (equity-</w:t>
            </w:r>
          </w:p>
        </w:tc>
        <w:tc>
          <w:tcPr>
            <w:tcW w:w="800" w:type="dxa"/>
            <w:vAlign w:val="bottom"/>
            <w:shd w:val="clear" w:color="auto" w:fill="262626"/>
          </w:tcPr>
          <w:p>
            <w:pPr>
              <w:spacing w:after="0"/>
              <w:rPr>
                <w:sz w:val="13"/>
                <w:szCs w:val="13"/>
                <w:color w:val="auto"/>
              </w:rPr>
            </w:pPr>
          </w:p>
        </w:tc>
      </w:tr>
      <w:tr>
        <w:trPr>
          <w:trHeight w:val="160"/>
        </w:trPr>
        <w:tc>
          <w:tcPr>
            <w:tcW w:w="3680" w:type="dxa"/>
            <w:vAlign w:val="bottom"/>
            <w:shd w:val="clear" w:color="auto" w:fill="262626"/>
          </w:tcPr>
          <w:p>
            <w:pPr>
              <w:spacing w:after="0"/>
              <w:rPr>
                <w:sz w:val="13"/>
                <w:szCs w:val="13"/>
                <w:color w:val="auto"/>
              </w:rPr>
            </w:pPr>
          </w:p>
        </w:tc>
        <w:tc>
          <w:tcPr>
            <w:tcW w:w="2220" w:type="dxa"/>
            <w:vAlign w:val="bottom"/>
            <w:shd w:val="clear" w:color="auto" w:fill="262626"/>
          </w:tcPr>
          <w:p>
            <w:pPr>
              <w:spacing w:after="0"/>
              <w:rPr>
                <w:sz w:val="13"/>
                <w:szCs w:val="13"/>
                <w:color w:val="auto"/>
              </w:rPr>
            </w:pPr>
          </w:p>
        </w:tc>
        <w:tc>
          <w:tcPr>
            <w:tcW w:w="1380" w:type="dxa"/>
            <w:vAlign w:val="bottom"/>
            <w:shd w:val="clear" w:color="auto" w:fill="262626"/>
          </w:tcPr>
          <w:p>
            <w:pPr>
              <w:jc w:val="center"/>
              <w:ind w:left="89"/>
              <w:spacing w:after="0"/>
              <w:rPr>
                <w:sz w:val="20"/>
                <w:szCs w:val="20"/>
                <w:color w:val="auto"/>
              </w:rPr>
            </w:pPr>
            <w:r>
              <w:rPr>
                <w:rFonts w:ascii="Arial" w:cs="Arial" w:eastAsia="Arial" w:hAnsi="Arial"/>
                <w:sz w:val="14"/>
                <w:szCs w:val="14"/>
                <w:b w:val="1"/>
                <w:bCs w:val="1"/>
                <w:color w:val="FFFFFF"/>
              </w:rPr>
              <w:t>(cash) –</w:t>
            </w:r>
          </w:p>
        </w:tc>
        <w:tc>
          <w:tcPr>
            <w:tcW w:w="148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based)</w:t>
            </w:r>
          </w:p>
        </w:tc>
        <w:tc>
          <w:tcPr>
            <w:tcW w:w="800" w:type="dxa"/>
            <w:vAlign w:val="bottom"/>
            <w:shd w:val="clear" w:color="auto" w:fill="262626"/>
          </w:tcPr>
          <w:p>
            <w:pPr>
              <w:spacing w:after="0"/>
              <w:rPr>
                <w:sz w:val="13"/>
                <w:szCs w:val="13"/>
                <w:color w:val="auto"/>
              </w:rPr>
            </w:pPr>
          </w:p>
        </w:tc>
      </w:tr>
      <w:tr>
        <w:trPr>
          <w:trHeight w:val="160"/>
        </w:trPr>
        <w:tc>
          <w:tcPr>
            <w:tcW w:w="3680" w:type="dxa"/>
            <w:vAlign w:val="bottom"/>
            <w:shd w:val="clear" w:color="auto" w:fill="262626"/>
          </w:tcPr>
          <w:p>
            <w:pPr>
              <w:spacing w:after="0"/>
              <w:rPr>
                <w:sz w:val="13"/>
                <w:szCs w:val="13"/>
                <w:color w:val="auto"/>
              </w:rPr>
            </w:pPr>
          </w:p>
        </w:tc>
        <w:tc>
          <w:tcPr>
            <w:tcW w:w="2220" w:type="dxa"/>
            <w:vAlign w:val="bottom"/>
            <w:shd w:val="clear" w:color="auto" w:fill="262626"/>
          </w:tcPr>
          <w:p>
            <w:pPr>
              <w:spacing w:after="0"/>
              <w:rPr>
                <w:sz w:val="13"/>
                <w:szCs w:val="13"/>
                <w:color w:val="auto"/>
              </w:rPr>
            </w:pPr>
          </w:p>
        </w:tc>
        <w:tc>
          <w:tcPr>
            <w:tcW w:w="1380" w:type="dxa"/>
            <w:vAlign w:val="bottom"/>
            <w:shd w:val="clear" w:color="auto" w:fill="262626"/>
          </w:tcPr>
          <w:p>
            <w:pPr>
              <w:jc w:val="center"/>
              <w:ind w:left="69"/>
              <w:spacing w:after="0"/>
              <w:rPr>
                <w:sz w:val="20"/>
                <w:szCs w:val="20"/>
                <w:color w:val="auto"/>
              </w:rPr>
            </w:pPr>
            <w:r>
              <w:rPr>
                <w:rFonts w:ascii="Arial" w:cs="Arial" w:eastAsia="Arial" w:hAnsi="Arial"/>
                <w:sz w:val="14"/>
                <w:szCs w:val="14"/>
                <w:b w:val="1"/>
                <w:bCs w:val="1"/>
                <w:color w:val="FFFFFF"/>
              </w:rPr>
              <w:t>percentage</w:t>
            </w:r>
          </w:p>
        </w:tc>
        <w:tc>
          <w:tcPr>
            <w:tcW w:w="148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 percentage</w:t>
            </w:r>
          </w:p>
        </w:tc>
        <w:tc>
          <w:tcPr>
            <w:tcW w:w="80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“At risk”</w:t>
            </w:r>
          </w:p>
        </w:tc>
      </w:tr>
      <w:tr>
        <w:trPr>
          <w:trHeight w:val="209"/>
        </w:trPr>
        <w:tc>
          <w:tcPr>
            <w:tcW w:w="3680" w:type="dxa"/>
            <w:vAlign w:val="bottom"/>
            <w:tcBorders>
              <w:bottom w:val="single" w:sz="8" w:color="B94831"/>
            </w:tcBorders>
            <w:shd w:val="clear" w:color="auto" w:fill="262626"/>
          </w:tcPr>
          <w:p>
            <w:pPr>
              <w:spacing w:after="0"/>
              <w:rPr>
                <w:sz w:val="20"/>
                <w:szCs w:val="20"/>
                <w:color w:val="auto"/>
              </w:rPr>
            </w:pPr>
            <w:r>
              <w:rPr>
                <w:rFonts w:ascii="Arial" w:cs="Arial" w:eastAsia="Arial" w:hAnsi="Arial"/>
                <w:sz w:val="14"/>
                <w:szCs w:val="14"/>
                <w:b w:val="1"/>
                <w:bCs w:val="1"/>
                <w:color w:val="FFFFFF"/>
              </w:rPr>
              <w:t>Named executive officer</w:t>
            </w:r>
          </w:p>
        </w:tc>
        <w:tc>
          <w:tcPr>
            <w:tcW w:w="2220" w:type="dxa"/>
            <w:vAlign w:val="bottom"/>
            <w:tcBorders>
              <w:bottom w:val="single" w:sz="8" w:color="B94831"/>
            </w:tcBorders>
            <w:shd w:val="clear" w:color="auto" w:fill="262626"/>
          </w:tcPr>
          <w:p>
            <w:pPr>
              <w:jc w:val="center"/>
              <w:ind w:left="709"/>
              <w:spacing w:after="0"/>
              <w:rPr>
                <w:sz w:val="20"/>
                <w:szCs w:val="20"/>
                <w:color w:val="auto"/>
              </w:rPr>
            </w:pPr>
            <w:r>
              <w:rPr>
                <w:rFonts w:ascii="Arial" w:cs="Arial" w:eastAsia="Arial" w:hAnsi="Arial"/>
                <w:sz w:val="14"/>
                <w:szCs w:val="14"/>
                <w:b w:val="1"/>
                <w:bCs w:val="1"/>
                <w:color w:val="FFFFFF"/>
              </w:rPr>
              <w:t>Base salary</w:t>
            </w:r>
          </w:p>
        </w:tc>
        <w:tc>
          <w:tcPr>
            <w:tcW w:w="1380" w:type="dxa"/>
            <w:vAlign w:val="bottom"/>
            <w:tcBorders>
              <w:bottom w:val="single" w:sz="8" w:color="B94831"/>
            </w:tcBorders>
            <w:shd w:val="clear" w:color="auto" w:fill="262626"/>
          </w:tcPr>
          <w:p>
            <w:pPr>
              <w:jc w:val="center"/>
              <w:ind w:left="69"/>
              <w:spacing w:after="0"/>
              <w:rPr>
                <w:sz w:val="20"/>
                <w:szCs w:val="20"/>
                <w:color w:val="auto"/>
              </w:rPr>
            </w:pPr>
            <w:r>
              <w:rPr>
                <w:rFonts w:ascii="Arial" w:cs="Arial" w:eastAsia="Arial" w:hAnsi="Arial"/>
                <w:sz w:val="14"/>
                <w:szCs w:val="14"/>
                <w:b w:val="1"/>
                <w:bCs w:val="1"/>
                <w:color w:val="FFFFFF"/>
              </w:rPr>
              <w:t>of base salary</w:t>
            </w:r>
          </w:p>
        </w:tc>
        <w:tc>
          <w:tcPr>
            <w:tcW w:w="1480" w:type="dxa"/>
            <w:vAlign w:val="bottom"/>
            <w:tcBorders>
              <w:bottom w:val="single" w:sz="8" w:color="B94831"/>
            </w:tcBorders>
            <w:shd w:val="clear" w:color="auto" w:fill="262626"/>
          </w:tcPr>
          <w:p>
            <w:pPr>
              <w:jc w:val="center"/>
              <w:spacing w:after="0"/>
              <w:rPr>
                <w:sz w:val="20"/>
                <w:szCs w:val="20"/>
                <w:color w:val="auto"/>
              </w:rPr>
            </w:pPr>
            <w:r>
              <w:rPr>
                <w:rFonts w:ascii="Arial" w:cs="Arial" w:eastAsia="Arial" w:hAnsi="Arial"/>
                <w:sz w:val="14"/>
                <w:szCs w:val="14"/>
                <w:b w:val="1"/>
                <w:bCs w:val="1"/>
                <w:color w:val="FFFFFF"/>
              </w:rPr>
              <w:t>of base salary</w:t>
            </w:r>
          </w:p>
        </w:tc>
        <w:tc>
          <w:tcPr>
            <w:tcW w:w="800" w:type="dxa"/>
            <w:vAlign w:val="bottom"/>
            <w:tcBorders>
              <w:bottom w:val="single" w:sz="8" w:color="B94831"/>
            </w:tcBorders>
            <w:shd w:val="clear" w:color="auto" w:fill="262626"/>
          </w:tcPr>
          <w:p>
            <w:pPr>
              <w:jc w:val="center"/>
              <w:spacing w:after="0"/>
              <w:rPr>
                <w:sz w:val="20"/>
                <w:szCs w:val="20"/>
                <w:color w:val="auto"/>
              </w:rPr>
            </w:pPr>
            <w:r>
              <w:rPr>
                <w:rFonts w:ascii="Arial" w:cs="Arial" w:eastAsia="Arial" w:hAnsi="Arial"/>
                <w:sz w:val="14"/>
                <w:szCs w:val="14"/>
                <w:b w:val="1"/>
                <w:bCs w:val="1"/>
                <w:color w:val="FFFFFF"/>
              </w:rPr>
              <w:t>percentage</w:t>
            </w:r>
          </w:p>
        </w:tc>
      </w:tr>
      <w:tr>
        <w:trPr>
          <w:trHeight w:val="185"/>
        </w:trPr>
        <w:tc>
          <w:tcPr>
            <w:tcW w:w="3680" w:type="dxa"/>
            <w:vAlign w:val="bottom"/>
          </w:tcPr>
          <w:p>
            <w:pPr>
              <w:ind w:left="100"/>
              <w:spacing w:after="0"/>
              <w:rPr>
                <w:sz w:val="20"/>
                <w:szCs w:val="20"/>
                <w:color w:val="auto"/>
              </w:rPr>
            </w:pPr>
            <w:r>
              <w:rPr>
                <w:rFonts w:ascii="Arial" w:cs="Arial" w:eastAsia="Arial" w:hAnsi="Arial"/>
                <w:sz w:val="14"/>
                <w:szCs w:val="14"/>
                <w:b w:val="1"/>
                <w:bCs w:val="1"/>
                <w:color w:val="auto"/>
              </w:rPr>
              <w:t>Steve Hasker</w:t>
            </w:r>
          </w:p>
        </w:tc>
        <w:tc>
          <w:tcPr>
            <w:tcW w:w="2220" w:type="dxa"/>
            <w:vAlign w:val="bottom"/>
          </w:tcPr>
          <w:p>
            <w:pPr>
              <w:jc w:val="center"/>
              <w:ind w:left="729"/>
              <w:spacing w:after="0"/>
              <w:rPr>
                <w:sz w:val="20"/>
                <w:szCs w:val="20"/>
                <w:color w:val="auto"/>
              </w:rPr>
            </w:pPr>
            <w:r>
              <w:rPr>
                <w:rFonts w:ascii="Arial" w:cs="Arial" w:eastAsia="Arial" w:hAnsi="Arial"/>
                <w:sz w:val="14"/>
                <w:szCs w:val="14"/>
                <w:color w:val="auto"/>
              </w:rPr>
              <w:t>C$1,495,000</w:t>
            </w:r>
          </w:p>
        </w:tc>
        <w:tc>
          <w:tcPr>
            <w:tcW w:w="1380" w:type="dxa"/>
            <w:vAlign w:val="bottom"/>
          </w:tcPr>
          <w:p>
            <w:pPr>
              <w:jc w:val="center"/>
              <w:ind w:left="69"/>
              <w:spacing w:after="0"/>
              <w:rPr>
                <w:sz w:val="20"/>
                <w:szCs w:val="20"/>
                <w:color w:val="auto"/>
              </w:rPr>
            </w:pPr>
            <w:r>
              <w:rPr>
                <w:rFonts w:ascii="Arial" w:cs="Arial" w:eastAsia="Arial" w:hAnsi="Arial"/>
                <w:sz w:val="14"/>
                <w:szCs w:val="14"/>
                <w:color w:val="auto"/>
              </w:rPr>
              <w:t>200%</w:t>
            </w:r>
          </w:p>
        </w:tc>
        <w:tc>
          <w:tcPr>
            <w:tcW w:w="1480" w:type="dxa"/>
            <w:vAlign w:val="bottom"/>
          </w:tcPr>
          <w:p>
            <w:pPr>
              <w:jc w:val="center"/>
              <w:spacing w:after="0"/>
              <w:rPr>
                <w:sz w:val="20"/>
                <w:szCs w:val="20"/>
                <w:color w:val="auto"/>
              </w:rPr>
            </w:pPr>
            <w:r>
              <w:rPr>
                <w:rFonts w:ascii="Arial" w:cs="Arial" w:eastAsia="Arial" w:hAnsi="Arial"/>
                <w:sz w:val="14"/>
                <w:szCs w:val="14"/>
                <w:color w:val="auto"/>
              </w:rPr>
              <w:t>600%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89%</w:t>
            </w:r>
          </w:p>
        </w:tc>
      </w:tr>
      <w:tr>
        <w:trPr>
          <w:trHeight w:val="189"/>
        </w:trPr>
        <w:tc>
          <w:tcPr>
            <w:tcW w:w="3680" w:type="dxa"/>
            <w:vAlign w:val="bottom"/>
          </w:tcPr>
          <w:p>
            <w:pPr>
              <w:ind w:left="100"/>
              <w:spacing w:after="0"/>
              <w:rPr>
                <w:sz w:val="20"/>
                <w:szCs w:val="20"/>
                <w:color w:val="auto"/>
              </w:rPr>
            </w:pPr>
            <w:r>
              <w:rPr>
                <w:rFonts w:ascii="Arial" w:cs="Arial" w:eastAsia="Arial" w:hAnsi="Arial"/>
                <w:sz w:val="14"/>
                <w:szCs w:val="14"/>
                <w:color w:val="auto"/>
              </w:rPr>
              <w:t>President and Chief Executive Officer</w:t>
            </w:r>
          </w:p>
        </w:tc>
        <w:tc>
          <w:tcPr>
            <w:tcW w:w="2220" w:type="dxa"/>
            <w:vAlign w:val="bottom"/>
          </w:tcPr>
          <w:p>
            <w:pPr>
              <w:jc w:val="center"/>
              <w:ind w:left="709"/>
              <w:spacing w:after="0"/>
              <w:rPr>
                <w:sz w:val="20"/>
                <w:szCs w:val="20"/>
                <w:color w:val="auto"/>
              </w:rPr>
            </w:pPr>
            <w:r>
              <w:rPr>
                <w:rFonts w:ascii="Arial" w:cs="Arial" w:eastAsia="Arial" w:hAnsi="Arial"/>
                <w:sz w:val="14"/>
                <w:szCs w:val="14"/>
                <w:color w:val="auto"/>
              </w:rPr>
              <w:t>(US$1,109,576)</w:t>
            </w: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680" w:type="dxa"/>
            <w:vAlign w:val="bottom"/>
          </w:tcPr>
          <w:p>
            <w:pPr>
              <w:ind w:left="100"/>
              <w:spacing w:after="0"/>
              <w:rPr>
                <w:sz w:val="20"/>
                <w:szCs w:val="20"/>
                <w:color w:val="auto"/>
              </w:rPr>
            </w:pPr>
            <w:r>
              <w:rPr>
                <w:rFonts w:ascii="Arial" w:cs="Arial" w:eastAsia="Arial" w:hAnsi="Arial"/>
                <w:sz w:val="14"/>
                <w:szCs w:val="14"/>
                <w:b w:val="1"/>
                <w:bCs w:val="1"/>
                <w:color w:val="auto"/>
              </w:rPr>
              <w:t>Mike Eastwood</w:t>
            </w:r>
          </w:p>
        </w:tc>
        <w:tc>
          <w:tcPr>
            <w:tcW w:w="2220" w:type="dxa"/>
            <w:vAlign w:val="bottom"/>
          </w:tcPr>
          <w:p>
            <w:pPr>
              <w:jc w:val="center"/>
              <w:ind w:left="729"/>
              <w:spacing w:after="0"/>
              <w:rPr>
                <w:sz w:val="20"/>
                <w:szCs w:val="20"/>
                <w:color w:val="auto"/>
              </w:rPr>
            </w:pPr>
            <w:r>
              <w:rPr>
                <w:rFonts w:ascii="Arial" w:cs="Arial" w:eastAsia="Arial" w:hAnsi="Arial"/>
                <w:sz w:val="14"/>
                <w:szCs w:val="14"/>
                <w:color w:val="auto"/>
              </w:rPr>
              <w:t>C$950,000</w:t>
            </w:r>
          </w:p>
        </w:tc>
        <w:tc>
          <w:tcPr>
            <w:tcW w:w="1380" w:type="dxa"/>
            <w:vAlign w:val="bottom"/>
          </w:tcPr>
          <w:p>
            <w:pPr>
              <w:jc w:val="center"/>
              <w:ind w:left="69"/>
              <w:spacing w:after="0"/>
              <w:rPr>
                <w:sz w:val="20"/>
                <w:szCs w:val="20"/>
                <w:color w:val="auto"/>
              </w:rPr>
            </w:pPr>
            <w:r>
              <w:rPr>
                <w:rFonts w:ascii="Arial" w:cs="Arial" w:eastAsia="Arial" w:hAnsi="Arial"/>
                <w:sz w:val="14"/>
                <w:szCs w:val="14"/>
                <w:color w:val="auto"/>
              </w:rPr>
              <w:t>125%</w:t>
            </w:r>
          </w:p>
        </w:tc>
        <w:tc>
          <w:tcPr>
            <w:tcW w:w="1480" w:type="dxa"/>
            <w:vAlign w:val="bottom"/>
          </w:tcPr>
          <w:p>
            <w:pPr>
              <w:jc w:val="center"/>
              <w:spacing w:after="0"/>
              <w:rPr>
                <w:sz w:val="20"/>
                <w:szCs w:val="20"/>
                <w:color w:val="auto"/>
              </w:rPr>
            </w:pPr>
            <w:r>
              <w:rPr>
                <w:rFonts w:ascii="Arial" w:cs="Arial" w:eastAsia="Arial" w:hAnsi="Arial"/>
                <w:sz w:val="14"/>
                <w:szCs w:val="14"/>
                <w:color w:val="auto"/>
              </w:rPr>
              <w:t>250%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79%</w:t>
            </w:r>
          </w:p>
        </w:tc>
      </w:tr>
      <w:tr>
        <w:trPr>
          <w:trHeight w:val="189"/>
        </w:trPr>
        <w:tc>
          <w:tcPr>
            <w:tcW w:w="3680" w:type="dxa"/>
            <w:vAlign w:val="bottom"/>
          </w:tcPr>
          <w:p>
            <w:pPr>
              <w:ind w:left="100"/>
              <w:spacing w:after="0"/>
              <w:rPr>
                <w:sz w:val="20"/>
                <w:szCs w:val="20"/>
                <w:color w:val="auto"/>
              </w:rPr>
            </w:pPr>
            <w:r>
              <w:rPr>
                <w:rFonts w:ascii="Arial" w:cs="Arial" w:eastAsia="Arial" w:hAnsi="Arial"/>
                <w:sz w:val="14"/>
                <w:szCs w:val="14"/>
                <w:color w:val="auto"/>
              </w:rPr>
              <w:t>Chief Financial Officer</w:t>
            </w:r>
          </w:p>
        </w:tc>
        <w:tc>
          <w:tcPr>
            <w:tcW w:w="2220" w:type="dxa"/>
            <w:vAlign w:val="bottom"/>
          </w:tcPr>
          <w:p>
            <w:pPr>
              <w:jc w:val="center"/>
              <w:ind w:left="709"/>
              <w:spacing w:after="0"/>
              <w:rPr>
                <w:sz w:val="20"/>
                <w:szCs w:val="20"/>
                <w:color w:val="auto"/>
              </w:rPr>
            </w:pPr>
            <w:r>
              <w:rPr>
                <w:rFonts w:ascii="Arial" w:cs="Arial" w:eastAsia="Arial" w:hAnsi="Arial"/>
                <w:sz w:val="14"/>
                <w:szCs w:val="14"/>
                <w:color w:val="auto"/>
              </w:rPr>
              <w:t>(US$705,082)</w:t>
            </w: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680" w:type="dxa"/>
            <w:vAlign w:val="bottom"/>
          </w:tcPr>
          <w:p>
            <w:pPr>
              <w:ind w:left="100"/>
              <w:spacing w:after="0"/>
              <w:rPr>
                <w:sz w:val="20"/>
                <w:szCs w:val="20"/>
                <w:color w:val="auto"/>
              </w:rPr>
            </w:pPr>
            <w:r>
              <w:rPr>
                <w:rFonts w:ascii="Arial" w:cs="Arial" w:eastAsia="Arial" w:hAnsi="Arial"/>
                <w:sz w:val="14"/>
                <w:szCs w:val="14"/>
                <w:b w:val="1"/>
                <w:bCs w:val="1"/>
                <w:color w:val="auto"/>
              </w:rPr>
              <w:t>Laura Clayton McDonnell</w:t>
            </w:r>
          </w:p>
        </w:tc>
        <w:tc>
          <w:tcPr>
            <w:tcW w:w="2220" w:type="dxa"/>
            <w:vAlign w:val="bottom"/>
          </w:tcPr>
          <w:p>
            <w:pPr>
              <w:jc w:val="center"/>
              <w:ind w:left="709"/>
              <w:spacing w:after="0"/>
              <w:rPr>
                <w:sz w:val="20"/>
                <w:szCs w:val="20"/>
                <w:color w:val="auto"/>
              </w:rPr>
            </w:pPr>
            <w:r>
              <w:rPr>
                <w:rFonts w:ascii="Arial" w:cs="Arial" w:eastAsia="Arial" w:hAnsi="Arial"/>
                <w:sz w:val="14"/>
                <w:szCs w:val="14"/>
                <w:color w:val="auto"/>
              </w:rPr>
              <w:t>$530,000</w:t>
            </w:r>
          </w:p>
        </w:tc>
        <w:tc>
          <w:tcPr>
            <w:tcW w:w="1380" w:type="dxa"/>
            <w:vAlign w:val="bottom"/>
          </w:tcPr>
          <w:p>
            <w:pPr>
              <w:jc w:val="center"/>
              <w:ind w:left="69"/>
              <w:spacing w:after="0"/>
              <w:rPr>
                <w:sz w:val="20"/>
                <w:szCs w:val="20"/>
                <w:color w:val="auto"/>
              </w:rPr>
            </w:pPr>
            <w:r>
              <w:rPr>
                <w:rFonts w:ascii="Arial" w:cs="Arial" w:eastAsia="Arial" w:hAnsi="Arial"/>
                <w:sz w:val="14"/>
                <w:szCs w:val="14"/>
                <w:color w:val="auto"/>
              </w:rPr>
              <w:t>125%</w:t>
            </w:r>
          </w:p>
        </w:tc>
        <w:tc>
          <w:tcPr>
            <w:tcW w:w="1480" w:type="dxa"/>
            <w:vAlign w:val="bottom"/>
          </w:tcPr>
          <w:p>
            <w:pPr>
              <w:jc w:val="center"/>
              <w:spacing w:after="0"/>
              <w:rPr>
                <w:sz w:val="20"/>
                <w:szCs w:val="20"/>
                <w:color w:val="auto"/>
              </w:rPr>
            </w:pPr>
            <w:r>
              <w:rPr>
                <w:rFonts w:ascii="Arial" w:cs="Arial" w:eastAsia="Arial" w:hAnsi="Arial"/>
                <w:sz w:val="14"/>
                <w:szCs w:val="14"/>
                <w:color w:val="auto"/>
              </w:rPr>
              <w:t>250%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79%</w:t>
            </w:r>
          </w:p>
        </w:tc>
      </w:tr>
      <w:tr>
        <w:trPr>
          <w:trHeight w:val="189"/>
        </w:trPr>
        <w:tc>
          <w:tcPr>
            <w:tcW w:w="3680" w:type="dxa"/>
            <w:vAlign w:val="bottom"/>
          </w:tcPr>
          <w:p>
            <w:pPr>
              <w:ind w:left="100"/>
              <w:spacing w:after="0"/>
              <w:rPr>
                <w:sz w:val="20"/>
                <w:szCs w:val="20"/>
                <w:color w:val="auto"/>
              </w:rPr>
            </w:pPr>
            <w:r>
              <w:rPr>
                <w:rFonts w:ascii="Arial" w:cs="Arial" w:eastAsia="Arial" w:hAnsi="Arial"/>
                <w:sz w:val="14"/>
                <w:szCs w:val="14"/>
                <w:color w:val="auto"/>
              </w:rPr>
              <w:t>President, Corporates</w:t>
            </w:r>
          </w:p>
        </w:tc>
        <w:tc>
          <w:tcPr>
            <w:tcW w:w="2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680" w:type="dxa"/>
            <w:vAlign w:val="bottom"/>
          </w:tcPr>
          <w:p>
            <w:pPr>
              <w:ind w:left="100"/>
              <w:spacing w:after="0"/>
              <w:rPr>
                <w:sz w:val="20"/>
                <w:szCs w:val="20"/>
                <w:color w:val="auto"/>
              </w:rPr>
            </w:pPr>
            <w:r>
              <w:rPr>
                <w:rFonts w:ascii="Arial" w:cs="Arial" w:eastAsia="Arial" w:hAnsi="Arial"/>
                <w:sz w:val="14"/>
                <w:szCs w:val="14"/>
                <w:b w:val="1"/>
                <w:bCs w:val="1"/>
                <w:color w:val="auto"/>
              </w:rPr>
              <w:t>Kirsty Roth</w:t>
            </w:r>
          </w:p>
        </w:tc>
        <w:tc>
          <w:tcPr>
            <w:tcW w:w="2220" w:type="dxa"/>
            <w:vAlign w:val="bottom"/>
          </w:tcPr>
          <w:p>
            <w:pPr>
              <w:jc w:val="center"/>
              <w:ind w:left="709"/>
              <w:spacing w:after="0"/>
              <w:rPr>
                <w:sz w:val="20"/>
                <w:szCs w:val="20"/>
                <w:color w:val="auto"/>
              </w:rPr>
            </w:pPr>
            <w:r>
              <w:rPr>
                <w:rFonts w:ascii="Arial" w:cs="Arial" w:eastAsia="Arial" w:hAnsi="Arial"/>
                <w:sz w:val="14"/>
                <w:szCs w:val="14"/>
                <w:color w:val="auto"/>
              </w:rPr>
              <w:t>CHF685,000</w:t>
            </w:r>
          </w:p>
        </w:tc>
        <w:tc>
          <w:tcPr>
            <w:tcW w:w="1380" w:type="dxa"/>
            <w:vAlign w:val="bottom"/>
          </w:tcPr>
          <w:p>
            <w:pPr>
              <w:jc w:val="center"/>
              <w:ind w:left="69"/>
              <w:spacing w:after="0"/>
              <w:rPr>
                <w:sz w:val="20"/>
                <w:szCs w:val="20"/>
                <w:color w:val="auto"/>
              </w:rPr>
            </w:pPr>
            <w:r>
              <w:rPr>
                <w:rFonts w:ascii="Arial" w:cs="Arial" w:eastAsia="Arial" w:hAnsi="Arial"/>
                <w:sz w:val="14"/>
                <w:szCs w:val="14"/>
                <w:color w:val="auto"/>
              </w:rPr>
              <w:t>125%</w:t>
            </w:r>
          </w:p>
        </w:tc>
        <w:tc>
          <w:tcPr>
            <w:tcW w:w="1480" w:type="dxa"/>
            <w:vAlign w:val="bottom"/>
          </w:tcPr>
          <w:p>
            <w:pPr>
              <w:jc w:val="center"/>
              <w:spacing w:after="0"/>
              <w:rPr>
                <w:sz w:val="20"/>
                <w:szCs w:val="20"/>
                <w:color w:val="auto"/>
              </w:rPr>
            </w:pPr>
            <w:r>
              <w:rPr>
                <w:rFonts w:ascii="Arial" w:cs="Arial" w:eastAsia="Arial" w:hAnsi="Arial"/>
                <w:sz w:val="14"/>
                <w:szCs w:val="14"/>
                <w:color w:val="auto"/>
              </w:rPr>
              <w:t>250%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79%</w:t>
            </w:r>
          </w:p>
        </w:tc>
      </w:tr>
      <w:tr>
        <w:trPr>
          <w:trHeight w:val="189"/>
        </w:trPr>
        <w:tc>
          <w:tcPr>
            <w:tcW w:w="3680" w:type="dxa"/>
            <w:vAlign w:val="bottom"/>
          </w:tcPr>
          <w:p>
            <w:pPr>
              <w:ind w:left="100"/>
              <w:spacing w:after="0"/>
              <w:rPr>
                <w:sz w:val="20"/>
                <w:szCs w:val="20"/>
                <w:color w:val="auto"/>
              </w:rPr>
            </w:pPr>
            <w:r>
              <w:rPr>
                <w:rFonts w:ascii="Arial" w:cs="Arial" w:eastAsia="Arial" w:hAnsi="Arial"/>
                <w:sz w:val="14"/>
                <w:szCs w:val="14"/>
                <w:color w:val="auto"/>
              </w:rPr>
              <w:t>Chief Operations and Technology Officer</w:t>
            </w:r>
          </w:p>
        </w:tc>
        <w:tc>
          <w:tcPr>
            <w:tcW w:w="2220" w:type="dxa"/>
            <w:vAlign w:val="bottom"/>
          </w:tcPr>
          <w:p>
            <w:pPr>
              <w:jc w:val="center"/>
              <w:ind w:left="709"/>
              <w:spacing w:after="0"/>
              <w:rPr>
                <w:sz w:val="20"/>
                <w:szCs w:val="20"/>
                <w:color w:val="auto"/>
              </w:rPr>
            </w:pPr>
            <w:r>
              <w:rPr>
                <w:rFonts w:ascii="Arial" w:cs="Arial" w:eastAsia="Arial" w:hAnsi="Arial"/>
                <w:sz w:val="14"/>
                <w:szCs w:val="14"/>
                <w:color w:val="auto"/>
              </w:rPr>
              <w:t>(US$764,982)</w:t>
            </w: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680" w:type="dxa"/>
            <w:vAlign w:val="bottom"/>
          </w:tcPr>
          <w:p>
            <w:pPr>
              <w:ind w:left="100"/>
              <w:spacing w:after="0"/>
              <w:rPr>
                <w:sz w:val="20"/>
                <w:szCs w:val="20"/>
                <w:color w:val="auto"/>
              </w:rPr>
            </w:pPr>
            <w:r>
              <w:rPr>
                <w:rFonts w:ascii="Arial" w:cs="Arial" w:eastAsia="Arial" w:hAnsi="Arial"/>
                <w:sz w:val="14"/>
                <w:szCs w:val="14"/>
                <w:b w:val="1"/>
                <w:bCs w:val="1"/>
                <w:color w:val="auto"/>
              </w:rPr>
              <w:t>Paul Bascobert</w:t>
            </w:r>
          </w:p>
        </w:tc>
        <w:tc>
          <w:tcPr>
            <w:tcW w:w="2220" w:type="dxa"/>
            <w:vAlign w:val="bottom"/>
          </w:tcPr>
          <w:p>
            <w:pPr>
              <w:jc w:val="center"/>
              <w:ind w:left="709"/>
              <w:spacing w:after="0"/>
              <w:rPr>
                <w:sz w:val="20"/>
                <w:szCs w:val="20"/>
                <w:color w:val="auto"/>
              </w:rPr>
            </w:pPr>
            <w:r>
              <w:rPr>
                <w:rFonts w:ascii="Arial" w:cs="Arial" w:eastAsia="Arial" w:hAnsi="Arial"/>
                <w:sz w:val="14"/>
                <w:szCs w:val="14"/>
                <w:color w:val="auto"/>
              </w:rPr>
              <w:t>$750,000</w:t>
            </w:r>
          </w:p>
        </w:tc>
        <w:tc>
          <w:tcPr>
            <w:tcW w:w="1380" w:type="dxa"/>
            <w:vAlign w:val="bottom"/>
          </w:tcPr>
          <w:p>
            <w:pPr>
              <w:jc w:val="center"/>
              <w:ind w:left="69"/>
              <w:spacing w:after="0"/>
              <w:rPr>
                <w:sz w:val="20"/>
                <w:szCs w:val="20"/>
                <w:color w:val="auto"/>
              </w:rPr>
            </w:pPr>
            <w:r>
              <w:rPr>
                <w:rFonts w:ascii="Arial" w:cs="Arial" w:eastAsia="Arial" w:hAnsi="Arial"/>
                <w:sz w:val="14"/>
                <w:szCs w:val="14"/>
                <w:color w:val="auto"/>
              </w:rPr>
              <w:t>125%</w:t>
            </w:r>
          </w:p>
        </w:tc>
        <w:tc>
          <w:tcPr>
            <w:tcW w:w="1480" w:type="dxa"/>
            <w:vAlign w:val="bottom"/>
          </w:tcPr>
          <w:p>
            <w:pPr>
              <w:jc w:val="center"/>
              <w:spacing w:after="0"/>
              <w:rPr>
                <w:sz w:val="20"/>
                <w:szCs w:val="20"/>
                <w:color w:val="auto"/>
              </w:rPr>
            </w:pPr>
            <w:r>
              <w:rPr>
                <w:rFonts w:ascii="Arial" w:cs="Arial" w:eastAsia="Arial" w:hAnsi="Arial"/>
                <w:sz w:val="14"/>
                <w:szCs w:val="14"/>
                <w:color w:val="auto"/>
              </w:rPr>
              <w:t>200%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76%</w:t>
            </w:r>
          </w:p>
        </w:tc>
      </w:tr>
      <w:tr>
        <w:trPr>
          <w:trHeight w:val="189"/>
        </w:trPr>
        <w:tc>
          <w:tcPr>
            <w:tcW w:w="3680" w:type="dxa"/>
            <w:vAlign w:val="bottom"/>
          </w:tcPr>
          <w:p>
            <w:pPr>
              <w:ind w:left="100"/>
              <w:spacing w:after="0"/>
              <w:rPr>
                <w:sz w:val="20"/>
                <w:szCs w:val="20"/>
                <w:color w:val="auto"/>
              </w:rPr>
            </w:pPr>
            <w:r>
              <w:rPr>
                <w:rFonts w:ascii="Arial" w:cs="Arial" w:eastAsia="Arial" w:hAnsi="Arial"/>
                <w:sz w:val="14"/>
                <w:szCs w:val="14"/>
                <w:color w:val="auto"/>
              </w:rPr>
              <w:t>President, Reuters News</w:t>
            </w:r>
          </w:p>
        </w:tc>
        <w:tc>
          <w:tcPr>
            <w:tcW w:w="2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74" w:lineRule="exact"/>
        <w:rPr>
          <w:sz w:val="20"/>
          <w:szCs w:val="20"/>
          <w:color w:val="auto"/>
        </w:rPr>
      </w:pPr>
    </w:p>
    <w:p>
      <w:pPr>
        <w:ind w:left="160" w:right="1460"/>
        <w:spacing w:after="0" w:line="178"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w:t>
      </w:r>
      <w:r>
        <w:rPr>
          <w:rFonts w:ascii="Arial" w:cs="Arial" w:eastAsia="Arial" w:hAnsi="Arial"/>
          <w:sz w:val="14"/>
          <w:szCs w:val="14"/>
          <w:b w:val="1"/>
          <w:bCs w:val="1"/>
          <w:color w:val="54F400"/>
        </w:rPr>
        <w:t>Our compensation program is strongly aligned with shareholder value</w:t>
      </w:r>
      <w:r>
        <w:rPr>
          <w:rFonts w:ascii="Arial" w:cs="Arial" w:eastAsia="Arial" w:hAnsi="Arial"/>
          <w:sz w:val="14"/>
          <w:szCs w:val="14"/>
          <w:color w:val="auto"/>
        </w:rPr>
        <w:t xml:space="preserve"> – Our executive officer compensation is aligned with total shareholder value and is tied to key financial and strategic drivers of sustained value creation. We also require our executive officers to maintain meaningful levels of share ownership that are multiples of their respective base salaries, creating a strong link to our shareholders and the long-term success of our company.</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198"/>
        </w:trPr>
        <w:tc>
          <w:tcPr>
            <w:tcW w:w="4260" w:type="dxa"/>
            <w:vAlign w:val="bottom"/>
            <w:shd w:val="clear" w:color="auto" w:fill="262626"/>
          </w:tcPr>
          <w:p>
            <w:pPr>
              <w:spacing w:after="0"/>
              <w:rPr>
                <w:sz w:val="17"/>
                <w:szCs w:val="17"/>
                <w:color w:val="auto"/>
              </w:rPr>
            </w:pPr>
          </w:p>
        </w:tc>
        <w:tc>
          <w:tcPr>
            <w:tcW w:w="1740" w:type="dxa"/>
            <w:vAlign w:val="bottom"/>
            <w:shd w:val="clear" w:color="auto" w:fill="262626"/>
          </w:tcPr>
          <w:p>
            <w:pPr>
              <w:jc w:val="center"/>
              <w:ind w:left="29"/>
              <w:spacing w:after="0"/>
              <w:rPr>
                <w:sz w:val="20"/>
                <w:szCs w:val="20"/>
                <w:color w:val="auto"/>
              </w:rPr>
            </w:pPr>
            <w:r>
              <w:rPr>
                <w:rFonts w:ascii="Arial" w:cs="Arial" w:eastAsia="Arial" w:hAnsi="Arial"/>
                <w:sz w:val="14"/>
                <w:szCs w:val="14"/>
                <w:b w:val="1"/>
                <w:bCs w:val="1"/>
                <w:color w:val="FFFFFF"/>
              </w:rPr>
              <w:t>Share Ownership</w:t>
            </w:r>
          </w:p>
        </w:tc>
        <w:tc>
          <w:tcPr>
            <w:tcW w:w="4720" w:type="dxa"/>
            <w:vAlign w:val="bottom"/>
          </w:tcPr>
          <w:p>
            <w:pPr>
              <w:spacing w:after="0"/>
              <w:rPr>
                <w:sz w:val="17"/>
                <w:szCs w:val="17"/>
                <w:color w:val="auto"/>
              </w:rPr>
            </w:pPr>
          </w:p>
        </w:tc>
      </w:tr>
      <w:tr>
        <w:trPr>
          <w:trHeight w:val="160"/>
        </w:trPr>
        <w:tc>
          <w:tcPr>
            <w:tcW w:w="4260" w:type="dxa"/>
            <w:vAlign w:val="bottom"/>
            <w:shd w:val="clear" w:color="auto" w:fill="262626"/>
          </w:tcPr>
          <w:p>
            <w:pPr>
              <w:spacing w:after="0"/>
              <w:rPr>
                <w:sz w:val="13"/>
                <w:szCs w:val="13"/>
                <w:color w:val="auto"/>
              </w:rPr>
            </w:pPr>
          </w:p>
        </w:tc>
        <w:tc>
          <w:tcPr>
            <w:tcW w:w="1740" w:type="dxa"/>
            <w:vAlign w:val="bottom"/>
            <w:shd w:val="clear" w:color="auto" w:fill="262626"/>
          </w:tcPr>
          <w:p>
            <w:pPr>
              <w:jc w:val="center"/>
              <w:ind w:left="29"/>
              <w:spacing w:after="0"/>
              <w:rPr>
                <w:sz w:val="20"/>
                <w:szCs w:val="20"/>
                <w:color w:val="auto"/>
              </w:rPr>
            </w:pPr>
            <w:r>
              <w:rPr>
                <w:rFonts w:ascii="Arial" w:cs="Arial" w:eastAsia="Arial" w:hAnsi="Arial"/>
                <w:sz w:val="14"/>
                <w:szCs w:val="14"/>
                <w:b w:val="1"/>
                <w:bCs w:val="1"/>
                <w:color w:val="FFFFFF"/>
              </w:rPr>
              <w:t>Guideline</w:t>
            </w:r>
          </w:p>
        </w:tc>
        <w:tc>
          <w:tcPr>
            <w:tcW w:w="4720" w:type="dxa"/>
            <w:vAlign w:val="bottom"/>
          </w:tcPr>
          <w:p>
            <w:pPr>
              <w:spacing w:after="0"/>
              <w:rPr>
                <w:sz w:val="13"/>
                <w:szCs w:val="13"/>
                <w:color w:val="auto"/>
              </w:rPr>
            </w:pPr>
          </w:p>
        </w:tc>
      </w:tr>
      <w:tr>
        <w:trPr>
          <w:trHeight w:val="223"/>
        </w:trPr>
        <w:tc>
          <w:tcPr>
            <w:tcW w:w="4260" w:type="dxa"/>
            <w:vAlign w:val="bottom"/>
            <w:shd w:val="clear" w:color="auto" w:fill="262626"/>
          </w:tcPr>
          <w:p>
            <w:pPr>
              <w:spacing w:after="0"/>
              <w:rPr>
                <w:sz w:val="20"/>
                <w:szCs w:val="20"/>
                <w:color w:val="auto"/>
              </w:rPr>
            </w:pPr>
            <w:r>
              <w:rPr>
                <w:rFonts w:ascii="Arial" w:cs="Arial" w:eastAsia="Arial" w:hAnsi="Arial"/>
                <w:sz w:val="14"/>
                <w:szCs w:val="14"/>
                <w:b w:val="1"/>
                <w:bCs w:val="1"/>
                <w:color w:val="FFFFFF"/>
              </w:rPr>
              <w:t>Named executive officer</w:t>
            </w:r>
          </w:p>
        </w:tc>
        <w:tc>
          <w:tcPr>
            <w:tcW w:w="1740" w:type="dxa"/>
            <w:vAlign w:val="bottom"/>
            <w:shd w:val="clear" w:color="auto" w:fill="262626"/>
          </w:tcPr>
          <w:p>
            <w:pPr>
              <w:jc w:val="center"/>
              <w:ind w:left="49"/>
              <w:spacing w:after="0"/>
              <w:rPr>
                <w:sz w:val="20"/>
                <w:szCs w:val="20"/>
                <w:color w:val="auto"/>
              </w:rPr>
            </w:pPr>
            <w:r>
              <w:rPr>
                <w:rFonts w:ascii="Arial" w:cs="Arial" w:eastAsia="Arial" w:hAnsi="Arial"/>
                <w:sz w:val="14"/>
                <w:szCs w:val="14"/>
                <w:b w:val="1"/>
                <w:bCs w:val="1"/>
                <w:color w:val="FFFFFF"/>
              </w:rPr>
              <w:t>(base salary multiple)</w:t>
            </w:r>
          </w:p>
        </w:tc>
        <w:tc>
          <w:tcPr>
            <w:tcW w:w="4720" w:type="dxa"/>
            <w:vAlign w:val="bottom"/>
          </w:tcPr>
          <w:p>
            <w:pPr>
              <w:spacing w:after="0"/>
              <w:rPr>
                <w:sz w:val="19"/>
                <w:szCs w:val="19"/>
                <w:color w:val="auto"/>
              </w:rPr>
            </w:pPr>
          </w:p>
        </w:tc>
      </w:tr>
      <w:tr>
        <w:trPr>
          <w:trHeight w:val="220"/>
        </w:trPr>
        <w:tc>
          <w:tcPr>
            <w:tcW w:w="4260" w:type="dxa"/>
            <w:vAlign w:val="bottom"/>
          </w:tcPr>
          <w:p>
            <w:pPr>
              <w:spacing w:after="0"/>
              <w:rPr>
                <w:sz w:val="20"/>
                <w:szCs w:val="20"/>
                <w:color w:val="auto"/>
              </w:rPr>
            </w:pPr>
            <w:r>
              <w:rPr>
                <w:rFonts w:ascii="Arial" w:cs="Arial" w:eastAsia="Arial" w:hAnsi="Arial"/>
                <w:sz w:val="14"/>
                <w:szCs w:val="14"/>
                <w:color w:val="auto"/>
              </w:rPr>
              <w:t>Steve Hasker</w:t>
            </w:r>
          </w:p>
        </w:tc>
        <w:tc>
          <w:tcPr>
            <w:tcW w:w="6460" w:type="dxa"/>
            <w:vAlign w:val="bottom"/>
            <w:gridSpan w:val="2"/>
          </w:tcPr>
          <w:p>
            <w:pPr>
              <w:jc w:val="center"/>
              <w:ind w:right="4549"/>
              <w:spacing w:after="0"/>
              <w:rPr>
                <w:sz w:val="20"/>
                <w:szCs w:val="20"/>
                <w:color w:val="auto"/>
              </w:rPr>
            </w:pPr>
            <w:r>
              <w:rPr>
                <w:rFonts w:ascii="Arial" w:cs="Arial" w:eastAsia="Arial" w:hAnsi="Arial"/>
                <w:sz w:val="14"/>
                <w:szCs w:val="14"/>
                <w:color w:val="auto"/>
              </w:rPr>
              <w:t>6x</w:t>
            </w:r>
          </w:p>
        </w:tc>
      </w:tr>
      <w:tr>
        <w:trPr>
          <w:trHeight w:val="241"/>
        </w:trPr>
        <w:tc>
          <w:tcPr>
            <w:tcW w:w="4260" w:type="dxa"/>
            <w:vAlign w:val="bottom"/>
          </w:tcPr>
          <w:p>
            <w:pPr>
              <w:spacing w:after="0"/>
              <w:rPr>
                <w:sz w:val="20"/>
                <w:szCs w:val="20"/>
                <w:color w:val="auto"/>
              </w:rPr>
            </w:pPr>
            <w:r>
              <w:rPr>
                <w:rFonts w:ascii="Arial" w:cs="Arial" w:eastAsia="Arial" w:hAnsi="Arial"/>
                <w:sz w:val="14"/>
                <w:szCs w:val="14"/>
                <w:color w:val="auto"/>
              </w:rPr>
              <w:t>Mike Eastwood</w:t>
            </w:r>
          </w:p>
        </w:tc>
        <w:tc>
          <w:tcPr>
            <w:tcW w:w="6460" w:type="dxa"/>
            <w:vAlign w:val="bottom"/>
            <w:gridSpan w:val="2"/>
          </w:tcPr>
          <w:p>
            <w:pPr>
              <w:jc w:val="center"/>
              <w:ind w:right="4549"/>
              <w:spacing w:after="0"/>
              <w:rPr>
                <w:sz w:val="20"/>
                <w:szCs w:val="20"/>
                <w:color w:val="auto"/>
              </w:rPr>
            </w:pPr>
            <w:r>
              <w:rPr>
                <w:rFonts w:ascii="Arial" w:cs="Arial" w:eastAsia="Arial" w:hAnsi="Arial"/>
                <w:sz w:val="14"/>
                <w:szCs w:val="14"/>
                <w:color w:val="auto"/>
              </w:rPr>
              <w:t>4x</w:t>
            </w:r>
          </w:p>
        </w:tc>
      </w:tr>
      <w:tr>
        <w:trPr>
          <w:trHeight w:val="212"/>
        </w:trPr>
        <w:tc>
          <w:tcPr>
            <w:tcW w:w="4260" w:type="dxa"/>
            <w:vAlign w:val="bottom"/>
          </w:tcPr>
          <w:p>
            <w:pPr>
              <w:spacing w:after="0"/>
              <w:rPr>
                <w:sz w:val="20"/>
                <w:szCs w:val="20"/>
                <w:color w:val="auto"/>
              </w:rPr>
            </w:pPr>
            <w:r>
              <w:rPr>
                <w:rFonts w:ascii="Arial" w:cs="Arial" w:eastAsia="Arial" w:hAnsi="Arial"/>
                <w:sz w:val="14"/>
                <w:szCs w:val="14"/>
                <w:color w:val="auto"/>
              </w:rPr>
              <w:t>Kirsty Roth, Paul Bascobert and</w:t>
            </w:r>
          </w:p>
        </w:tc>
        <w:tc>
          <w:tcPr>
            <w:tcW w:w="6460" w:type="dxa"/>
            <w:vAlign w:val="bottom"/>
            <w:gridSpan w:val="2"/>
          </w:tcPr>
          <w:p>
            <w:pPr>
              <w:jc w:val="center"/>
              <w:ind w:right="4549"/>
              <w:spacing w:after="0"/>
              <w:rPr>
                <w:sz w:val="20"/>
                <w:szCs w:val="20"/>
                <w:color w:val="auto"/>
              </w:rPr>
            </w:pPr>
            <w:r>
              <w:rPr>
                <w:rFonts w:ascii="Arial" w:cs="Arial" w:eastAsia="Arial" w:hAnsi="Arial"/>
                <w:sz w:val="14"/>
                <w:szCs w:val="14"/>
                <w:color w:val="auto"/>
              </w:rPr>
              <w:t>3x</w:t>
            </w:r>
          </w:p>
        </w:tc>
      </w:tr>
      <w:tr>
        <w:trPr>
          <w:trHeight w:val="202"/>
        </w:trPr>
        <w:tc>
          <w:tcPr>
            <w:tcW w:w="4260" w:type="dxa"/>
            <w:vAlign w:val="bottom"/>
          </w:tcPr>
          <w:p>
            <w:pPr>
              <w:spacing w:after="0"/>
              <w:rPr>
                <w:sz w:val="20"/>
                <w:szCs w:val="20"/>
                <w:color w:val="auto"/>
              </w:rPr>
            </w:pPr>
            <w:r>
              <w:rPr>
                <w:rFonts w:ascii="Arial" w:cs="Arial" w:eastAsia="Arial" w:hAnsi="Arial"/>
                <w:sz w:val="14"/>
                <w:szCs w:val="14"/>
                <w:color w:val="auto"/>
              </w:rPr>
              <w:t>Laura Clayton McDonnell</w:t>
            </w:r>
          </w:p>
        </w:tc>
        <w:tc>
          <w:tcPr>
            <w:tcW w:w="1740" w:type="dxa"/>
            <w:vAlign w:val="bottom"/>
          </w:tcPr>
          <w:p>
            <w:pPr>
              <w:spacing w:after="0"/>
              <w:rPr>
                <w:sz w:val="17"/>
                <w:szCs w:val="17"/>
                <w:color w:val="auto"/>
              </w:rPr>
            </w:pPr>
          </w:p>
        </w:tc>
        <w:tc>
          <w:tcPr>
            <w:tcW w:w="4720" w:type="dxa"/>
            <w:vAlign w:val="bottom"/>
          </w:tcPr>
          <w:p>
            <w:pPr>
              <w:ind w:left="37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 xml:space="preserve"> </w:t>
            </w:r>
            <w:r>
              <w:rPr>
                <w:rFonts w:ascii="Arial" w:cs="Arial" w:eastAsia="Arial" w:hAnsi="Arial"/>
                <w:sz w:val="14"/>
                <w:szCs w:val="14"/>
                <w:color w:val="auto"/>
              </w:rPr>
              <w:t xml:space="preserve">             </w:t>
            </w:r>
          </w:p>
        </w:tc>
      </w:tr>
    </w:tbl>
    <w:p>
      <w:pPr>
        <w:spacing w:after="0" w:line="114"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w:t>
      </w:r>
      <w:r>
        <w:rPr>
          <w:rFonts w:ascii="Arial" w:cs="Arial" w:eastAsia="Arial" w:hAnsi="Arial"/>
          <w:sz w:val="14"/>
          <w:szCs w:val="14"/>
          <w:b w:val="1"/>
          <w:bCs w:val="1"/>
          <w:color w:val="54F400"/>
        </w:rPr>
        <w:t>We benchmark executive compensation and performance against global peer companies that we compete with for customers and talent</w:t>
      </w:r>
    </w:p>
    <w:p>
      <w:pPr>
        <w:spacing w:after="0" w:line="58" w:lineRule="exact"/>
        <w:rPr>
          <w:sz w:val="20"/>
          <w:szCs w:val="20"/>
          <w:color w:val="auto"/>
        </w:rPr>
      </w:pPr>
    </w:p>
    <w:p>
      <w:pPr>
        <w:ind w:left="160" w:right="1540"/>
        <w:spacing w:after="0" w:line="260" w:lineRule="auto"/>
        <w:rPr>
          <w:sz w:val="20"/>
          <w:szCs w:val="20"/>
          <w:color w:val="auto"/>
        </w:rPr>
      </w:pPr>
      <w:r>
        <w:rPr>
          <w:rFonts w:ascii="Arial" w:cs="Arial" w:eastAsia="Arial" w:hAnsi="Arial"/>
          <w:sz w:val="14"/>
          <w:szCs w:val="14"/>
          <w:color w:val="auto"/>
        </w:rPr>
        <w:t>– The HR Committee uses a global peer group for executive compensation purposes. For compensation benchmarking of executive officers based in Toronto, the HR Committee also uses a separate Canadian peer group as a secondary reference point.</w:t>
      </w:r>
    </w:p>
    <w:p>
      <w:pPr>
        <w:spacing w:after="0" w:line="47"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54F400"/>
        </w:rPr>
        <w:t>Our compensation program is aligned with good governance practices and has received strong shareholder support in recent years</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p>
      <w:pPr>
        <w:spacing w:after="0" w:line="58" w:lineRule="exact"/>
        <w:rPr>
          <w:sz w:val="20"/>
          <w:szCs w:val="20"/>
          <w:color w:val="auto"/>
        </w:rPr>
      </w:pPr>
    </w:p>
    <w:p>
      <w:pPr>
        <w:ind w:left="160" w:right="1420"/>
        <w:spacing w:after="0" w:line="249" w:lineRule="auto"/>
        <w:rPr>
          <w:sz w:val="20"/>
          <w:szCs w:val="20"/>
          <w:color w:val="auto"/>
        </w:rPr>
      </w:pPr>
      <w:r>
        <w:rPr>
          <w:rFonts w:ascii="Arial" w:cs="Arial" w:eastAsia="Arial" w:hAnsi="Arial"/>
          <w:sz w:val="14"/>
          <w:szCs w:val="14"/>
          <w:color w:val="auto"/>
        </w:rPr>
        <w:t xml:space="preserve">Our plans and programs reflect strong governance principles. The HR Committee has an independent advisor (Frederic W. Cook &amp; Co., Inc. or “FW Cook”) for executive compensation matters. We also engage with our shareholders on compensation matters during the year and we provide a “say on pay” resolution each year at our annual meeting of shareholders. </w:t>
      </w:r>
      <w:r>
        <w:rPr>
          <w:rFonts w:ascii="Arial" w:cs="Arial" w:eastAsia="Arial" w:hAnsi="Arial"/>
          <w:sz w:val="14"/>
          <w:szCs w:val="14"/>
          <w:b w:val="1"/>
          <w:bCs w:val="1"/>
          <w:color w:val="auto"/>
        </w:rPr>
        <w:t>Over the last five years, an average of approximately 97% of votes have been</w:t>
      </w:r>
      <w:r>
        <w:rPr>
          <w:rFonts w:ascii="Arial" w:cs="Arial" w:eastAsia="Arial" w:hAnsi="Arial"/>
          <w:sz w:val="14"/>
          <w:szCs w:val="14"/>
          <w:color w:val="auto"/>
        </w:rPr>
        <w:t xml:space="preserve"> </w:t>
      </w:r>
      <w:r>
        <w:rPr>
          <w:rFonts w:ascii="Arial" w:cs="Arial" w:eastAsia="Arial" w:hAnsi="Arial"/>
          <w:sz w:val="14"/>
          <w:szCs w:val="14"/>
          <w:b w:val="1"/>
          <w:bCs w:val="1"/>
          <w:color w:val="auto"/>
        </w:rPr>
        <w:t>cast “for” our “say on pay” advisory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124460</wp:posOffset>
            </wp:positionV>
            <wp:extent cx="692975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3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6335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6335395"/>
                    </a:xfrm>
                    <a:prstGeom prst="rect">
                      <a:avLst/>
                    </a:prstGeom>
                    <a:noFill/>
                  </pic:spPr>
                </pic:pic>
              </a:graphicData>
            </a:graphic>
          </wp:anchor>
        </w:drawing>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9360" w:type="dxa"/>
            <w:vAlign w:val="bottom"/>
            <w:shd w:val="clear" w:color="auto" w:fill="262626"/>
          </w:tcPr>
          <w:p>
            <w:pPr>
              <w:spacing w:after="0"/>
              <w:rPr>
                <w:sz w:val="20"/>
                <w:szCs w:val="20"/>
                <w:color w:val="auto"/>
              </w:rPr>
            </w:pPr>
            <w:r>
              <w:rPr>
                <w:rFonts w:ascii="Arial" w:cs="Arial" w:eastAsia="Arial" w:hAnsi="Arial"/>
                <w:sz w:val="14"/>
                <w:szCs w:val="14"/>
                <w:b w:val="1"/>
                <w:bCs w:val="1"/>
                <w:color w:val="FFFFFF"/>
              </w:rPr>
              <w:t>Item of Business</w:t>
            </w:r>
          </w:p>
        </w:tc>
        <w:tc>
          <w:tcPr>
            <w:tcW w:w="1560" w:type="dxa"/>
            <w:vAlign w:val="bottom"/>
            <w:shd w:val="clear" w:color="auto" w:fill="262626"/>
          </w:tcPr>
          <w:p>
            <w:pPr>
              <w:ind w:left="40"/>
              <w:spacing w:after="0"/>
              <w:rPr>
                <w:sz w:val="20"/>
                <w:szCs w:val="20"/>
                <w:color w:val="auto"/>
              </w:rPr>
            </w:pPr>
            <w:r>
              <w:rPr>
                <w:rFonts w:ascii="Arial" w:cs="Arial" w:eastAsia="Arial" w:hAnsi="Arial"/>
                <w:sz w:val="14"/>
                <w:szCs w:val="14"/>
                <w:b w:val="1"/>
                <w:bCs w:val="1"/>
                <w:color w:val="FFFFFF"/>
              </w:rPr>
              <w:t>Board Vote</w:t>
            </w:r>
          </w:p>
        </w:tc>
      </w:tr>
      <w:tr>
        <w:trPr>
          <w:trHeight w:val="197"/>
        </w:trPr>
        <w:tc>
          <w:tcPr>
            <w:tcW w:w="9360" w:type="dxa"/>
            <w:vAlign w:val="bottom"/>
            <w:shd w:val="clear" w:color="auto" w:fill="262626"/>
          </w:tcPr>
          <w:p>
            <w:pPr>
              <w:spacing w:after="0"/>
              <w:rPr>
                <w:sz w:val="17"/>
                <w:szCs w:val="17"/>
                <w:color w:val="auto"/>
              </w:rPr>
            </w:pPr>
          </w:p>
        </w:tc>
        <w:tc>
          <w:tcPr>
            <w:tcW w:w="1560" w:type="dxa"/>
            <w:vAlign w:val="bottom"/>
            <w:shd w:val="clear" w:color="auto" w:fill="262626"/>
          </w:tcPr>
          <w:p>
            <w:pPr>
              <w:ind w:left="40"/>
              <w:spacing w:after="0"/>
              <w:rPr>
                <w:sz w:val="20"/>
                <w:szCs w:val="20"/>
                <w:color w:val="auto"/>
              </w:rPr>
            </w:pPr>
            <w:r>
              <w:rPr>
                <w:rFonts w:ascii="Arial" w:cs="Arial" w:eastAsia="Arial" w:hAnsi="Arial"/>
                <w:sz w:val="14"/>
                <w:szCs w:val="14"/>
                <w:b w:val="1"/>
                <w:bCs w:val="1"/>
                <w:color w:val="FFFFFF"/>
              </w:rPr>
              <w:t>Recommendation</w:t>
            </w:r>
          </w:p>
        </w:tc>
      </w:tr>
    </w:tbl>
    <w:p>
      <w:pPr>
        <w:spacing w:after="0" w:line="13" w:lineRule="exact"/>
        <w:rPr>
          <w:sz w:val="20"/>
          <w:szCs w:val="20"/>
          <w:color w:val="auto"/>
        </w:rPr>
      </w:pPr>
    </w:p>
    <w:p>
      <w:pPr>
        <w:ind w:left="320"/>
        <w:spacing w:after="0" w:line="161" w:lineRule="exact"/>
        <w:rPr>
          <w:sz w:val="20"/>
          <w:szCs w:val="20"/>
          <w:color w:val="auto"/>
        </w:rPr>
      </w:pPr>
      <w:r>
        <w:rPr>
          <w:rFonts w:ascii="MS PGothic" w:cs="MS PGothic" w:eastAsia="MS PGothic" w:hAnsi="MS PGothic"/>
          <w:sz w:val="14"/>
          <w:szCs w:val="14"/>
          <w:color w:val="auto"/>
          <w:shd w:val="clear" w:color="auto" w:fill="54F400"/>
        </w:rPr>
        <w: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54F400"/>
        </w:rPr>
        <w:t>We do not believe that we have any problematic pay practices and risk is taken into account in our compensation programs</w:t>
      </w:r>
      <w:r>
        <w:rPr>
          <w:rFonts w:ascii="Arial" w:cs="Arial" w:eastAsia="Arial" w:hAnsi="Arial"/>
          <w:sz w:val="14"/>
          <w:szCs w:val="14"/>
          <w:b w:val="1"/>
          <w:bCs w:val="1"/>
          <w:color w:val="auto"/>
        </w:rPr>
        <w:t xml:space="preserve"> – The</w:t>
      </w:r>
    </w:p>
    <w:p>
      <w:pPr>
        <w:spacing w:after="0" w:line="58" w:lineRule="exact"/>
        <w:rPr>
          <w:sz w:val="20"/>
          <w:szCs w:val="20"/>
          <w:color w:val="auto"/>
        </w:rPr>
      </w:pPr>
    </w:p>
    <w:p>
      <w:pPr>
        <w:ind w:left="460" w:right="1600"/>
        <w:spacing w:after="0" w:line="249" w:lineRule="auto"/>
        <w:rPr>
          <w:sz w:val="20"/>
          <w:szCs w:val="20"/>
          <w:color w:val="auto"/>
        </w:rPr>
      </w:pPr>
      <w:r>
        <w:rPr>
          <w:rFonts w:ascii="Arial" w:cs="Arial" w:eastAsia="Arial" w:hAnsi="Arial"/>
          <w:sz w:val="14"/>
          <w:szCs w:val="14"/>
          <w:b w:val="1"/>
          <w:bCs w:val="1"/>
          <w:color w:val="auto"/>
        </w:rPr>
        <w:t>HR Committee’s independent advisor reviews our compensation program to evaluate the degree to which it encourages risk taking in the context of our overall enterprise risk profile as well as recognized market best practices. Based on the independent advisor’s review, the HR Committee has concluded that our programs appear unlikely to create incentives for excessive risk taking and include meaningful safeguards to mitigate compensation program risk.</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What we do</w:t>
      </w:r>
    </w:p>
    <w:p>
      <w:pPr>
        <w:spacing w:after="0" w:line="89" w:lineRule="exact"/>
        <w:rPr>
          <w:sz w:val="20"/>
          <w:szCs w:val="20"/>
          <w:color w:val="auto"/>
        </w:rPr>
      </w:pPr>
    </w:p>
    <w:p>
      <w:pPr>
        <w:ind w:left="600" w:right="164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The HR Committee is comprised of a majority of </w:t>
      </w:r>
      <w:r>
        <w:rPr>
          <w:rFonts w:ascii="Arial" w:cs="Arial" w:eastAsia="Arial" w:hAnsi="Arial"/>
          <w:sz w:val="14"/>
          <w:szCs w:val="14"/>
          <w:b w:val="1"/>
          <w:bCs w:val="1"/>
          <w:color w:val="auto"/>
        </w:rPr>
        <w:t>independent directors</w:t>
      </w:r>
      <w:r>
        <w:rPr>
          <w:rFonts w:ascii="Arial" w:cs="Arial" w:eastAsia="Arial" w:hAnsi="Arial"/>
          <w:sz w:val="14"/>
          <w:szCs w:val="14"/>
          <w:color w:val="auto"/>
        </w:rPr>
        <w:t xml:space="preserve"> and it uses an </w:t>
      </w:r>
      <w:r>
        <w:rPr>
          <w:rFonts w:ascii="Arial" w:cs="Arial" w:eastAsia="Arial" w:hAnsi="Arial"/>
          <w:sz w:val="14"/>
          <w:szCs w:val="14"/>
          <w:b w:val="1"/>
          <w:bCs w:val="1"/>
          <w:color w:val="auto"/>
        </w:rPr>
        <w:t>independent executive compensation consultant</w:t>
      </w:r>
      <w:r>
        <w:rPr>
          <w:rFonts w:ascii="Arial" w:cs="Arial" w:eastAsia="Arial" w:hAnsi="Arial"/>
          <w:sz w:val="14"/>
          <w:szCs w:val="14"/>
          <w:color w:val="auto"/>
        </w:rPr>
        <w:t xml:space="preserve"> to assess our executive compensation programs;</w:t>
      </w:r>
    </w:p>
    <w:p>
      <w:pPr>
        <w:spacing w:after="0" w:line="62" w:lineRule="exact"/>
        <w:rPr>
          <w:sz w:val="20"/>
          <w:szCs w:val="20"/>
          <w:color w:val="auto"/>
        </w:rPr>
      </w:pPr>
    </w:p>
    <w:p>
      <w:pPr>
        <w:ind w:left="600" w:right="222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Most of an executive’s compensation is comprised of </w:t>
      </w:r>
      <w:r>
        <w:rPr>
          <w:rFonts w:ascii="Arial" w:cs="Arial" w:eastAsia="Arial" w:hAnsi="Arial"/>
          <w:sz w:val="14"/>
          <w:szCs w:val="14"/>
          <w:b w:val="1"/>
          <w:bCs w:val="1"/>
          <w:color w:val="auto"/>
        </w:rPr>
        <w:t>longer-term performance opportunities</w:t>
      </w:r>
      <w:r>
        <w:rPr>
          <w:rFonts w:ascii="Arial" w:cs="Arial" w:eastAsia="Arial" w:hAnsi="Arial"/>
          <w:sz w:val="14"/>
          <w:szCs w:val="14"/>
          <w:color w:val="auto"/>
        </w:rPr>
        <w:t xml:space="preserve"> with less emphasis on shorter-term performance opportunities;</w:t>
      </w:r>
    </w:p>
    <w:p>
      <w:pPr>
        <w:spacing w:after="0" w:line="62" w:lineRule="exact"/>
        <w:rPr>
          <w:sz w:val="20"/>
          <w:szCs w:val="20"/>
          <w:color w:val="auto"/>
        </w:rPr>
      </w:pPr>
    </w:p>
    <w:p>
      <w:pPr>
        <w:ind w:left="320"/>
        <w:spacing w:after="0" w:line="161"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The </w:t>
      </w:r>
      <w:r>
        <w:rPr>
          <w:rFonts w:ascii="Arial" w:cs="Arial" w:eastAsia="Arial" w:hAnsi="Arial"/>
          <w:sz w:val="14"/>
          <w:szCs w:val="14"/>
          <w:b w:val="1"/>
          <w:bCs w:val="1"/>
          <w:color w:val="auto"/>
        </w:rPr>
        <w:t>base salary</w:t>
      </w:r>
      <w:r>
        <w:rPr>
          <w:rFonts w:ascii="Arial" w:cs="Arial" w:eastAsia="Arial" w:hAnsi="Arial"/>
          <w:sz w:val="14"/>
          <w:szCs w:val="14"/>
          <w:color w:val="auto"/>
        </w:rPr>
        <w:t xml:space="preserve"> component of each executive’s compensation is </w:t>
      </w:r>
      <w:r>
        <w:rPr>
          <w:rFonts w:ascii="Arial" w:cs="Arial" w:eastAsia="Arial" w:hAnsi="Arial"/>
          <w:sz w:val="14"/>
          <w:szCs w:val="14"/>
          <w:b w:val="1"/>
          <w:bCs w:val="1"/>
          <w:color w:val="auto"/>
        </w:rPr>
        <w:t>fixed</w:t>
      </w:r>
      <w:r>
        <w:rPr>
          <w:rFonts w:ascii="Arial" w:cs="Arial" w:eastAsia="Arial" w:hAnsi="Arial"/>
          <w:sz w:val="14"/>
          <w:szCs w:val="14"/>
          <w:color w:val="auto"/>
        </w:rPr>
        <w:t>;</w:t>
      </w:r>
    </w:p>
    <w:p>
      <w:pPr>
        <w:spacing w:after="0" w:line="133" w:lineRule="exact"/>
        <w:rPr>
          <w:sz w:val="20"/>
          <w:szCs w:val="20"/>
          <w:color w:val="auto"/>
        </w:rPr>
      </w:pPr>
    </w:p>
    <w:p>
      <w:pPr>
        <w:ind w:left="600" w:right="190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Our </w:t>
      </w:r>
      <w:r>
        <w:rPr>
          <w:rFonts w:ascii="Arial" w:cs="Arial" w:eastAsia="Arial" w:hAnsi="Arial"/>
          <w:sz w:val="14"/>
          <w:szCs w:val="14"/>
          <w:b w:val="1"/>
          <w:bCs w:val="1"/>
          <w:color w:val="auto"/>
        </w:rPr>
        <w:t>HR Committee annually reviews and determines award design</w:t>
      </w:r>
      <w:r>
        <w:rPr>
          <w:rFonts w:ascii="Arial" w:cs="Arial" w:eastAsia="Arial" w:hAnsi="Arial"/>
          <w:sz w:val="14"/>
          <w:szCs w:val="14"/>
          <w:color w:val="auto"/>
        </w:rPr>
        <w:t xml:space="preserve"> and there are </w:t>
      </w:r>
      <w:r>
        <w:rPr>
          <w:rFonts w:ascii="Arial" w:cs="Arial" w:eastAsia="Arial" w:hAnsi="Arial"/>
          <w:sz w:val="14"/>
          <w:szCs w:val="14"/>
          <w:b w:val="1"/>
          <w:bCs w:val="1"/>
          <w:color w:val="auto"/>
        </w:rPr>
        <w:t>principles and processes with management</w:t>
      </w:r>
      <w:r>
        <w:rPr>
          <w:rFonts w:ascii="Arial" w:cs="Arial" w:eastAsia="Arial" w:hAnsi="Arial"/>
          <w:sz w:val="14"/>
          <w:szCs w:val="14"/>
          <w:color w:val="auto"/>
        </w:rPr>
        <w:t xml:space="preserve"> for approving design changes and performance goals;</w:t>
      </w:r>
    </w:p>
    <w:p>
      <w:pPr>
        <w:spacing w:after="0" w:line="62" w:lineRule="exact"/>
        <w:rPr>
          <w:sz w:val="20"/>
          <w:szCs w:val="20"/>
          <w:color w:val="auto"/>
        </w:rPr>
      </w:pPr>
    </w:p>
    <w:p>
      <w:pPr>
        <w:ind w:left="600" w:right="2080" w:hanging="284"/>
        <w:spacing w:after="0" w:line="185"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The HR Committee reviews </w:t>
      </w:r>
      <w:r>
        <w:rPr>
          <w:rFonts w:ascii="Arial" w:cs="Arial" w:eastAsia="Arial" w:hAnsi="Arial"/>
          <w:sz w:val="14"/>
          <w:szCs w:val="14"/>
          <w:b w:val="1"/>
          <w:bCs w:val="1"/>
          <w:color w:val="auto"/>
        </w:rPr>
        <w:t>performance criteria</w:t>
      </w:r>
      <w:r>
        <w:rPr>
          <w:rFonts w:ascii="Arial" w:cs="Arial" w:eastAsia="Arial" w:hAnsi="Arial"/>
          <w:sz w:val="14"/>
          <w:szCs w:val="14"/>
          <w:color w:val="auto"/>
        </w:rPr>
        <w:t xml:space="preserve"> for financial metrics used in our incentive awards, including threshold, target and maximum amounts, to ensure that they are challenging, but achievable. Performance criteria are aligned with the company’s strategic objectives;</w:t>
      </w:r>
    </w:p>
    <w:p>
      <w:pPr>
        <w:spacing w:after="0" w:line="62" w:lineRule="exact"/>
        <w:rPr>
          <w:sz w:val="20"/>
          <w:szCs w:val="20"/>
          <w:color w:val="auto"/>
        </w:rPr>
      </w:pPr>
    </w:p>
    <w:p>
      <w:pPr>
        <w:ind w:left="600" w:right="174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Our incentive awards utilize a number of </w:t>
      </w:r>
      <w:r>
        <w:rPr>
          <w:rFonts w:ascii="Arial" w:cs="Arial" w:eastAsia="Arial" w:hAnsi="Arial"/>
          <w:sz w:val="14"/>
          <w:szCs w:val="14"/>
          <w:b w:val="1"/>
          <w:bCs w:val="1"/>
          <w:color w:val="auto"/>
        </w:rPr>
        <w:t>different financial performance measures</w:t>
      </w:r>
      <w:r>
        <w:rPr>
          <w:rFonts w:ascii="Arial" w:cs="Arial" w:eastAsia="Arial" w:hAnsi="Arial"/>
          <w:sz w:val="14"/>
          <w:szCs w:val="14"/>
          <w:color w:val="auto"/>
        </w:rPr>
        <w:t xml:space="preserve"> and do not rely on a single metric. Each metric has a threshold, target and maximum performance target with pre-defined payout amounts;</w:t>
      </w:r>
    </w:p>
    <w:p>
      <w:pPr>
        <w:spacing w:after="0" w:line="62" w:lineRule="exact"/>
        <w:rPr>
          <w:sz w:val="20"/>
          <w:szCs w:val="20"/>
          <w:color w:val="auto"/>
        </w:rPr>
      </w:pPr>
    </w:p>
    <w:p>
      <w:pPr>
        <w:ind w:left="600" w:right="1560" w:hanging="284"/>
        <w:spacing w:after="0" w:line="200"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Our annual incentive awards and performance restricted share units (PRSUs) issued as part of long-term incentive awards have </w:t>
      </w:r>
      <w:r>
        <w:rPr>
          <w:rFonts w:ascii="Arial" w:cs="Arial" w:eastAsia="Arial" w:hAnsi="Arial"/>
          <w:sz w:val="14"/>
          <w:szCs w:val="14"/>
          <w:b w:val="1"/>
          <w:bCs w:val="1"/>
          <w:color w:val="auto"/>
        </w:rPr>
        <w:t>caps for the</w:t>
      </w:r>
      <w:r>
        <w:rPr>
          <w:rFonts w:ascii="Arial" w:cs="Arial" w:eastAsia="Arial" w:hAnsi="Arial"/>
          <w:sz w:val="14"/>
          <w:szCs w:val="14"/>
          <w:color w:val="auto"/>
        </w:rPr>
        <w:t xml:space="preserve"> </w:t>
      </w:r>
      <w:r>
        <w:rPr>
          <w:rFonts w:ascii="Arial" w:cs="Arial" w:eastAsia="Arial" w:hAnsi="Arial"/>
          <w:sz w:val="14"/>
          <w:szCs w:val="14"/>
          <w:b w:val="1"/>
          <w:bCs w:val="1"/>
          <w:color w:val="auto"/>
        </w:rPr>
        <w:t>maximum potential payouts</w:t>
      </w:r>
      <w:r>
        <w:rPr>
          <w:rFonts w:ascii="Arial" w:cs="Arial" w:eastAsia="Arial" w:hAnsi="Arial"/>
          <w:sz w:val="14"/>
          <w:szCs w:val="14"/>
          <w:color w:val="auto"/>
        </w:rPr>
        <w:t>;</w:t>
      </w:r>
    </w:p>
    <w:p>
      <w:pPr>
        <w:spacing w:after="0" w:line="55" w:lineRule="exact"/>
        <w:rPr>
          <w:sz w:val="20"/>
          <w:szCs w:val="20"/>
          <w:color w:val="auto"/>
        </w:rPr>
      </w:pPr>
    </w:p>
    <w:p>
      <w:pPr>
        <w:ind w:left="600" w:right="190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Our </w:t>
      </w:r>
      <w:r>
        <w:rPr>
          <w:rFonts w:ascii="Arial" w:cs="Arial" w:eastAsia="Arial" w:hAnsi="Arial"/>
          <w:sz w:val="14"/>
          <w:szCs w:val="14"/>
          <w:b w:val="1"/>
          <w:bCs w:val="1"/>
          <w:color w:val="auto"/>
        </w:rPr>
        <w:t>HR Committee has authority</w:t>
      </w:r>
      <w:r>
        <w:rPr>
          <w:rFonts w:ascii="Arial" w:cs="Arial" w:eastAsia="Arial" w:hAnsi="Arial"/>
          <w:sz w:val="14"/>
          <w:szCs w:val="14"/>
          <w:color w:val="auto"/>
        </w:rPr>
        <w:t xml:space="preserve"> to make fairness-related and other adjustments to performance award opportunities that it may deem appropriate;</w:t>
      </w:r>
    </w:p>
    <w:p>
      <w:pPr>
        <w:spacing w:after="0" w:line="62" w:lineRule="exact"/>
        <w:rPr>
          <w:sz w:val="20"/>
          <w:szCs w:val="20"/>
          <w:color w:val="auto"/>
        </w:rPr>
      </w:pPr>
    </w:p>
    <w:p>
      <w:pPr>
        <w:ind w:left="600" w:right="160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We have robust </w:t>
      </w:r>
      <w:r>
        <w:rPr>
          <w:rFonts w:ascii="Arial" w:cs="Arial" w:eastAsia="Arial" w:hAnsi="Arial"/>
          <w:sz w:val="14"/>
          <w:szCs w:val="14"/>
          <w:b w:val="1"/>
          <w:bCs w:val="1"/>
          <w:color w:val="auto"/>
        </w:rPr>
        <w:t>share ownership guidelines</w:t>
      </w:r>
      <w:r>
        <w:rPr>
          <w:rFonts w:ascii="Arial" w:cs="Arial" w:eastAsia="Arial" w:hAnsi="Arial"/>
          <w:sz w:val="14"/>
          <w:szCs w:val="14"/>
          <w:color w:val="auto"/>
        </w:rPr>
        <w:t xml:space="preserve"> for our executive officers which further ties their interests to those of our shareholders over the long-term; and</w:t>
      </w:r>
    </w:p>
    <w:p>
      <w:pPr>
        <w:spacing w:after="0" w:line="62" w:lineRule="exact"/>
        <w:rPr>
          <w:sz w:val="20"/>
          <w:szCs w:val="20"/>
          <w:color w:val="auto"/>
        </w:rPr>
      </w:pPr>
    </w:p>
    <w:p>
      <w:pPr>
        <w:ind w:left="600" w:right="2340" w:hanging="284"/>
        <w:spacing w:after="0" w:line="197" w:lineRule="exact"/>
        <w:rPr>
          <w:sz w:val="20"/>
          <w:szCs w:val="20"/>
          <w:color w:val="auto"/>
        </w:rPr>
      </w:pPr>
      <w:r>
        <w:rPr>
          <w:rFonts w:ascii="MS PGothic" w:cs="MS PGothic" w:eastAsia="MS PGothic" w:hAnsi="MS PGothic"/>
          <w:sz w:val="14"/>
          <w:szCs w:val="14"/>
          <w:color w:val="54F400"/>
        </w:rPr>
        <w:t>✓</w:t>
      </w:r>
      <w:r>
        <w:rPr>
          <w:rFonts w:ascii="Arial" w:cs="Arial" w:eastAsia="Arial" w:hAnsi="Arial"/>
          <w:sz w:val="14"/>
          <w:szCs w:val="14"/>
          <w:color w:val="auto"/>
        </w:rPr>
        <w:t xml:space="preserve">   We have two </w:t>
      </w:r>
      <w:r>
        <w:rPr>
          <w:rFonts w:ascii="Arial" w:cs="Arial" w:eastAsia="Arial" w:hAnsi="Arial"/>
          <w:sz w:val="14"/>
          <w:szCs w:val="14"/>
          <w:b w:val="1"/>
          <w:bCs w:val="1"/>
          <w:color w:val="auto"/>
        </w:rPr>
        <w:t>clawback policies</w:t>
      </w:r>
      <w:r>
        <w:rPr>
          <w:rFonts w:ascii="Arial" w:cs="Arial" w:eastAsia="Arial" w:hAnsi="Arial"/>
          <w:sz w:val="14"/>
          <w:szCs w:val="14"/>
          <w:color w:val="auto"/>
        </w:rPr>
        <w:t xml:space="preserve"> which permit us to seek reimbursement from the CEO and all other executives officers in certain circumstances.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What we don’t do</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94831"/>
        </w:rPr>
        <w:t>X</w:t>
      </w:r>
      <w:r>
        <w:rPr>
          <w:rFonts w:ascii="Arial" w:cs="Arial" w:eastAsia="Arial" w:hAnsi="Arial"/>
          <w:sz w:val="14"/>
          <w:szCs w:val="14"/>
          <w:b w:val="1"/>
          <w:bCs w:val="1"/>
          <w:color w:val="000000"/>
        </w:rPr>
        <w:t xml:space="preserve">     Executive officers are prohibited from hedging or pledging company shares;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B94831"/>
        </w:rPr>
        <w:t>X</w:t>
      </w:r>
      <w:r>
        <w:rPr>
          <w:rFonts w:ascii="Arial" w:cs="Arial" w:eastAsia="Arial" w:hAnsi="Arial"/>
          <w:sz w:val="14"/>
          <w:szCs w:val="14"/>
          <w:b w:val="1"/>
          <w:bCs w:val="1"/>
          <w:color w:val="000000"/>
        </w:rPr>
        <w:t xml:space="preserve">     We don’t offer single trigger change of control rights or excise tax gross-up payments;</w:t>
      </w:r>
    </w:p>
    <w:p>
      <w:pPr>
        <w:spacing w:after="0" w:line="120" w:lineRule="exact"/>
        <w:rPr>
          <w:sz w:val="20"/>
          <w:szCs w:val="20"/>
          <w:color w:val="auto"/>
        </w:rPr>
      </w:pPr>
    </w:p>
    <w:p>
      <w:pPr>
        <w:ind w:left="320" w:right="3380"/>
        <w:spacing w:after="0" w:line="418" w:lineRule="auto"/>
        <w:rPr>
          <w:sz w:val="20"/>
          <w:szCs w:val="20"/>
          <w:color w:val="auto"/>
        </w:rPr>
      </w:pPr>
      <w:r>
        <w:rPr>
          <w:rFonts w:ascii="Arial" w:cs="Arial" w:eastAsia="Arial" w:hAnsi="Arial"/>
          <w:sz w:val="14"/>
          <w:szCs w:val="14"/>
          <w:b w:val="1"/>
          <w:bCs w:val="1"/>
          <w:color w:val="B94831"/>
        </w:rPr>
        <w:t>X</w:t>
      </w:r>
      <w:r>
        <w:rPr>
          <w:rFonts w:ascii="Arial" w:cs="Arial" w:eastAsia="Arial" w:hAnsi="Arial"/>
          <w:sz w:val="14"/>
          <w:szCs w:val="14"/>
          <w:b w:val="1"/>
          <w:bCs w:val="1"/>
          <w:color w:val="000000"/>
        </w:rPr>
        <w:t xml:space="preserve">    We don’t guarantee minimum payout levels in our incentive plans or minimum vesting for equity awards;</w:t>
      </w:r>
      <w:r>
        <w:rPr>
          <w:rFonts w:ascii="Arial" w:cs="Arial" w:eastAsia="Arial" w:hAnsi="Arial"/>
          <w:sz w:val="14"/>
          <w:szCs w:val="14"/>
          <w:b w:val="1"/>
          <w:bCs w:val="1"/>
          <w:color w:val="B94831"/>
        </w:rPr>
        <w:t xml:space="preserve"> X</w:t>
      </w:r>
      <w:r>
        <w:rPr>
          <w:rFonts w:ascii="Arial" w:cs="Arial" w:eastAsia="Arial" w:hAnsi="Arial"/>
          <w:sz w:val="14"/>
          <w:szCs w:val="14"/>
          <w:b w:val="1"/>
          <w:bCs w:val="1"/>
          <w:color w:val="000000"/>
        </w:rPr>
        <w:t xml:space="preserve">    We don’t guarantee increases to base salaries or target incentive award opportunities;</w:t>
      </w:r>
    </w:p>
    <w:p>
      <w:pPr>
        <w:spacing w:after="0" w:line="1" w:lineRule="exact"/>
        <w:rPr>
          <w:sz w:val="20"/>
          <w:szCs w:val="20"/>
          <w:color w:val="auto"/>
        </w:rPr>
      </w:pPr>
    </w:p>
    <w:p>
      <w:pPr>
        <w:ind w:left="600" w:right="1740" w:hanging="284"/>
        <w:spacing w:after="0" w:line="289" w:lineRule="auto"/>
        <w:rPr>
          <w:sz w:val="20"/>
          <w:szCs w:val="20"/>
          <w:color w:val="auto"/>
        </w:rPr>
      </w:pPr>
      <w:r>
        <w:rPr>
          <w:rFonts w:ascii="Arial" w:cs="Arial" w:eastAsia="Arial" w:hAnsi="Arial"/>
          <w:sz w:val="14"/>
          <w:szCs w:val="14"/>
          <w:b w:val="1"/>
          <w:bCs w:val="1"/>
          <w:color w:val="B94831"/>
        </w:rPr>
        <w:t>X</w:t>
      </w:r>
      <w:r>
        <w:rPr>
          <w:rFonts w:ascii="Arial" w:cs="Arial" w:eastAsia="Arial" w:hAnsi="Arial"/>
          <w:sz w:val="14"/>
          <w:szCs w:val="14"/>
          <w:b w:val="1"/>
          <w:bCs w:val="1"/>
          <w:color w:val="000000"/>
        </w:rPr>
        <w:t xml:space="preserve">    We don’t reprice stock options, grant reload stock options or “spring load” equity awards to enable recipients to benefit from the</w:t>
      </w:r>
      <w:r>
        <w:rPr>
          <w:rFonts w:ascii="Arial" w:cs="Arial" w:eastAsia="Arial" w:hAnsi="Arial"/>
          <w:sz w:val="14"/>
          <w:szCs w:val="14"/>
          <w:b w:val="1"/>
          <w:bCs w:val="1"/>
          <w:color w:val="B94831"/>
        </w:rPr>
        <w:t xml:space="preserve"> </w:t>
      </w:r>
      <w:r>
        <w:rPr>
          <w:rFonts w:ascii="Arial" w:cs="Arial" w:eastAsia="Arial" w:hAnsi="Arial"/>
          <w:sz w:val="14"/>
          <w:szCs w:val="14"/>
          <w:b w:val="1"/>
          <w:bCs w:val="1"/>
          <w:color w:val="000000"/>
        </w:rPr>
        <w:t>release of confidential information;</w:t>
      </w:r>
    </w:p>
    <w:p>
      <w:pPr>
        <w:spacing w:after="0" w:line="54" w:lineRule="exact"/>
        <w:rPr>
          <w:sz w:val="20"/>
          <w:szCs w:val="20"/>
          <w:color w:val="auto"/>
        </w:rPr>
      </w:pPr>
    </w:p>
    <w:p>
      <w:pPr>
        <w:ind w:left="320" w:right="2320"/>
        <w:spacing w:after="0" w:line="469" w:lineRule="auto"/>
        <w:rPr>
          <w:sz w:val="20"/>
          <w:szCs w:val="20"/>
          <w:color w:val="auto"/>
        </w:rPr>
      </w:pPr>
      <w:r>
        <w:rPr>
          <w:rFonts w:ascii="Arial" w:cs="Arial" w:eastAsia="Arial" w:hAnsi="Arial"/>
          <w:sz w:val="14"/>
          <w:szCs w:val="14"/>
          <w:b w:val="1"/>
          <w:bCs w:val="1"/>
          <w:color w:val="B94831"/>
        </w:rPr>
        <w:t>X</w:t>
      </w:r>
      <w:r>
        <w:rPr>
          <w:rFonts w:ascii="Arial" w:cs="Arial" w:eastAsia="Arial" w:hAnsi="Arial"/>
          <w:sz w:val="14"/>
          <w:szCs w:val="14"/>
          <w:b w:val="1"/>
          <w:bCs w:val="1"/>
          <w:color w:val="000000"/>
        </w:rPr>
        <w:t xml:space="preserve">    We don’t include unvested RSUs or vested/unvested stock options in the calculation of share ownership guidelines; and</w:t>
      </w:r>
      <w:r>
        <w:rPr>
          <w:rFonts w:ascii="Arial" w:cs="Arial" w:eastAsia="Arial" w:hAnsi="Arial"/>
          <w:sz w:val="14"/>
          <w:szCs w:val="14"/>
          <w:b w:val="1"/>
          <w:bCs w:val="1"/>
          <w:color w:val="B94831"/>
        </w:rPr>
        <w:t xml:space="preserve"> X</w:t>
      </w:r>
      <w:r>
        <w:rPr>
          <w:rFonts w:ascii="Arial" w:cs="Arial" w:eastAsia="Arial" w:hAnsi="Arial"/>
          <w:sz w:val="14"/>
          <w:szCs w:val="14"/>
          <w:b w:val="1"/>
          <w:bCs w:val="1"/>
          <w:color w:val="000000"/>
        </w:rPr>
        <w:t xml:space="preserve">    We don’t offer excessive perquisites.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Please see the “Compensation Discussion and Analysis” section of this circular for additional information.</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380" w:type="dxa"/>
            <w:vAlign w:val="bottom"/>
          </w:tcPr>
          <w:p>
            <w:pPr>
              <w:spacing w:after="0"/>
              <w:rPr>
                <w:sz w:val="20"/>
                <w:szCs w:val="20"/>
                <w:color w:val="auto"/>
              </w:rPr>
            </w:pPr>
            <w:r>
              <w:rPr>
                <w:rFonts w:ascii="Arial" w:cs="Arial" w:eastAsia="Arial" w:hAnsi="Arial"/>
                <w:sz w:val="14"/>
                <w:szCs w:val="14"/>
                <w:b w:val="1"/>
                <w:bCs w:val="1"/>
                <w:color w:val="auto"/>
              </w:rPr>
              <w:t>5. Other business</w:t>
            </w:r>
          </w:p>
        </w:tc>
        <w:tc>
          <w:tcPr>
            <w:tcW w:w="4420" w:type="dxa"/>
            <w:vAlign w:val="bottom"/>
          </w:tcPr>
          <w:p>
            <w:pPr>
              <w:ind w:left="4180"/>
              <w:spacing w:after="0"/>
              <w:rPr>
                <w:sz w:val="20"/>
                <w:szCs w:val="20"/>
                <w:color w:val="auto"/>
              </w:rPr>
            </w:pPr>
            <w:r>
              <w:rPr>
                <w:rFonts w:ascii="Arial" w:cs="Arial" w:eastAsia="Arial" w:hAnsi="Arial"/>
                <w:sz w:val="14"/>
                <w:szCs w:val="14"/>
                <w:color w:val="auto"/>
                <w:w w:val="94"/>
              </w:rPr>
              <w:t>N/A</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If any other items of business are properly brought before the meeting (or any adjourned or postponed meeting), shareholders will be asked to vote.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are not aware of any other items of business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692975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7</w:t>
      </w:r>
    </w:p>
    <w:p>
      <w:pPr>
        <w:sectPr>
          <w:pgSz w:w="11900" w:h="16838" w:orient="portrait"/>
          <w:cols w:equalWidth="0" w:num="1">
            <w:col w:w="11080"/>
          </w:cols>
          <w:pgMar w:left="320" w:top="454"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Voting Information and How to Attend</w:t>
      </w: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What is the format of the meeting?</w:t>
      </w:r>
    </w:p>
    <w:p>
      <w:pPr>
        <w:spacing w:after="0" w:line="5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We are holding an in-person meeting at Roy Thomson Hall, 60 Simcoe Street, Toronto, Ontario, Canada. A live audio webcast of the meeting will also be available on our website at www.thomsonreuters.com. A replay of the webcast will be posted on our website after the meeting.</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Who can vote at the meeting?</w:t>
      </w:r>
    </w:p>
    <w:p>
      <w:pPr>
        <w:spacing w:after="0" w:line="5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If you held common shares as of 5:00 p.m. (Eastern Daylight Time) on April 19, 2024 (the record date), then you are entitled to vote at the meeting or any adjourned or postponed meeting. Each share is entitled to one vote. As of April 19, 2024, there were 450,930,135 common shares outstanding.</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also have 6,000,000 Series II preference shares outstanding, but these shares do not have voting rights at the meeting.</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How many votes are required for approval?</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simple majority (more than 50%) of votes cast, during the meeting in-person or by proxy, is required to approve each item of business.</w:t>
      </w:r>
    </w:p>
    <w:p>
      <w:pPr>
        <w:spacing w:after="0" w:line="95" w:lineRule="exact"/>
        <w:rPr>
          <w:sz w:val="20"/>
          <w:szCs w:val="20"/>
          <w:color w:val="auto"/>
        </w:rPr>
      </w:pPr>
    </w:p>
    <w:p>
      <w:pPr>
        <w:ind w:left="160" w:right="320"/>
        <w:spacing w:after="0" w:line="249" w:lineRule="auto"/>
        <w:rPr>
          <w:sz w:val="20"/>
          <w:szCs w:val="20"/>
          <w:color w:val="auto"/>
        </w:rPr>
      </w:pPr>
      <w:r>
        <w:rPr>
          <w:rFonts w:ascii="Arial" w:cs="Arial" w:eastAsia="Arial" w:hAnsi="Arial"/>
          <w:sz w:val="18"/>
          <w:szCs w:val="18"/>
          <w:color w:val="auto"/>
        </w:rPr>
        <w:t>Woodbridge, our principal and controlling shareholder, beneficially owned approximately 69% of our outstanding common shares as of April 19, 2024. Woodbridge has advised our company that it will vote FOR each item of business as recommended by the board of directors.</w:t>
      </w:r>
    </w:p>
    <w:p>
      <w:pPr>
        <w:spacing w:after="0" w:line="65"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We have a majority voting policy that applies to the election of directors at the annual meeting of shareholders. This means that if a director receives more “withhold” votes than “for” votes at the meeting, then the director will immediately tender his or her resignation to the Chairman. This would be effective if accepted by the Board. The Corporate Governance Committee will consider a director’s offer to resign and make a recommendation to the Board as to whether to accept it. The Board will accept resignations, except in exceptional circumstances. The Board will have 90 days from the annual meeting to make and publicly disclose its decision by news release either to accept or reject the resignation (including reasons for rejecting the resignation, if applicable). As Woodbridge has indicated that it will vote FOR the election of each director nominee, each director will receive more than a majority of votes at the meeting.</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How do I vote?</w:t>
      </w:r>
    </w:p>
    <w:p>
      <w:pPr>
        <w:spacing w:after="0" w:line="51" w:lineRule="exact"/>
        <w:rPr>
          <w:sz w:val="20"/>
          <w:szCs w:val="20"/>
          <w:color w:val="auto"/>
        </w:rPr>
      </w:pPr>
    </w:p>
    <w:p>
      <w:pPr>
        <w:ind w:left="160" w:right="160"/>
        <w:spacing w:after="0" w:line="254" w:lineRule="auto"/>
        <w:rPr>
          <w:sz w:val="20"/>
          <w:szCs w:val="20"/>
          <w:color w:val="auto"/>
        </w:rPr>
      </w:pPr>
      <w:r>
        <w:rPr>
          <w:rFonts w:ascii="Arial" w:cs="Arial" w:eastAsia="Arial" w:hAnsi="Arial"/>
          <w:sz w:val="18"/>
          <w:szCs w:val="18"/>
          <w:b w:val="1"/>
          <w:bCs w:val="1"/>
          <w:color w:val="auto"/>
        </w:rPr>
        <w:t>You have two choices – you can vote by proxy, or you can attend the meeting and vote during the meeting in-person at Roy Thomson Hall, 60 Simcoe Street, Toronto, Ontario, Canada. The voting process is different for each choice. The voting process also depends on whether you are a registered or non-registered shareholder.</w:t>
      </w:r>
    </w:p>
    <w:p>
      <w:pPr>
        <w:spacing w:after="0" w:line="52"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You should first determine whether you are a registered or non-registered holder of our common shares. Most of our shareholders are non-registered holders.</w:t>
      </w:r>
    </w:p>
    <w:p>
      <w:pPr>
        <w:spacing w:after="0" w:line="64" w:lineRule="exact"/>
        <w:rPr>
          <w:sz w:val="20"/>
          <w:szCs w:val="20"/>
          <w:color w:val="auto"/>
        </w:rPr>
      </w:pPr>
    </w:p>
    <w:p>
      <w:pPr>
        <w:ind w:left="480" w:right="160" w:hanging="313"/>
        <w:spacing w:after="0" w:line="249" w:lineRule="auto"/>
        <w:tabs>
          <w:tab w:leader="none" w:pos="480" w:val="left"/>
        </w:tabs>
        <w:numPr>
          <w:ilvl w:val="0"/>
          <w:numId w:val="6"/>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You are a </w:t>
      </w:r>
      <w:r>
        <w:rPr>
          <w:rFonts w:ascii="Arial" w:cs="Arial" w:eastAsia="Arial" w:hAnsi="Arial"/>
          <w:sz w:val="18"/>
          <w:szCs w:val="18"/>
          <w:b w:val="1"/>
          <w:bCs w:val="1"/>
          <w:color w:val="auto"/>
        </w:rPr>
        <w:t>registered shareholder</w:t>
      </w:r>
      <w:r>
        <w:rPr>
          <w:rFonts w:ascii="Arial" w:cs="Arial" w:eastAsia="Arial" w:hAnsi="Arial"/>
          <w:sz w:val="18"/>
          <w:szCs w:val="18"/>
          <w:color w:val="auto"/>
        </w:rPr>
        <w:t xml:space="preserve"> if your name appears directly on your share certificates, or if you hold your common shares in book-entry form through the direct registration system (DRS) on the records of our transfer agent, Computershare Trust Company of Canada.</w:t>
      </w:r>
    </w:p>
    <w:p>
      <w:pPr>
        <w:spacing w:after="0" w:line="77" w:lineRule="exact"/>
        <w:rPr>
          <w:rFonts w:ascii="Times New Roman" w:cs="Times New Roman" w:eastAsia="Times New Roman" w:hAnsi="Times New Roman"/>
          <w:sz w:val="16"/>
          <w:szCs w:val="16"/>
          <w:color w:val="B94831"/>
          <w:vertAlign w:val="superscript"/>
        </w:rPr>
      </w:pPr>
    </w:p>
    <w:p>
      <w:pPr>
        <w:ind w:left="480" w:right="80" w:hanging="313"/>
        <w:spacing w:after="0" w:line="265" w:lineRule="auto"/>
        <w:tabs>
          <w:tab w:leader="none" w:pos="480" w:val="left"/>
        </w:tabs>
        <w:numPr>
          <w:ilvl w:val="0"/>
          <w:numId w:val="6"/>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xml:space="preserve">You are a </w:t>
      </w:r>
      <w:r>
        <w:rPr>
          <w:rFonts w:ascii="Arial" w:cs="Arial" w:eastAsia="Arial" w:hAnsi="Arial"/>
          <w:sz w:val="18"/>
          <w:szCs w:val="18"/>
          <w:b w:val="1"/>
          <w:bCs w:val="1"/>
          <w:color w:val="auto"/>
        </w:rPr>
        <w:t>non-registered shareholder</w:t>
      </w:r>
      <w:r>
        <w:rPr>
          <w:rFonts w:ascii="Arial" w:cs="Arial" w:eastAsia="Arial" w:hAnsi="Arial"/>
          <w:sz w:val="18"/>
          <w:szCs w:val="18"/>
          <w:color w:val="auto"/>
        </w:rPr>
        <w:t xml:space="preserve"> if you own shares indirectly and the shares are registered in the name of an intermediary. For example, you are a non-registered shareholder if:</w:t>
      </w:r>
    </w:p>
    <w:p>
      <w:pPr>
        <w:spacing w:after="0" w:line="64" w:lineRule="exact"/>
        <w:rPr>
          <w:rFonts w:ascii="Times New Roman" w:cs="Times New Roman" w:eastAsia="Times New Roman" w:hAnsi="Times New Roman"/>
          <w:sz w:val="16"/>
          <w:szCs w:val="16"/>
          <w:color w:val="B94831"/>
          <w:vertAlign w:val="superscript"/>
        </w:rPr>
      </w:pPr>
    </w:p>
    <w:p>
      <w:pPr>
        <w:ind w:left="480"/>
        <w:spacing w:after="0"/>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your common shares are held in the name of a bank, trust company, securities broker, trustee or custodian; or</w:t>
      </w:r>
    </w:p>
    <w:p>
      <w:pPr>
        <w:spacing w:after="0" w:line="113" w:lineRule="exact"/>
        <w:rPr>
          <w:rFonts w:ascii="Times New Roman" w:cs="Times New Roman" w:eastAsia="Times New Roman" w:hAnsi="Times New Roman"/>
          <w:sz w:val="16"/>
          <w:szCs w:val="16"/>
          <w:color w:val="B94831"/>
          <w:vertAlign w:val="superscript"/>
        </w:rPr>
      </w:pPr>
    </w:p>
    <w:p>
      <w:pPr>
        <w:ind w:left="800" w:right="800" w:hanging="321"/>
        <w:spacing w:after="0" w:line="265" w:lineRule="auto"/>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 you hold Depositary Interests representing our common shares which are held in the name of Computershare Company Nominees Limited as nominee and custodian.</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Non-registered shareholders are sometimes referred to as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8   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1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gridSpan w:val="2"/>
            <w:shd w:val="clear" w:color="auto" w:fill="262626"/>
          </w:tcPr>
          <w:p>
            <w:pPr>
              <w:ind w:left="140"/>
              <w:spacing w:after="0" w:line="182" w:lineRule="exact"/>
              <w:rPr>
                <w:sz w:val="20"/>
                <w:szCs w:val="20"/>
                <w:color w:val="auto"/>
              </w:rPr>
            </w:pPr>
            <w:r>
              <w:rPr>
                <w:rFonts w:ascii="Arial" w:cs="Arial" w:eastAsia="Arial" w:hAnsi="Arial"/>
                <w:sz w:val="18"/>
                <w:szCs w:val="18"/>
                <w:b w:val="1"/>
                <w:bCs w:val="1"/>
                <w:color w:val="FFFFFF"/>
                <w:w w:val="98"/>
              </w:rPr>
              <w:t>Registered shareholders</w:t>
            </w:r>
          </w:p>
        </w:tc>
        <w:tc>
          <w:tcPr>
            <w:tcW w:w="8660" w:type="dxa"/>
            <w:vAlign w:val="bottom"/>
            <w:tcBorders>
              <w:right w:val="single" w:sz="8" w:color="auto"/>
            </w:tcBorders>
            <w:shd w:val="clear" w:color="auto" w:fill="262626"/>
          </w:tcPr>
          <w:p>
            <w:pPr>
              <w:ind w:left="280"/>
              <w:spacing w:after="0" w:line="182" w:lineRule="exact"/>
              <w:rPr>
                <w:sz w:val="20"/>
                <w:szCs w:val="20"/>
                <w:color w:val="auto"/>
              </w:rPr>
            </w:pPr>
            <w:r>
              <w:rPr>
                <w:rFonts w:ascii="Arial" w:cs="Arial" w:eastAsia="Arial" w:hAnsi="Arial"/>
                <w:sz w:val="18"/>
                <w:szCs w:val="18"/>
                <w:color w:val="FFFFFF"/>
              </w:rPr>
              <w:t>You are a registered shareholder if your name appears directly on your share certificates, or if you hold</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shd w:val="clear" w:color="auto" w:fill="262626"/>
          </w:tcPr>
          <w:p>
            <w:pPr>
              <w:spacing w:after="0"/>
              <w:rPr>
                <w:sz w:val="17"/>
                <w:szCs w:val="17"/>
                <w:color w:val="auto"/>
              </w:rPr>
            </w:pPr>
          </w:p>
        </w:tc>
        <w:tc>
          <w:tcPr>
            <w:tcW w:w="1100" w:type="dxa"/>
            <w:vAlign w:val="bottom"/>
            <w:tcBorders>
              <w:right w:val="single" w:sz="8" w:color="auto"/>
            </w:tcBorders>
            <w:shd w:val="clear" w:color="auto" w:fill="262626"/>
          </w:tcPr>
          <w:p>
            <w:pPr>
              <w:spacing w:after="0"/>
              <w:rPr>
                <w:sz w:val="17"/>
                <w:szCs w:val="17"/>
                <w:color w:val="auto"/>
              </w:rPr>
            </w:pPr>
          </w:p>
        </w:tc>
        <w:tc>
          <w:tcPr>
            <w:tcW w:w="8660" w:type="dxa"/>
            <w:vAlign w:val="bottom"/>
            <w:tcBorders>
              <w:right w:val="single" w:sz="8" w:color="auto"/>
            </w:tcBorders>
            <w:shd w:val="clear" w:color="auto" w:fill="262626"/>
          </w:tcPr>
          <w:p>
            <w:pPr>
              <w:ind w:left="280"/>
              <w:spacing w:after="0" w:line="201" w:lineRule="exact"/>
              <w:rPr>
                <w:sz w:val="20"/>
                <w:szCs w:val="20"/>
                <w:color w:val="auto"/>
              </w:rPr>
            </w:pPr>
            <w:r>
              <w:rPr>
                <w:rFonts w:ascii="Arial" w:cs="Arial" w:eastAsia="Arial" w:hAnsi="Arial"/>
                <w:sz w:val="18"/>
                <w:szCs w:val="18"/>
                <w:color w:val="FFFFFF"/>
              </w:rPr>
              <w:t>your common shares in book-entry form through the direct registration system (DRS) on the records of</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shd w:val="clear" w:color="auto" w:fill="262626"/>
          </w:tcPr>
          <w:p>
            <w:pPr>
              <w:spacing w:after="0"/>
              <w:rPr>
                <w:sz w:val="20"/>
                <w:szCs w:val="20"/>
                <w:color w:val="auto"/>
              </w:rPr>
            </w:pPr>
          </w:p>
        </w:tc>
        <w:tc>
          <w:tcPr>
            <w:tcW w:w="1100" w:type="dxa"/>
            <w:vAlign w:val="bottom"/>
            <w:tcBorders>
              <w:right w:val="single" w:sz="8" w:color="auto"/>
            </w:tcBorders>
            <w:shd w:val="clear" w:color="auto" w:fill="262626"/>
          </w:tcPr>
          <w:p>
            <w:pPr>
              <w:spacing w:after="0"/>
              <w:rPr>
                <w:sz w:val="20"/>
                <w:szCs w:val="20"/>
                <w:color w:val="auto"/>
              </w:rPr>
            </w:pPr>
          </w:p>
        </w:tc>
        <w:tc>
          <w:tcPr>
            <w:tcW w:w="8660" w:type="dxa"/>
            <w:vAlign w:val="bottom"/>
            <w:tcBorders>
              <w:right w:val="single" w:sz="8" w:color="auto"/>
            </w:tcBorders>
            <w:shd w:val="clear" w:color="auto" w:fill="262626"/>
          </w:tcPr>
          <w:p>
            <w:pPr>
              <w:ind w:left="280"/>
              <w:spacing w:after="0"/>
              <w:rPr>
                <w:sz w:val="20"/>
                <w:szCs w:val="20"/>
                <w:color w:val="auto"/>
              </w:rPr>
            </w:pPr>
            <w:r>
              <w:rPr>
                <w:rFonts w:ascii="Arial" w:cs="Arial" w:eastAsia="Arial" w:hAnsi="Arial"/>
                <w:sz w:val="18"/>
                <w:szCs w:val="18"/>
                <w:color w:val="FFFFFF"/>
              </w:rPr>
              <w:t>our transfer agent, Computershare Trust Company of Canada.</w:t>
            </w:r>
          </w:p>
        </w:tc>
        <w:tc>
          <w:tcPr>
            <w:tcW w:w="0" w:type="dxa"/>
            <w:vAlign w:val="bottom"/>
          </w:tcPr>
          <w:p>
            <w:pPr>
              <w:spacing w:after="0"/>
              <w:rPr>
                <w:sz w:val="1"/>
                <w:szCs w:val="1"/>
                <w:color w:val="auto"/>
              </w:rPr>
            </w:pPr>
          </w:p>
        </w:tc>
      </w:tr>
      <w:tr>
        <w:trPr>
          <w:trHeight w:val="64"/>
        </w:trPr>
        <w:tc>
          <w:tcPr>
            <w:tcW w:w="180" w:type="dxa"/>
            <w:vAlign w:val="bottom"/>
            <w:tcBorders>
              <w:right w:val="single" w:sz="8" w:color="auto"/>
            </w:tcBorders>
          </w:tcPr>
          <w:p>
            <w:pPr>
              <w:spacing w:after="0"/>
              <w:rPr>
                <w:sz w:val="5"/>
                <w:szCs w:val="5"/>
                <w:color w:val="auto"/>
              </w:rPr>
            </w:pPr>
          </w:p>
        </w:tc>
        <w:tc>
          <w:tcPr>
            <w:tcW w:w="1160" w:type="dxa"/>
            <w:vAlign w:val="bottom"/>
            <w:shd w:val="clear" w:color="auto" w:fill="262626"/>
          </w:tcPr>
          <w:p>
            <w:pPr>
              <w:spacing w:after="0"/>
              <w:rPr>
                <w:sz w:val="5"/>
                <w:szCs w:val="5"/>
                <w:color w:val="auto"/>
              </w:rPr>
            </w:pPr>
          </w:p>
        </w:tc>
        <w:tc>
          <w:tcPr>
            <w:tcW w:w="1100" w:type="dxa"/>
            <w:vAlign w:val="bottom"/>
            <w:tcBorders>
              <w:right w:val="single" w:sz="8" w:color="auto"/>
            </w:tcBorders>
            <w:shd w:val="clear" w:color="auto" w:fill="262626"/>
          </w:tcPr>
          <w:p>
            <w:pPr>
              <w:spacing w:after="0"/>
              <w:rPr>
                <w:sz w:val="5"/>
                <w:szCs w:val="5"/>
                <w:color w:val="auto"/>
              </w:rPr>
            </w:pPr>
          </w:p>
        </w:tc>
        <w:tc>
          <w:tcPr>
            <w:tcW w:w="8660" w:type="dxa"/>
            <w:vAlign w:val="bottom"/>
            <w:tcBorders>
              <w:right w:val="single" w:sz="8" w:color="auto"/>
            </w:tcBorders>
            <w:shd w:val="clear" w:color="auto" w:fill="262626"/>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18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If you want to vote by</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If it is not convenient for you to attend the meeting, you may vote by proxy on the matters to be</w:t>
            </w:r>
          </w:p>
        </w:tc>
        <w:tc>
          <w:tcPr>
            <w:tcW w:w="0" w:type="dxa"/>
            <w:vAlign w:val="bottom"/>
          </w:tcPr>
          <w:p>
            <w:pPr>
              <w:spacing w:after="0"/>
              <w:rPr>
                <w:sz w:val="1"/>
                <w:szCs w:val="1"/>
                <w:color w:val="auto"/>
              </w:rPr>
            </w:pPr>
          </w:p>
        </w:tc>
      </w:tr>
      <w:tr>
        <w:trPr>
          <w:trHeight w:val="209"/>
        </w:trPr>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proxy before the meeting</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considered at the meeting. A proxy is a document that authorizes someone else to attend the meeting</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and cast votes for you.</w:t>
            </w:r>
          </w:p>
        </w:tc>
        <w:tc>
          <w:tcPr>
            <w:tcW w:w="0" w:type="dxa"/>
            <w:vAlign w:val="bottom"/>
          </w:tcPr>
          <w:p>
            <w:pPr>
              <w:spacing w:after="0"/>
              <w:rPr>
                <w:sz w:val="1"/>
                <w:szCs w:val="1"/>
                <w:color w:val="auto"/>
              </w:rPr>
            </w:pPr>
          </w:p>
        </w:tc>
      </w:tr>
      <w:tr>
        <w:trPr>
          <w:trHeight w:val="286"/>
        </w:trPr>
        <w:tc>
          <w:tcPr>
            <w:tcW w:w="18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You may authorize our directors who are named on the enclosed proxy form to vote your shares as your</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proxyholder.</w:t>
            </w:r>
          </w:p>
        </w:tc>
        <w:tc>
          <w:tcPr>
            <w:tcW w:w="0" w:type="dxa"/>
            <w:vAlign w:val="bottom"/>
          </w:tcPr>
          <w:p>
            <w:pPr>
              <w:spacing w:after="0"/>
              <w:rPr>
                <w:sz w:val="1"/>
                <w:szCs w:val="1"/>
                <w:color w:val="auto"/>
              </w:rPr>
            </w:pPr>
          </w:p>
        </w:tc>
      </w:tr>
      <w:tr>
        <w:trPr>
          <w:trHeight w:val="286"/>
        </w:trPr>
        <w:tc>
          <w:tcPr>
            <w:tcW w:w="18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You may give voting instructions through the Internet, mail or telephone. Please refer to your proxy form</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for instructions.</w:t>
            </w:r>
          </w:p>
        </w:tc>
        <w:tc>
          <w:tcPr>
            <w:tcW w:w="0" w:type="dxa"/>
            <w:vAlign w:val="bottom"/>
          </w:tcPr>
          <w:p>
            <w:pPr>
              <w:spacing w:after="0"/>
              <w:rPr>
                <w:sz w:val="1"/>
                <w:szCs w:val="1"/>
                <w:color w:val="auto"/>
              </w:rPr>
            </w:pPr>
          </w:p>
        </w:tc>
      </w:tr>
      <w:tr>
        <w:trPr>
          <w:trHeight w:val="104"/>
        </w:trPr>
        <w:tc>
          <w:tcPr>
            <w:tcW w:w="180" w:type="dxa"/>
            <w:vAlign w:val="bottom"/>
            <w:tcBorders>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8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If you want to attend and</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You do not need to do anything except attend the meeting. Do not complete or return your proxy form, as</w:t>
            </w:r>
          </w:p>
        </w:tc>
        <w:tc>
          <w:tcPr>
            <w:tcW w:w="0" w:type="dxa"/>
            <w:vAlign w:val="bottom"/>
          </w:tcPr>
          <w:p>
            <w:pPr>
              <w:spacing w:after="0"/>
              <w:rPr>
                <w:sz w:val="1"/>
                <w:szCs w:val="1"/>
                <w:color w:val="auto"/>
              </w:rPr>
            </w:pPr>
          </w:p>
        </w:tc>
      </w:tr>
      <w:tr>
        <w:trPr>
          <w:trHeight w:val="209"/>
        </w:trPr>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vote at the meeting</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your vote will be taken at the meeting. You should register with representatives of Computershare Trust</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280"/>
              <w:spacing w:after="0" w:line="201" w:lineRule="exact"/>
              <w:rPr>
                <w:sz w:val="20"/>
                <w:szCs w:val="20"/>
                <w:color w:val="auto"/>
              </w:rPr>
            </w:pPr>
            <w:r>
              <w:rPr>
                <w:rFonts w:ascii="Arial" w:cs="Arial" w:eastAsia="Arial" w:hAnsi="Arial"/>
                <w:sz w:val="18"/>
                <w:szCs w:val="18"/>
                <w:color w:val="auto"/>
                <w:w w:val="99"/>
              </w:rPr>
              <w:t>Company of Canada when you arrive at the meeting. If you wish to vote common shares registered in the</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280"/>
              <w:spacing w:after="0" w:line="201" w:lineRule="exact"/>
              <w:rPr>
                <w:sz w:val="20"/>
                <w:szCs w:val="20"/>
                <w:color w:val="auto"/>
              </w:rPr>
            </w:pPr>
            <w:r>
              <w:rPr>
                <w:rFonts w:ascii="Arial" w:cs="Arial" w:eastAsia="Arial" w:hAnsi="Arial"/>
                <w:sz w:val="18"/>
                <w:szCs w:val="18"/>
                <w:color w:val="auto"/>
              </w:rPr>
              <w:t>name of a legal entity, that entity must submit a properly executed proxy form to Computershare Trust</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280"/>
              <w:spacing w:after="0" w:line="201" w:lineRule="exact"/>
              <w:rPr>
                <w:sz w:val="20"/>
                <w:szCs w:val="20"/>
                <w:color w:val="auto"/>
              </w:rPr>
            </w:pPr>
            <w:r>
              <w:rPr>
                <w:rFonts w:ascii="Arial" w:cs="Arial" w:eastAsia="Arial" w:hAnsi="Arial"/>
                <w:sz w:val="18"/>
                <w:szCs w:val="18"/>
                <w:color w:val="auto"/>
              </w:rPr>
              <w:t>Company of Canada by the proxy cut-off time which appoints you to vote the common shares on its</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behalf.</w:t>
            </w:r>
          </w:p>
        </w:tc>
        <w:tc>
          <w:tcPr>
            <w:tcW w:w="0" w:type="dxa"/>
            <w:vAlign w:val="bottom"/>
          </w:tcPr>
          <w:p>
            <w:pPr>
              <w:spacing w:after="0"/>
              <w:rPr>
                <w:sz w:val="1"/>
                <w:szCs w:val="1"/>
                <w:color w:val="auto"/>
              </w:rPr>
            </w:pPr>
          </w:p>
        </w:tc>
      </w:tr>
      <w:tr>
        <w:trPr>
          <w:trHeight w:val="91"/>
        </w:trPr>
        <w:tc>
          <w:tcPr>
            <w:tcW w:w="180" w:type="dxa"/>
            <w:vAlign w:val="bottom"/>
            <w:tcBorders>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8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If you want to appoint a</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You may appoint another person (other than our directors who are named on your proxy form) to attend</w:t>
            </w:r>
          </w:p>
        </w:tc>
        <w:tc>
          <w:tcPr>
            <w:tcW w:w="0" w:type="dxa"/>
            <w:vAlign w:val="bottom"/>
          </w:tcPr>
          <w:p>
            <w:pPr>
              <w:spacing w:after="0"/>
              <w:rPr>
                <w:sz w:val="1"/>
                <w:szCs w:val="1"/>
                <w:color w:val="auto"/>
              </w:rPr>
            </w:pPr>
          </w:p>
        </w:tc>
      </w:tr>
      <w:tr>
        <w:trPr>
          <w:trHeight w:val="188"/>
        </w:trPr>
        <w:tc>
          <w:tcPr>
            <w:tcW w:w="1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third party as proxy to</w:t>
            </w:r>
          </w:p>
        </w:tc>
        <w:tc>
          <w:tcPr>
            <w:tcW w:w="8660" w:type="dxa"/>
            <w:vAlign w:val="bottom"/>
            <w:tcBorders>
              <w:right w:val="single" w:sz="8" w:color="auto"/>
            </w:tcBorders>
          </w:tcPr>
          <w:p>
            <w:pPr>
              <w:ind w:left="280"/>
              <w:spacing w:after="0" w:line="188" w:lineRule="exact"/>
              <w:rPr>
                <w:sz w:val="20"/>
                <w:szCs w:val="20"/>
                <w:color w:val="auto"/>
              </w:rPr>
            </w:pPr>
            <w:r>
              <w:rPr>
                <w:rFonts w:ascii="Arial" w:cs="Arial" w:eastAsia="Arial" w:hAnsi="Arial"/>
                <w:sz w:val="18"/>
                <w:szCs w:val="18"/>
                <w:color w:val="auto"/>
              </w:rPr>
              <w:t>the meeting on your behalf and vote your shares as your proxyholder. To do so, please follow these</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attend and vote at the</w:t>
            </w:r>
          </w:p>
        </w:tc>
        <w:tc>
          <w:tcPr>
            <w:tcW w:w="8660" w:type="dxa"/>
            <w:vAlign w:val="bottom"/>
            <w:tcBorders>
              <w:right w:val="single" w:sz="8" w:color="auto"/>
            </w:tcBorders>
          </w:tcPr>
          <w:p>
            <w:pPr>
              <w:ind w:left="280"/>
              <w:spacing w:after="0" w:line="201" w:lineRule="exact"/>
              <w:rPr>
                <w:sz w:val="20"/>
                <w:szCs w:val="20"/>
                <w:color w:val="auto"/>
              </w:rPr>
            </w:pPr>
            <w:r>
              <w:rPr>
                <w:rFonts w:ascii="Arial" w:cs="Arial" w:eastAsia="Arial" w:hAnsi="Arial"/>
                <w:sz w:val="18"/>
                <w:szCs w:val="18"/>
                <w:color w:val="auto"/>
              </w:rPr>
              <w:t>steps:</w:t>
            </w:r>
          </w:p>
        </w:tc>
        <w:tc>
          <w:tcPr>
            <w:tcW w:w="0" w:type="dxa"/>
            <w:vAlign w:val="bottom"/>
          </w:tcPr>
          <w:p>
            <w:pPr>
              <w:spacing w:after="0"/>
              <w:rPr>
                <w:sz w:val="1"/>
                <w:szCs w:val="1"/>
                <w:color w:val="auto"/>
              </w:rPr>
            </w:pPr>
          </w:p>
        </w:tc>
      </w:tr>
      <w:tr>
        <w:trPr>
          <w:trHeight w:val="221"/>
        </w:trPr>
        <w:tc>
          <w:tcPr>
            <w:tcW w:w="18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meeting</w:t>
            </w:r>
          </w:p>
        </w:tc>
        <w:tc>
          <w:tcPr>
            <w:tcW w:w="86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 xml:space="preserve">     Submit your proxy form</w:t>
            </w:r>
            <w:r>
              <w:rPr>
                <w:rFonts w:ascii="Arial" w:cs="Arial" w:eastAsia="Arial" w:hAnsi="Arial"/>
                <w:sz w:val="18"/>
                <w:szCs w:val="18"/>
                <w:color w:val="auto"/>
              </w:rPr>
              <w:t xml:space="preserve"> – Appoint your proxy by mail or through the Internet. If you mail the</w:t>
            </w:r>
          </w:p>
        </w:tc>
        <w:tc>
          <w:tcPr>
            <w:tcW w:w="0" w:type="dxa"/>
            <w:vAlign w:val="bottom"/>
          </w:tcPr>
          <w:p>
            <w:pPr>
              <w:spacing w:after="0"/>
              <w:rPr>
                <w:sz w:val="1"/>
                <w:szCs w:val="1"/>
                <w:color w:val="auto"/>
              </w:rPr>
            </w:pPr>
          </w:p>
        </w:tc>
      </w:tr>
      <w:tr>
        <w:trPr>
          <w:trHeight w:val="121"/>
        </w:trPr>
        <w:tc>
          <w:tcPr>
            <w:tcW w:w="180" w:type="dxa"/>
            <w:vAlign w:val="bottom"/>
            <w:tcBorders>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8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proxy form, you must print that person’s name in the blank space provided on the back of the</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enclosed proxy form and you should indicate how you want your shares voted. Sign, date and</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return the proxy form in the envelope provided. If you vote through the Internet, you may also</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appoint another person to be your proxyholder.</w:t>
            </w:r>
          </w:p>
        </w:tc>
        <w:tc>
          <w:tcPr>
            <w:tcW w:w="0" w:type="dxa"/>
            <w:vAlign w:val="bottom"/>
          </w:tcPr>
          <w:p>
            <w:pPr>
              <w:spacing w:after="0"/>
              <w:rPr>
                <w:sz w:val="1"/>
                <w:szCs w:val="1"/>
                <w:color w:val="auto"/>
              </w:rPr>
            </w:pPr>
          </w:p>
        </w:tc>
      </w:tr>
      <w:tr>
        <w:trPr>
          <w:trHeight w:val="286"/>
        </w:trPr>
        <w:tc>
          <w:tcPr>
            <w:tcW w:w="18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66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You may be able to appoint more than one proxyholder, provided that each proxyholder is</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entitled to exercise the rights attaching to different shares held by you. If you do appoint more</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than one proxyholder, you must do so by mail, and please enter the number of shares next to</w:t>
            </w:r>
          </w:p>
        </w:tc>
        <w:tc>
          <w:tcPr>
            <w:tcW w:w="0" w:type="dxa"/>
            <w:vAlign w:val="bottom"/>
          </w:tcPr>
          <w:p>
            <w:pPr>
              <w:spacing w:after="0"/>
              <w:rPr>
                <w:sz w:val="1"/>
                <w:szCs w:val="1"/>
                <w:color w:val="auto"/>
              </w:rPr>
            </w:pPr>
          </w:p>
        </w:tc>
      </w:tr>
      <w:tr>
        <w:trPr>
          <w:trHeight w:val="201"/>
        </w:trPr>
        <w:tc>
          <w:tcPr>
            <w:tcW w:w="1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6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the proxyholder’s name that he or she is entitled to vote. The person you appoint must attend</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the meeting and vote on your behalf in order for your votes to be counted.</w:t>
            </w:r>
          </w:p>
        </w:tc>
        <w:tc>
          <w:tcPr>
            <w:tcW w:w="0" w:type="dxa"/>
            <w:vAlign w:val="bottom"/>
          </w:tcPr>
          <w:p>
            <w:pPr>
              <w:spacing w:after="0"/>
              <w:rPr>
                <w:sz w:val="1"/>
                <w:szCs w:val="1"/>
                <w:color w:val="auto"/>
              </w:rPr>
            </w:pPr>
          </w:p>
        </w:tc>
      </w:tr>
      <w:tr>
        <w:trPr>
          <w:trHeight w:val="286"/>
        </w:trPr>
        <w:tc>
          <w:tcPr>
            <w:tcW w:w="18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66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 xml:space="preserve">    Proxyholder Registration</w:t>
            </w:r>
            <w:r>
              <w:rPr>
                <w:rFonts w:ascii="Arial" w:cs="Arial" w:eastAsia="Arial" w:hAnsi="Arial"/>
                <w:sz w:val="18"/>
                <w:szCs w:val="18"/>
                <w:color w:val="auto"/>
              </w:rPr>
              <w:t xml:space="preserve"> – The third-party proxyholder should then register with</w:t>
            </w: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6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representatives of Computershare Trust Company of Canada when they arrive at the meeting.</w:t>
            </w:r>
          </w:p>
        </w:tc>
        <w:tc>
          <w:tcPr>
            <w:tcW w:w="0" w:type="dxa"/>
            <w:vAlign w:val="bottom"/>
          </w:tcPr>
          <w:p>
            <w:pPr>
              <w:spacing w:after="0"/>
              <w:rPr>
                <w:sz w:val="1"/>
                <w:szCs w:val="1"/>
                <w:color w:val="auto"/>
              </w:rPr>
            </w:pPr>
          </w:p>
        </w:tc>
      </w:tr>
      <w:tr>
        <w:trPr>
          <w:trHeight w:val="321"/>
        </w:trPr>
        <w:tc>
          <w:tcPr>
            <w:tcW w:w="18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You may choose anyone to be your proxyholder – the person does not have to be another shareholder.</w:t>
            </w:r>
          </w:p>
        </w:tc>
        <w:tc>
          <w:tcPr>
            <w:tcW w:w="0" w:type="dxa"/>
            <w:vAlign w:val="bottom"/>
          </w:tcPr>
          <w:p>
            <w:pPr>
              <w:spacing w:after="0"/>
              <w:rPr>
                <w:sz w:val="1"/>
                <w:szCs w:val="1"/>
                <w:color w:val="auto"/>
              </w:rPr>
            </w:pPr>
          </w:p>
        </w:tc>
      </w:tr>
      <w:tr>
        <w:trPr>
          <w:trHeight w:val="104"/>
        </w:trPr>
        <w:tc>
          <w:tcPr>
            <w:tcW w:w="180" w:type="dxa"/>
            <w:vAlign w:val="bottom"/>
            <w:tcBorders>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8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Deadline for returning your</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Your completed proxy must be received by Computershare Trust Company of Canada by</w:t>
            </w:r>
          </w:p>
        </w:tc>
        <w:tc>
          <w:tcPr>
            <w:tcW w:w="0" w:type="dxa"/>
            <w:vAlign w:val="bottom"/>
          </w:tcPr>
          <w:p>
            <w:pPr>
              <w:spacing w:after="0"/>
              <w:rPr>
                <w:sz w:val="1"/>
                <w:szCs w:val="1"/>
                <w:color w:val="auto"/>
              </w:rPr>
            </w:pPr>
          </w:p>
        </w:tc>
      </w:tr>
      <w:tr>
        <w:trPr>
          <w:trHeight w:val="254"/>
        </w:trPr>
        <w:tc>
          <w:tcPr>
            <w:tcW w:w="1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proxy form</w:t>
            </w:r>
          </w:p>
        </w:tc>
        <w:tc>
          <w:tcPr>
            <w:tcW w:w="866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5:00 p.m. (Eastern Daylight Time) on Monday, June 3, 2024.</w:t>
            </w: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8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160" w:type="dxa"/>
            <w:vAlign w:val="bottom"/>
            <w:tcBorders>
              <w:bottom w:val="single" w:sz="8" w:color="B94831"/>
            </w:tcBorders>
          </w:tcPr>
          <w:p>
            <w:pPr>
              <w:spacing w:after="0"/>
              <w:rPr>
                <w:sz w:val="19"/>
                <w:szCs w:val="19"/>
                <w:color w:val="auto"/>
              </w:rPr>
            </w:pPr>
          </w:p>
        </w:tc>
        <w:tc>
          <w:tcPr>
            <w:tcW w:w="1100" w:type="dxa"/>
            <w:vAlign w:val="bottom"/>
            <w:tcBorders>
              <w:bottom w:val="single" w:sz="8" w:color="B94831"/>
            </w:tcBorders>
          </w:tcPr>
          <w:p>
            <w:pPr>
              <w:spacing w:after="0"/>
              <w:rPr>
                <w:sz w:val="19"/>
                <w:szCs w:val="19"/>
                <w:color w:val="auto"/>
              </w:rPr>
            </w:pPr>
          </w:p>
        </w:tc>
        <w:tc>
          <w:tcPr>
            <w:tcW w:w="8660" w:type="dxa"/>
            <w:vAlign w:val="bottom"/>
            <w:tcBorders>
              <w:bottom w:val="single" w:sz="8" w:color="B94831"/>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3"/>
          <w:szCs w:val="13"/>
          <w:color w:val="auto"/>
        </w:rPr>
        <w:t>Management Proxy Circular and Notice of Annual Meeting of Shareholders   Page 9</w:t>
      </w:r>
    </w:p>
    <w:p>
      <w:pPr>
        <w:sectPr>
          <w:pgSz w:w="11900" w:h="16838" w:orient="portrait"/>
          <w:cols w:equalWidth="0" w:num="1">
            <w:col w:w="11100"/>
          </w:cols>
          <w:pgMar w:left="320" w:top="44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70" w:type="dxa"/>
        <w:tblCellMar>
          <w:top w:w="0" w:type="dxa"/>
          <w:left w:w="0" w:type="dxa"/>
          <w:bottom w:w="0" w:type="dxa"/>
          <w:right w:w="0" w:type="dxa"/>
        </w:tblCellMar>
      </w:tblPr>
      <w:tr>
        <w:trPr>
          <w:trHeight w:val="267"/>
        </w:trPr>
        <w:tc>
          <w:tcPr>
            <w:tcW w:w="2120" w:type="dxa"/>
            <w:vAlign w:val="bottom"/>
            <w:tcBorders>
              <w:top w:val="single" w:sz="8" w:color="auto"/>
              <w:left w:val="single" w:sz="8" w:color="auto"/>
              <w:right w:val="single" w:sz="8" w:color="auto"/>
            </w:tcBorders>
            <w:shd w:val="clear" w:color="auto" w:fill="262626"/>
          </w:tcPr>
          <w:p>
            <w:pPr>
              <w:ind w:left="160"/>
              <w:spacing w:after="0"/>
              <w:rPr>
                <w:sz w:val="20"/>
                <w:szCs w:val="20"/>
                <w:color w:val="auto"/>
              </w:rPr>
            </w:pPr>
            <w:r>
              <w:rPr>
                <w:rFonts w:ascii="Arial" w:cs="Arial" w:eastAsia="Arial" w:hAnsi="Arial"/>
                <w:sz w:val="16"/>
                <w:szCs w:val="16"/>
                <w:b w:val="1"/>
                <w:bCs w:val="1"/>
                <w:color w:val="FFFFFF"/>
              </w:rPr>
              <w:t>Non-registered</w:t>
            </w:r>
          </w:p>
        </w:tc>
        <w:tc>
          <w:tcPr>
            <w:tcW w:w="8820" w:type="dxa"/>
            <w:vAlign w:val="bottom"/>
            <w:tcBorders>
              <w:top w:val="single" w:sz="8" w:color="auto"/>
              <w:right w:val="single" w:sz="8" w:color="auto"/>
            </w:tcBorders>
            <w:shd w:val="clear" w:color="auto" w:fill="262626"/>
          </w:tcPr>
          <w:p>
            <w:pPr>
              <w:ind w:left="300"/>
              <w:spacing w:after="0"/>
              <w:rPr>
                <w:sz w:val="20"/>
                <w:szCs w:val="20"/>
                <w:color w:val="auto"/>
              </w:rPr>
            </w:pPr>
            <w:r>
              <w:rPr>
                <w:rFonts w:ascii="Arial" w:cs="Arial" w:eastAsia="Arial" w:hAnsi="Arial"/>
                <w:sz w:val="18"/>
                <w:szCs w:val="18"/>
                <w:color w:val="FFFFFF"/>
              </w:rPr>
              <w:t>You are a non-registered shareholder if you own shares indirectly and the shares are registered in the</w:t>
            </w:r>
          </w:p>
        </w:tc>
      </w:tr>
      <w:tr>
        <w:trPr>
          <w:trHeight w:val="209"/>
        </w:trPr>
        <w:tc>
          <w:tcPr>
            <w:tcW w:w="2120" w:type="dxa"/>
            <w:vAlign w:val="bottom"/>
            <w:tcBorders>
              <w:left w:val="single" w:sz="8" w:color="auto"/>
              <w:right w:val="single" w:sz="8" w:color="auto"/>
            </w:tcBorders>
            <w:shd w:val="clear" w:color="auto" w:fill="262626"/>
          </w:tcPr>
          <w:p>
            <w:pPr>
              <w:ind w:left="160"/>
              <w:spacing w:after="0"/>
              <w:rPr>
                <w:sz w:val="20"/>
                <w:szCs w:val="20"/>
                <w:color w:val="auto"/>
              </w:rPr>
            </w:pPr>
            <w:r>
              <w:rPr>
                <w:rFonts w:ascii="Arial" w:cs="Arial" w:eastAsia="Arial" w:hAnsi="Arial"/>
                <w:sz w:val="16"/>
                <w:szCs w:val="16"/>
                <w:b w:val="1"/>
                <w:bCs w:val="1"/>
                <w:color w:val="FFFFFF"/>
              </w:rPr>
              <w:t>shareholders</w:t>
            </w:r>
          </w:p>
        </w:tc>
        <w:tc>
          <w:tcPr>
            <w:tcW w:w="8820" w:type="dxa"/>
            <w:vAlign w:val="bottom"/>
            <w:tcBorders>
              <w:right w:val="single" w:sz="8" w:color="auto"/>
            </w:tcBorders>
            <w:shd w:val="clear" w:color="auto" w:fill="262626"/>
          </w:tcPr>
          <w:p>
            <w:pPr>
              <w:ind w:left="300"/>
              <w:spacing w:after="0"/>
              <w:rPr>
                <w:sz w:val="20"/>
                <w:szCs w:val="20"/>
                <w:color w:val="auto"/>
              </w:rPr>
            </w:pPr>
            <w:r>
              <w:rPr>
                <w:rFonts w:ascii="Arial" w:cs="Arial" w:eastAsia="Arial" w:hAnsi="Arial"/>
                <w:sz w:val="18"/>
                <w:szCs w:val="18"/>
                <w:color w:val="FFFFFF"/>
              </w:rPr>
              <w:t>name of an intermediary. For example, you are a non-registered shareholder if your common shares are</w:t>
            </w:r>
          </w:p>
        </w:tc>
      </w:tr>
      <w:tr>
        <w:trPr>
          <w:trHeight w:val="201"/>
        </w:trPr>
        <w:tc>
          <w:tcPr>
            <w:tcW w:w="2120" w:type="dxa"/>
            <w:vAlign w:val="bottom"/>
            <w:tcBorders>
              <w:left w:val="single" w:sz="8" w:color="auto"/>
              <w:right w:val="single" w:sz="8" w:color="auto"/>
            </w:tcBorders>
            <w:shd w:val="clear" w:color="auto" w:fill="262626"/>
          </w:tcPr>
          <w:p>
            <w:pPr>
              <w:spacing w:after="0"/>
              <w:rPr>
                <w:sz w:val="17"/>
                <w:szCs w:val="17"/>
                <w:color w:val="auto"/>
              </w:rPr>
            </w:pPr>
          </w:p>
        </w:tc>
        <w:tc>
          <w:tcPr>
            <w:tcW w:w="8820" w:type="dxa"/>
            <w:vAlign w:val="bottom"/>
            <w:tcBorders>
              <w:right w:val="single" w:sz="8" w:color="auto"/>
            </w:tcBorders>
            <w:shd w:val="clear" w:color="auto" w:fill="262626"/>
          </w:tcPr>
          <w:p>
            <w:pPr>
              <w:ind w:left="300"/>
              <w:spacing w:after="0" w:line="201" w:lineRule="exact"/>
              <w:rPr>
                <w:sz w:val="20"/>
                <w:szCs w:val="20"/>
                <w:color w:val="auto"/>
              </w:rPr>
            </w:pPr>
            <w:r>
              <w:rPr>
                <w:rFonts w:ascii="Arial" w:cs="Arial" w:eastAsia="Arial" w:hAnsi="Arial"/>
                <w:sz w:val="18"/>
                <w:szCs w:val="18"/>
                <w:color w:val="FFFFFF"/>
              </w:rPr>
              <w:t>held in the name of a bank, trust company, securities broker, trustee or custodian; or you hold Depositary</w:t>
            </w:r>
          </w:p>
        </w:tc>
      </w:tr>
      <w:tr>
        <w:trPr>
          <w:trHeight w:val="201"/>
        </w:trPr>
        <w:tc>
          <w:tcPr>
            <w:tcW w:w="2120" w:type="dxa"/>
            <w:vAlign w:val="bottom"/>
            <w:tcBorders>
              <w:left w:val="single" w:sz="8" w:color="auto"/>
              <w:right w:val="single" w:sz="8" w:color="auto"/>
            </w:tcBorders>
            <w:shd w:val="clear" w:color="auto" w:fill="262626"/>
          </w:tcPr>
          <w:p>
            <w:pPr>
              <w:spacing w:after="0"/>
              <w:rPr>
                <w:sz w:val="17"/>
                <w:szCs w:val="17"/>
                <w:color w:val="auto"/>
              </w:rPr>
            </w:pPr>
          </w:p>
        </w:tc>
        <w:tc>
          <w:tcPr>
            <w:tcW w:w="8820" w:type="dxa"/>
            <w:vAlign w:val="bottom"/>
            <w:tcBorders>
              <w:right w:val="single" w:sz="8" w:color="auto"/>
            </w:tcBorders>
            <w:shd w:val="clear" w:color="auto" w:fill="262626"/>
          </w:tcPr>
          <w:p>
            <w:pPr>
              <w:ind w:left="300"/>
              <w:spacing w:after="0" w:line="201" w:lineRule="exact"/>
              <w:rPr>
                <w:sz w:val="20"/>
                <w:szCs w:val="20"/>
                <w:color w:val="auto"/>
              </w:rPr>
            </w:pPr>
            <w:r>
              <w:rPr>
                <w:rFonts w:ascii="Arial" w:cs="Arial" w:eastAsia="Arial" w:hAnsi="Arial"/>
                <w:sz w:val="18"/>
                <w:szCs w:val="18"/>
                <w:color w:val="FFFFFF"/>
              </w:rPr>
              <w:t>Interests representing our common shares which are held in the name of Computershare Company</w:t>
            </w:r>
          </w:p>
        </w:tc>
      </w:tr>
      <w:tr>
        <w:trPr>
          <w:trHeight w:val="235"/>
        </w:trPr>
        <w:tc>
          <w:tcPr>
            <w:tcW w:w="2120" w:type="dxa"/>
            <w:vAlign w:val="bottom"/>
            <w:tcBorders>
              <w:left w:val="single" w:sz="8" w:color="auto"/>
              <w:right w:val="single" w:sz="8" w:color="auto"/>
            </w:tcBorders>
            <w:shd w:val="clear" w:color="auto" w:fill="262626"/>
          </w:tcPr>
          <w:p>
            <w:pPr>
              <w:spacing w:after="0"/>
              <w:rPr>
                <w:sz w:val="20"/>
                <w:szCs w:val="20"/>
                <w:color w:val="auto"/>
              </w:rPr>
            </w:pPr>
          </w:p>
        </w:tc>
        <w:tc>
          <w:tcPr>
            <w:tcW w:w="8820" w:type="dxa"/>
            <w:vAlign w:val="bottom"/>
            <w:tcBorders>
              <w:right w:val="single" w:sz="8" w:color="auto"/>
            </w:tcBorders>
            <w:shd w:val="clear" w:color="auto" w:fill="262626"/>
          </w:tcPr>
          <w:p>
            <w:pPr>
              <w:ind w:left="300"/>
              <w:spacing w:after="0"/>
              <w:rPr>
                <w:sz w:val="20"/>
                <w:szCs w:val="20"/>
                <w:color w:val="auto"/>
              </w:rPr>
            </w:pPr>
            <w:r>
              <w:rPr>
                <w:rFonts w:ascii="Arial" w:cs="Arial" w:eastAsia="Arial" w:hAnsi="Arial"/>
                <w:sz w:val="18"/>
                <w:szCs w:val="18"/>
                <w:color w:val="FFFFFF"/>
              </w:rPr>
              <w:t>Nominees Limited as nominee and custodian.</w:t>
            </w:r>
          </w:p>
        </w:tc>
      </w:tr>
      <w:tr>
        <w:trPr>
          <w:trHeight w:val="321"/>
        </w:trPr>
        <w:tc>
          <w:tcPr>
            <w:tcW w:w="2120" w:type="dxa"/>
            <w:vAlign w:val="bottom"/>
            <w:tcBorders>
              <w:left w:val="single" w:sz="8" w:color="auto"/>
              <w:right w:val="single" w:sz="8" w:color="auto"/>
            </w:tcBorders>
            <w:shd w:val="clear" w:color="auto" w:fill="262626"/>
          </w:tcPr>
          <w:p>
            <w:pPr>
              <w:spacing w:after="0"/>
              <w:rPr>
                <w:sz w:val="24"/>
                <w:szCs w:val="24"/>
                <w:color w:val="auto"/>
              </w:rPr>
            </w:pPr>
          </w:p>
        </w:tc>
        <w:tc>
          <w:tcPr>
            <w:tcW w:w="8820" w:type="dxa"/>
            <w:vAlign w:val="bottom"/>
            <w:tcBorders>
              <w:right w:val="single" w:sz="8" w:color="auto"/>
            </w:tcBorders>
            <w:shd w:val="clear" w:color="auto" w:fill="262626"/>
          </w:tcPr>
          <w:p>
            <w:pPr>
              <w:ind w:left="300"/>
              <w:spacing w:after="0"/>
              <w:rPr>
                <w:sz w:val="20"/>
                <w:szCs w:val="20"/>
                <w:color w:val="auto"/>
              </w:rPr>
            </w:pPr>
            <w:r>
              <w:rPr>
                <w:rFonts w:ascii="Arial" w:cs="Arial" w:eastAsia="Arial" w:hAnsi="Arial"/>
                <w:sz w:val="18"/>
                <w:szCs w:val="18"/>
                <w:color w:val="FFFFFF"/>
              </w:rPr>
              <w:t>Non-registered shareholders are sometimes referred to as “beneficial owners”.</w:t>
            </w:r>
          </w:p>
        </w:tc>
      </w:tr>
      <w:tr>
        <w:trPr>
          <w:trHeight w:val="118"/>
        </w:trPr>
        <w:tc>
          <w:tcPr>
            <w:tcW w:w="2120" w:type="dxa"/>
            <w:vAlign w:val="bottom"/>
            <w:tcBorders>
              <w:left w:val="single" w:sz="8" w:color="auto"/>
              <w:right w:val="single" w:sz="8" w:color="auto"/>
            </w:tcBorders>
            <w:shd w:val="clear" w:color="auto" w:fill="262626"/>
          </w:tcPr>
          <w:p>
            <w:pPr>
              <w:spacing w:after="0"/>
              <w:rPr>
                <w:sz w:val="10"/>
                <w:szCs w:val="10"/>
                <w:color w:val="auto"/>
              </w:rPr>
            </w:pPr>
          </w:p>
        </w:tc>
        <w:tc>
          <w:tcPr>
            <w:tcW w:w="8820" w:type="dxa"/>
            <w:vAlign w:val="bottom"/>
            <w:tcBorders>
              <w:right w:val="single" w:sz="8" w:color="auto"/>
            </w:tcBorders>
            <w:shd w:val="clear" w:color="auto" w:fill="262626"/>
          </w:tcPr>
          <w:p>
            <w:pPr>
              <w:spacing w:after="0"/>
              <w:rPr>
                <w:sz w:val="10"/>
                <w:szCs w:val="10"/>
                <w:color w:val="auto"/>
              </w:rPr>
            </w:pPr>
          </w:p>
        </w:tc>
      </w:tr>
      <w:tr>
        <w:trPr>
          <w:trHeight w:val="267"/>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vote by</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If you are a non-registered shareholder who receives a proxy form or voting instruction form (VIF),</w:t>
            </w:r>
          </w:p>
        </w:tc>
      </w:tr>
      <w:tr>
        <w:trPr>
          <w:trHeight w:val="209"/>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proxy before the meeting</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 xml:space="preserve">you should follow your intermediary’s instruction for completing the form. </w:t>
            </w:r>
            <w:r>
              <w:rPr>
                <w:rFonts w:ascii="Arial" w:cs="Arial" w:eastAsia="Arial" w:hAnsi="Arial"/>
                <w:sz w:val="18"/>
                <w:szCs w:val="18"/>
                <w:color w:val="auto"/>
              </w:rPr>
              <w:t>Holders of Depositary</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Interests will receive a voting form of instruction or direction from Computershare Investor Services PLC.</w:t>
            </w:r>
          </w:p>
        </w:tc>
      </w:tr>
      <w:tr>
        <w:trPr>
          <w:trHeight w:val="91"/>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260"/>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attend and</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If you are a non-registered shareholder and you wish to ask questions or vote at the meeting, you</w:t>
            </w:r>
          </w:p>
        </w:tc>
      </w:tr>
      <w:tr>
        <w:trPr>
          <w:trHeight w:val="254"/>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vote at the meeting</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should do one of the following:</w:t>
            </w:r>
          </w:p>
        </w:tc>
      </w:tr>
      <w:tr>
        <w:trPr>
          <w:trHeight w:val="27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 If you have received a proxy form from your intermediary, insert your own name in the blank space</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820"/>
              <w:spacing w:after="0" w:line="201" w:lineRule="exact"/>
              <w:rPr>
                <w:sz w:val="20"/>
                <w:szCs w:val="20"/>
                <w:color w:val="auto"/>
              </w:rPr>
            </w:pPr>
            <w:r>
              <w:rPr>
                <w:rFonts w:ascii="Arial" w:cs="Arial" w:eastAsia="Arial" w:hAnsi="Arial"/>
                <w:sz w:val="18"/>
                <w:szCs w:val="18"/>
                <w:color w:val="auto"/>
              </w:rPr>
              <w:t>provided on the proxy form to appoint yourself as proxyholder. If the intermediary has not signed the</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820"/>
              <w:spacing w:after="0" w:line="201" w:lineRule="exact"/>
              <w:rPr>
                <w:sz w:val="20"/>
                <w:szCs w:val="20"/>
                <w:color w:val="auto"/>
              </w:rPr>
            </w:pPr>
            <w:r>
              <w:rPr>
                <w:rFonts w:ascii="Arial" w:cs="Arial" w:eastAsia="Arial" w:hAnsi="Arial"/>
                <w:sz w:val="18"/>
                <w:szCs w:val="18"/>
                <w:color w:val="auto"/>
              </w:rPr>
              <w:t>proxy form, you must sign and date it. Follow your intermediary’s instructions for returning the proxy</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form; or</w:t>
            </w:r>
          </w:p>
        </w:tc>
      </w:tr>
      <w:tr>
        <w:trPr>
          <w:trHeight w:val="28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 If you have received a VIF from your intermediary, follow your intermediary’s instructions for</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completing the form.</w:t>
            </w:r>
          </w:p>
        </w:tc>
      </w:tr>
      <w:tr>
        <w:trPr>
          <w:trHeight w:val="321"/>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It is important that you comply with the signature and return instructions provided by your intermediary.</w:t>
            </w:r>
          </w:p>
        </w:tc>
      </w:tr>
      <w:tr>
        <w:trPr>
          <w:trHeight w:val="28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You will then need to register with representatives of Computershare Trust Company of Canada when you</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arrive at the meeting.</w:t>
            </w:r>
          </w:p>
        </w:tc>
      </w:tr>
      <w:tr>
        <w:trPr>
          <w:trHeight w:val="28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If you are a non-registered shareholder located in the United States and you wish to appoint</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b w:val="1"/>
                <w:bCs w:val="1"/>
                <w:color w:val="auto"/>
              </w:rPr>
              <w:t>yourself as a proxyholder, in addition to the steps above, you must first obtain a valid legal proxy</w:t>
            </w:r>
          </w:p>
        </w:tc>
      </w:tr>
      <w:tr>
        <w:trPr>
          <w:trHeight w:val="245"/>
        </w:trPr>
        <w:tc>
          <w:tcPr>
            <w:tcW w:w="2120" w:type="dxa"/>
            <w:vAlign w:val="bottom"/>
            <w:tcBorders>
              <w:left w:val="single" w:sz="8" w:color="auto"/>
              <w:right w:val="single" w:sz="8" w:color="auto"/>
            </w:tcBorders>
          </w:tcPr>
          <w:p>
            <w:pPr>
              <w:spacing w:after="0"/>
              <w:rPr>
                <w:sz w:val="21"/>
                <w:szCs w:val="21"/>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 xml:space="preserve">from your intermediary. </w:t>
            </w:r>
            <w:r>
              <w:rPr>
                <w:rFonts w:ascii="Arial" w:cs="Arial" w:eastAsia="Arial" w:hAnsi="Arial"/>
                <w:sz w:val="18"/>
                <w:szCs w:val="18"/>
                <w:color w:val="auto"/>
              </w:rPr>
              <w:t>To do so, please follow these additional steps:</w:t>
            </w:r>
          </w:p>
        </w:tc>
      </w:tr>
      <w:tr>
        <w:trPr>
          <w:trHeight w:val="27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1.     Follow the instructions from your intermediary included with the legal proxy form and the voting</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information form sent to you, or contact your intermediary to request a legal proxy form or a legal</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proxy if you have not received one.</w:t>
            </w:r>
          </w:p>
        </w:tc>
      </w:tr>
      <w:tr>
        <w:trPr>
          <w:trHeight w:val="28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2.    After you receive a valid legal proxy from your intermediary, you must then submit the legal proxy</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w w:val="99"/>
              </w:rPr>
              <w:t>to Computershare Trust Company of Canada. You can send the legal proxy by e-mail or by courier</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335367"/>
              </w:rPr>
              <w:t>uslegalproxy@computershare.com</w:t>
            </w:r>
            <w:r>
              <w:rPr>
                <w:rFonts w:ascii="Arial" w:cs="Arial" w:eastAsia="Arial" w:hAnsi="Arial"/>
                <w:sz w:val="18"/>
                <w:szCs w:val="18"/>
                <w:color w:val="auto"/>
              </w:rPr>
              <w:t xml:space="preserve"> (if by e-mail), or Computershare Trust Company of</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Canada, Attention: Proxy Dept., 8th Floor, 100 University Avenue, Toronto, Ontario M5J 2Y1,</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Canada (if by courier). The legal proxy in both cases must be labeled “Legal Proxy” and received</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b w:val="1"/>
                <w:bCs w:val="1"/>
                <w:color w:val="auto"/>
              </w:rPr>
              <w:t>no later than the voting deadline of 5:00 p.m. (Eastern Daylight Time) on Monday, June 3,</w:t>
            </w:r>
          </w:p>
        </w:tc>
      </w:tr>
      <w:tr>
        <w:trPr>
          <w:trHeight w:val="245"/>
        </w:trPr>
        <w:tc>
          <w:tcPr>
            <w:tcW w:w="2120" w:type="dxa"/>
            <w:vAlign w:val="bottom"/>
            <w:tcBorders>
              <w:left w:val="single" w:sz="8" w:color="auto"/>
              <w:right w:val="single" w:sz="8" w:color="auto"/>
            </w:tcBorders>
          </w:tcPr>
          <w:p>
            <w:pPr>
              <w:spacing w:after="0"/>
              <w:rPr>
                <w:sz w:val="21"/>
                <w:szCs w:val="21"/>
                <w:color w:val="auto"/>
              </w:rPr>
            </w:pPr>
          </w:p>
        </w:tc>
        <w:tc>
          <w:tcPr>
            <w:tcW w:w="8820" w:type="dxa"/>
            <w:vAlign w:val="bottom"/>
            <w:tcBorders>
              <w:right w:val="single" w:sz="8" w:color="auto"/>
            </w:tcBorders>
          </w:tcPr>
          <w:p>
            <w:pPr>
              <w:ind w:left="1000"/>
              <w:spacing w:after="0"/>
              <w:rPr>
                <w:sz w:val="20"/>
                <w:szCs w:val="20"/>
                <w:color w:val="auto"/>
              </w:rPr>
            </w:pPr>
            <w:r>
              <w:rPr>
                <w:rFonts w:ascii="Arial" w:cs="Arial" w:eastAsia="Arial" w:hAnsi="Arial"/>
                <w:sz w:val="18"/>
                <w:szCs w:val="18"/>
                <w:b w:val="1"/>
                <w:bCs w:val="1"/>
                <w:color w:val="auto"/>
              </w:rPr>
              <w:t>2024</w:t>
            </w:r>
            <w:r>
              <w:rPr>
                <w:rFonts w:ascii="Arial" w:cs="Arial" w:eastAsia="Arial" w:hAnsi="Arial"/>
                <w:sz w:val="18"/>
                <w:szCs w:val="18"/>
                <w:color w:val="auto"/>
              </w:rPr>
              <w:t>.</w:t>
            </w:r>
          </w:p>
        </w:tc>
      </w:tr>
      <w:tr>
        <w:trPr>
          <w:trHeight w:val="175"/>
        </w:trPr>
        <w:tc>
          <w:tcPr>
            <w:tcW w:w="2120" w:type="dxa"/>
            <w:vAlign w:val="bottom"/>
            <w:tcBorders>
              <w:left w:val="single" w:sz="8" w:color="auto"/>
              <w:bottom w:val="single" w:sz="8" w:color="auto"/>
              <w:right w:val="single" w:sz="8" w:color="auto"/>
            </w:tcBorders>
          </w:tcPr>
          <w:p>
            <w:pPr>
              <w:spacing w:after="0"/>
              <w:rPr>
                <w:sz w:val="15"/>
                <w:szCs w:val="15"/>
                <w:color w:val="auto"/>
              </w:rPr>
            </w:pPr>
          </w:p>
        </w:tc>
        <w:tc>
          <w:tcPr>
            <w:tcW w:w="8820" w:type="dxa"/>
            <w:vAlign w:val="bottom"/>
            <w:tcBorders>
              <w:bottom w:val="single" w:sz="8" w:color="auto"/>
              <w:right w:val="single" w:sz="8" w:color="auto"/>
            </w:tcBorders>
          </w:tcPr>
          <w:p>
            <w:pPr>
              <w:spacing w:after="0"/>
              <w:rPr>
                <w:sz w:val="15"/>
                <w:szCs w:val="15"/>
                <w:color w:val="auto"/>
              </w:rPr>
            </w:pPr>
          </w:p>
        </w:tc>
      </w:tr>
      <w:tr>
        <w:trPr>
          <w:trHeight w:val="260"/>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appoint a</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You may appoint another person (other than our directors who are named on your voting</w:t>
            </w:r>
          </w:p>
        </w:tc>
      </w:tr>
      <w:tr>
        <w:trPr>
          <w:trHeight w:val="188"/>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third party as proxy to</w:t>
            </w:r>
          </w:p>
        </w:tc>
        <w:tc>
          <w:tcPr>
            <w:tcW w:w="8820" w:type="dxa"/>
            <w:vAlign w:val="bottom"/>
            <w:tcBorders>
              <w:right w:val="single" w:sz="8" w:color="auto"/>
            </w:tcBorders>
          </w:tcPr>
          <w:p>
            <w:pPr>
              <w:ind w:left="300"/>
              <w:spacing w:after="0" w:line="188" w:lineRule="exact"/>
              <w:rPr>
                <w:sz w:val="20"/>
                <w:szCs w:val="20"/>
                <w:color w:val="auto"/>
              </w:rPr>
            </w:pPr>
            <w:r>
              <w:rPr>
                <w:rFonts w:ascii="Arial" w:cs="Arial" w:eastAsia="Arial" w:hAnsi="Arial"/>
                <w:sz w:val="18"/>
                <w:szCs w:val="18"/>
                <w:b w:val="1"/>
                <w:bCs w:val="1"/>
                <w:color w:val="auto"/>
              </w:rPr>
              <w:t>instruction form) to attend the meeting on your behalf and vote your shares as your proxyholder.</w:t>
            </w:r>
          </w:p>
        </w:tc>
      </w:tr>
      <w:tr>
        <w:trPr>
          <w:trHeight w:val="201"/>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attend and vote at the</w:t>
            </w:r>
          </w:p>
        </w:tc>
        <w:tc>
          <w:tcPr>
            <w:tcW w:w="882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color w:val="auto"/>
              </w:rPr>
              <w:t>You may choose anyone to be your proxyholder – the person does not have to be another shareholder. To</w:t>
            </w:r>
          </w:p>
        </w:tc>
      </w:tr>
      <w:tr>
        <w:trPr>
          <w:trHeight w:val="257"/>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meeting</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do so, please follow these steps:</w:t>
            </w:r>
          </w:p>
        </w:tc>
      </w:tr>
      <w:tr>
        <w:trPr>
          <w:trHeight w:val="28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1.</w:t>
            </w:r>
            <w:r>
              <w:rPr>
                <w:rFonts w:ascii="Arial" w:cs="Arial" w:eastAsia="Arial" w:hAnsi="Arial"/>
                <w:sz w:val="18"/>
                <w:szCs w:val="18"/>
                <w:b w:val="1"/>
                <w:bCs w:val="1"/>
                <w:color w:val="auto"/>
                <w:w w:val="99"/>
              </w:rPr>
              <w:t xml:space="preserve">     Appoint the Proxyholder</w:t>
            </w:r>
            <w:r>
              <w:rPr>
                <w:rFonts w:ascii="Arial" w:cs="Arial" w:eastAsia="Arial" w:hAnsi="Arial"/>
                <w:sz w:val="18"/>
                <w:szCs w:val="18"/>
                <w:color w:val="auto"/>
                <w:w w:val="99"/>
              </w:rPr>
              <w:t xml:space="preserve"> – If you are a non-registered shareholder who receives a proxy form or</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voting instruction form (VIF), you should follow your intermediary’s instruction for completing the</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form. Holders of Depositary Interests will receive a voting form of instruction or direction from</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Computershare Investor Services PLC.</w:t>
            </w:r>
          </w:p>
        </w:tc>
      </w:tr>
      <w:tr>
        <w:trPr>
          <w:trHeight w:val="28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2.</w:t>
            </w:r>
            <w:r>
              <w:rPr>
                <w:rFonts w:ascii="Arial" w:cs="Arial" w:eastAsia="Arial" w:hAnsi="Arial"/>
                <w:sz w:val="18"/>
                <w:szCs w:val="18"/>
                <w:b w:val="1"/>
                <w:bCs w:val="1"/>
                <w:color w:val="auto"/>
                <w:w w:val="99"/>
              </w:rPr>
              <w:t xml:space="preserve">    Proxyholder Registration</w:t>
            </w:r>
            <w:r>
              <w:rPr>
                <w:rFonts w:ascii="Arial" w:cs="Arial" w:eastAsia="Arial" w:hAnsi="Arial"/>
                <w:sz w:val="18"/>
                <w:szCs w:val="18"/>
                <w:color w:val="auto"/>
                <w:w w:val="99"/>
              </w:rPr>
              <w:t xml:space="preserve"> – The third-party proxyholder should then register with representatives</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of Computershare Trust Company of Canada when they arrive at the meeting.</w:t>
            </w:r>
          </w:p>
        </w:tc>
      </w:tr>
      <w:tr>
        <w:trPr>
          <w:trHeight w:val="118"/>
        </w:trPr>
        <w:tc>
          <w:tcPr>
            <w:tcW w:w="2120" w:type="dxa"/>
            <w:vAlign w:val="bottom"/>
            <w:tcBorders>
              <w:left w:val="single" w:sz="8" w:color="auto"/>
              <w:bottom w:val="single" w:sz="8" w:color="auto"/>
              <w:right w:val="single" w:sz="8" w:color="auto"/>
            </w:tcBorders>
          </w:tcPr>
          <w:p>
            <w:pPr>
              <w:spacing w:after="0"/>
              <w:rPr>
                <w:sz w:val="10"/>
                <w:szCs w:val="10"/>
                <w:color w:val="auto"/>
              </w:rPr>
            </w:pPr>
          </w:p>
        </w:tc>
        <w:tc>
          <w:tcPr>
            <w:tcW w:w="8820" w:type="dxa"/>
            <w:vAlign w:val="bottom"/>
            <w:tcBorders>
              <w:bottom w:val="single" w:sz="8" w:color="auto"/>
              <w:right w:val="single" w:sz="8" w:color="auto"/>
            </w:tcBorders>
          </w:tcPr>
          <w:p>
            <w:pPr>
              <w:spacing w:after="0"/>
              <w:rPr>
                <w:sz w:val="10"/>
                <w:szCs w:val="10"/>
                <w:color w:val="auto"/>
              </w:rPr>
            </w:pPr>
          </w:p>
        </w:tc>
      </w:tr>
      <w:tr>
        <w:trPr>
          <w:trHeight w:val="227"/>
        </w:trPr>
        <w:tc>
          <w:tcPr>
            <w:tcW w:w="2120" w:type="dxa"/>
            <w:vAlign w:val="bottom"/>
            <w:tcBorders>
              <w:bottom w:val="single" w:sz="8" w:color="B94831"/>
            </w:tcBorders>
          </w:tcPr>
          <w:p>
            <w:pPr>
              <w:spacing w:after="0"/>
              <w:rPr>
                <w:sz w:val="19"/>
                <w:szCs w:val="19"/>
                <w:color w:val="auto"/>
              </w:rPr>
            </w:pPr>
          </w:p>
        </w:tc>
        <w:tc>
          <w:tcPr>
            <w:tcW w:w="8820" w:type="dxa"/>
            <w:vAlign w:val="bottom"/>
            <w:tcBorders>
              <w:bottom w:val="single" w:sz="8" w:color="B94831"/>
            </w:tcBorders>
          </w:tcPr>
          <w:p>
            <w:pPr>
              <w:spacing w:after="0"/>
              <w:rPr>
                <w:sz w:val="19"/>
                <w:szCs w:val="19"/>
                <w:color w:val="auto"/>
              </w:rPr>
            </w:pPr>
          </w:p>
        </w:tc>
      </w:tr>
    </w:tbl>
    <w:p>
      <w:pPr>
        <w:spacing w:after="0" w:line="10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10   Management Proxy Circular and Notice of Annual Meeting of Shareholders</w:t>
      </w:r>
    </w:p>
    <w:p>
      <w:pPr>
        <w:sectPr>
          <w:pgSz w:w="11900" w:h="16838" w:orient="portrait"/>
          <w:cols w:equalWidth="0" w:num="1">
            <w:col w:w="11100"/>
          </w:cols>
          <w:pgMar w:left="320" w:top="454"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70" w:type="dxa"/>
        <w:tblCellMar>
          <w:top w:w="0" w:type="dxa"/>
          <w:left w:w="0" w:type="dxa"/>
          <w:bottom w:w="0" w:type="dxa"/>
          <w:right w:w="0" w:type="dxa"/>
        </w:tblCellMar>
      </w:tblPr>
      <w:tr>
        <w:trPr>
          <w:trHeight w:val="315"/>
        </w:trPr>
        <w:tc>
          <w:tcPr>
            <w:tcW w:w="2120" w:type="dxa"/>
            <w:vAlign w:val="bottom"/>
            <w:tcBorders>
              <w:top w:val="single" w:sz="8" w:color="auto"/>
              <w:left w:val="single" w:sz="8" w:color="auto"/>
              <w:right w:val="single" w:sz="8" w:color="auto"/>
            </w:tcBorders>
          </w:tcPr>
          <w:p>
            <w:pPr>
              <w:spacing w:after="0"/>
              <w:rPr>
                <w:sz w:val="24"/>
                <w:szCs w:val="24"/>
                <w:color w:val="auto"/>
              </w:rPr>
            </w:pPr>
          </w:p>
        </w:tc>
        <w:tc>
          <w:tcPr>
            <w:tcW w:w="88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If you are a non-registered shareholder located in the United States and you wish to appoint a third</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b w:val="1"/>
                <w:bCs w:val="1"/>
                <w:color w:val="auto"/>
                <w:w w:val="99"/>
              </w:rPr>
              <w:t>party as a proxyholder, in addition to the steps above, you must first obtain a valid legal proxy from</w:t>
            </w:r>
          </w:p>
        </w:tc>
      </w:tr>
      <w:tr>
        <w:trPr>
          <w:trHeight w:val="245"/>
        </w:trPr>
        <w:tc>
          <w:tcPr>
            <w:tcW w:w="2120" w:type="dxa"/>
            <w:vAlign w:val="bottom"/>
            <w:tcBorders>
              <w:left w:val="single" w:sz="8" w:color="auto"/>
              <w:right w:val="single" w:sz="8" w:color="auto"/>
            </w:tcBorders>
          </w:tcPr>
          <w:p>
            <w:pPr>
              <w:spacing w:after="0"/>
              <w:rPr>
                <w:sz w:val="21"/>
                <w:szCs w:val="21"/>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 xml:space="preserve">your intermediary. </w:t>
            </w:r>
            <w:r>
              <w:rPr>
                <w:rFonts w:ascii="Arial" w:cs="Arial" w:eastAsia="Arial" w:hAnsi="Arial"/>
                <w:sz w:val="18"/>
                <w:szCs w:val="18"/>
                <w:color w:val="auto"/>
              </w:rPr>
              <w:t>To do so, please follow these additional steps:</w:t>
            </w:r>
          </w:p>
        </w:tc>
      </w:tr>
      <w:tr>
        <w:trPr>
          <w:trHeight w:val="276"/>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1.     Follow the instructions from your intermediary included with the legal proxy form and the voting</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information form sent to you, or contact your intermediary to request a legal proxy form or a legal</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proxy if you have not received one.</w:t>
            </w:r>
          </w:p>
        </w:tc>
      </w:tr>
      <w:tr>
        <w:trPr>
          <w:trHeight w:val="420"/>
        </w:trPr>
        <w:tc>
          <w:tcPr>
            <w:tcW w:w="2120" w:type="dxa"/>
            <w:vAlign w:val="bottom"/>
            <w:tcBorders>
              <w:left w:val="single" w:sz="8" w:color="auto"/>
              <w:right w:val="single" w:sz="8" w:color="auto"/>
            </w:tcBorders>
          </w:tcPr>
          <w:p>
            <w:pPr>
              <w:spacing w:after="0"/>
              <w:rPr>
                <w:sz w:val="24"/>
                <w:szCs w:val="24"/>
                <w:color w:val="auto"/>
              </w:rPr>
            </w:pPr>
          </w:p>
        </w:tc>
        <w:tc>
          <w:tcPr>
            <w:tcW w:w="882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2.    After you receive a valid legal proxy from your intermediary, you must then submit the legal proxy</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w w:val="99"/>
              </w:rPr>
              <w:t>to Computershare Trust Company of Canada. You can send the legal proxy by e-mail or by courier</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335367"/>
              </w:rPr>
              <w:t>uslegalproxy@computershare.com</w:t>
            </w:r>
            <w:r>
              <w:rPr>
                <w:rFonts w:ascii="Arial" w:cs="Arial" w:eastAsia="Arial" w:hAnsi="Arial"/>
                <w:sz w:val="18"/>
                <w:szCs w:val="18"/>
                <w:color w:val="auto"/>
              </w:rPr>
              <w:t xml:space="preserve"> (if by e-mail), or Computershare Trust Company of</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Canada, Attention: Proxy Dept., 8th Floor, 100 University Avenue, Toronto, Ontario M5J 2Y1,</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color w:val="auto"/>
              </w:rPr>
              <w:t>Canada (if by courier). The legal proxy in both cases must be labeled “Legal Proxy” and received</w:t>
            </w:r>
          </w:p>
        </w:tc>
      </w:tr>
      <w:tr>
        <w:trPr>
          <w:trHeight w:val="201"/>
        </w:trPr>
        <w:tc>
          <w:tcPr>
            <w:tcW w:w="21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tcPr>
          <w:p>
            <w:pPr>
              <w:ind w:left="1000"/>
              <w:spacing w:after="0" w:line="201" w:lineRule="exact"/>
              <w:rPr>
                <w:sz w:val="20"/>
                <w:szCs w:val="20"/>
                <w:color w:val="auto"/>
              </w:rPr>
            </w:pPr>
            <w:r>
              <w:rPr>
                <w:rFonts w:ascii="Arial" w:cs="Arial" w:eastAsia="Arial" w:hAnsi="Arial"/>
                <w:sz w:val="18"/>
                <w:szCs w:val="18"/>
                <w:b w:val="1"/>
                <w:bCs w:val="1"/>
                <w:color w:val="auto"/>
              </w:rPr>
              <w:t>no later than the voting deadline of 5:00 p.m. (Eastern Daylight Time) on Monday, June 3,</w:t>
            </w:r>
          </w:p>
        </w:tc>
      </w:tr>
      <w:tr>
        <w:trPr>
          <w:trHeight w:val="233"/>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882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2024</w:t>
            </w:r>
            <w:r>
              <w:rPr>
                <w:rFonts w:ascii="Arial" w:cs="Arial" w:eastAsia="Arial" w:hAnsi="Arial"/>
                <w:sz w:val="18"/>
                <w:szCs w:val="18"/>
                <w:color w:val="auto"/>
              </w:rPr>
              <w:t>.</w:t>
            </w:r>
          </w:p>
        </w:tc>
      </w:tr>
      <w:tr>
        <w:trPr>
          <w:trHeight w:val="260"/>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attend the</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Guests, including non-registered shareholders who have not duly appointed themselves as proxyholders,</w:t>
            </w:r>
          </w:p>
        </w:tc>
      </w:tr>
      <w:tr>
        <w:trPr>
          <w:trHeight w:val="244"/>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meeting as a guest</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may attend but are not able to submit or ask questions or vote at the meeting.</w:t>
            </w:r>
          </w:p>
        </w:tc>
      </w:tr>
      <w:tr>
        <w:trPr>
          <w:trHeight w:val="91"/>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r>
        <w:trPr>
          <w:trHeight w:val="260"/>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Deadline for returning</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Please check your voting instruction form for the specific deadline. Your intermediary will need your voting</w:t>
            </w:r>
          </w:p>
        </w:tc>
      </w:tr>
      <w:tr>
        <w:trPr>
          <w:trHeight w:val="209"/>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your form</w:t>
            </w: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instructions sufficiently in advance of the proxy deadline to enable your intermediary to act on your</w:t>
            </w:r>
          </w:p>
        </w:tc>
      </w:tr>
      <w:tr>
        <w:trPr>
          <w:trHeight w:val="235"/>
        </w:trPr>
        <w:tc>
          <w:tcPr>
            <w:tcW w:w="2120" w:type="dxa"/>
            <w:vAlign w:val="bottom"/>
            <w:tcBorders>
              <w:left w:val="single" w:sz="8" w:color="auto"/>
              <w:right w:val="single" w:sz="8" w:color="auto"/>
            </w:tcBorders>
          </w:tcPr>
          <w:p>
            <w:pPr>
              <w:spacing w:after="0"/>
              <w:rPr>
                <w:sz w:val="20"/>
                <w:szCs w:val="20"/>
                <w:color w:val="auto"/>
              </w:rPr>
            </w:pPr>
          </w:p>
        </w:tc>
        <w:tc>
          <w:tcPr>
            <w:tcW w:w="88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instructions prior to the deadline.</w:t>
            </w:r>
          </w:p>
        </w:tc>
      </w:tr>
      <w:tr>
        <w:trPr>
          <w:trHeight w:val="91"/>
        </w:trPr>
        <w:tc>
          <w:tcPr>
            <w:tcW w:w="2120" w:type="dxa"/>
            <w:vAlign w:val="bottom"/>
            <w:tcBorders>
              <w:left w:val="single" w:sz="8" w:color="auto"/>
              <w:bottom w:val="single" w:sz="8" w:color="auto"/>
              <w:right w:val="single" w:sz="8" w:color="auto"/>
            </w:tcBorders>
          </w:tcPr>
          <w:p>
            <w:pPr>
              <w:spacing w:after="0"/>
              <w:rPr>
                <w:sz w:val="7"/>
                <w:szCs w:val="7"/>
                <w:color w:val="auto"/>
              </w:rPr>
            </w:pPr>
          </w:p>
        </w:tc>
        <w:tc>
          <w:tcPr>
            <w:tcW w:w="8820" w:type="dxa"/>
            <w:vAlign w:val="bottom"/>
            <w:tcBorders>
              <w:bottom w:val="single" w:sz="8" w:color="auto"/>
              <w:right w:val="single" w:sz="8" w:color="auto"/>
            </w:tcBorders>
          </w:tcPr>
          <w:p>
            <w:pPr>
              <w:spacing w:after="0"/>
              <w:rPr>
                <w:sz w:val="7"/>
                <w:szCs w:val="7"/>
                <w:color w:val="auto"/>
              </w:rPr>
            </w:pP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How do I submit or ask questions during the meeting?</w:t>
      </w:r>
    </w:p>
    <w:p>
      <w:pPr>
        <w:spacing w:after="0" w:line="51" w:lineRule="exact"/>
        <w:rPr>
          <w:sz w:val="20"/>
          <w:szCs w:val="20"/>
          <w:color w:val="auto"/>
        </w:rPr>
      </w:pPr>
    </w:p>
    <w:p>
      <w:pPr>
        <w:ind w:left="160" w:right="420"/>
        <w:spacing w:after="0" w:line="243" w:lineRule="auto"/>
        <w:rPr>
          <w:sz w:val="20"/>
          <w:szCs w:val="20"/>
          <w:color w:val="auto"/>
        </w:rPr>
      </w:pPr>
      <w:r>
        <w:rPr>
          <w:rFonts w:ascii="Arial" w:cs="Arial" w:eastAsia="Arial" w:hAnsi="Arial"/>
          <w:sz w:val="18"/>
          <w:szCs w:val="18"/>
          <w:color w:val="auto"/>
        </w:rPr>
        <w:t xml:space="preserve">At the annual meeting, shareholders in attendance will be provided with an opportunity to ask questions to our Board, CEO, CFO and other members of senior management in attendance. If you are a shareholder who is viewing the meeting by webcast or is unable to attend this year’s meeting in person but have a question, you may e-mail your question to </w:t>
      </w:r>
      <w:r>
        <w:rPr>
          <w:rFonts w:ascii="Arial" w:cs="Arial" w:eastAsia="Arial" w:hAnsi="Arial"/>
          <w:sz w:val="18"/>
          <w:szCs w:val="18"/>
          <w:b w:val="1"/>
          <w:bCs w:val="1"/>
          <w:color w:val="auto"/>
        </w:rPr>
        <w:t>investor.relations@thomsonreuters.com</w:t>
      </w:r>
      <w:r>
        <w:rPr>
          <w:rFonts w:ascii="Arial" w:cs="Arial" w:eastAsia="Arial" w:hAnsi="Arial"/>
          <w:sz w:val="18"/>
          <w:szCs w:val="18"/>
          <w:color w:val="auto"/>
        </w:rPr>
        <w:t xml:space="preserve"> prior to the meeting.</w:t>
      </w:r>
    </w:p>
    <w:p>
      <w:pPr>
        <w:spacing w:after="0" w:line="7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Other Questions and Answers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Can I vote my shares by filling out and returning the notice?</w:t>
      </w:r>
    </w:p>
    <w:p>
      <w:pPr>
        <w:spacing w:after="0" w:line="3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No. The notice sets forth the items to be voted on at the meeting, but you cannot vote by marking the notice and returning it. The notice provides instructions on how to vote.</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What’s the deadline for receiving my proxy or voting instructions?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you are a registered shareholder, your proxy must be received by 5:00 p.m. (Eastern Daylight Time) on Monday, June 3, 2024.</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Non-registered shareholders may be subject to earlier deadlines as specified in their proxy or voting instructions.</w:t>
      </w:r>
    </w:p>
    <w:p>
      <w:pPr>
        <w:spacing w:after="0" w:line="101"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color w:val="auto"/>
        </w:rPr>
        <w:t>If the meeting is adjourned or postponed, the proxy cut-off deadline will be no later than 48 hours (excluding Saturdays, Sundays and holidays) before any adjourned or postponed meeting.</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How will my shares be voted if I appoint a proxyholder?</w:t>
      </w:r>
    </w:p>
    <w:p>
      <w:pPr>
        <w:spacing w:after="0" w:line="51" w:lineRule="exact"/>
        <w:rPr>
          <w:sz w:val="20"/>
          <w:szCs w:val="20"/>
          <w:color w:val="auto"/>
        </w:rPr>
      </w:pPr>
    </w:p>
    <w:p>
      <w:pPr>
        <w:ind w:left="160" w:right="160"/>
        <w:spacing w:after="0" w:line="257" w:lineRule="auto"/>
        <w:rPr>
          <w:sz w:val="20"/>
          <w:szCs w:val="20"/>
          <w:color w:val="auto"/>
        </w:rPr>
      </w:pPr>
      <w:r>
        <w:rPr>
          <w:rFonts w:ascii="Arial" w:cs="Arial" w:eastAsia="Arial" w:hAnsi="Arial"/>
          <w:sz w:val="17"/>
          <w:szCs w:val="17"/>
          <w:color w:val="auto"/>
        </w:rPr>
        <w:t>Your proxyholder must vote your shares on each matter according to your instructions if you have properly completed and returned a proxy form. If you have not specified how to vote on a particular matter, then your proxyholder can vote your shares as he or she sees fit.</w:t>
      </w:r>
    </w:p>
    <w:p>
      <w:pPr>
        <w:spacing w:after="0" w:line="1" w:lineRule="exact"/>
        <w:rPr>
          <w:sz w:val="20"/>
          <w:szCs w:val="20"/>
          <w:color w:val="auto"/>
        </w:rPr>
      </w:pPr>
    </w:p>
    <w:p>
      <w:pPr>
        <w:ind w:left="160" w:right="100"/>
        <w:spacing w:after="0" w:line="244" w:lineRule="auto"/>
        <w:rPr>
          <w:sz w:val="20"/>
          <w:szCs w:val="20"/>
          <w:color w:val="auto"/>
        </w:rPr>
      </w:pPr>
      <w:r>
        <w:rPr>
          <w:rFonts w:ascii="Arial" w:cs="Arial" w:eastAsia="Arial" w:hAnsi="Arial"/>
          <w:sz w:val="18"/>
          <w:szCs w:val="18"/>
          <w:b w:val="1"/>
          <w:bCs w:val="1"/>
          <w:color w:val="auto"/>
        </w:rPr>
        <w:t>If you have appointed our directors named on your proxy form or voting instruction form as your proxyholder, and you have not specified how you want your shares to be voted, your shares will be voted FOR each of the items of business described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185420</wp:posOffset>
            </wp:positionV>
            <wp:extent cx="692975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80"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11</w:t>
      </w:r>
    </w:p>
    <w:p>
      <w:pPr>
        <w:sectPr>
          <w:pgSz w:w="11900" w:h="16838" w:orient="portrait"/>
          <w:cols w:equalWidth="0" w:num="1">
            <w:col w:w="11100"/>
          </w:cols>
          <w:pgMar w:left="320" w:top="454"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right="120"/>
        <w:spacing w:after="0" w:line="263" w:lineRule="auto"/>
        <w:rPr>
          <w:sz w:val="20"/>
          <w:szCs w:val="20"/>
          <w:color w:val="auto"/>
        </w:rPr>
      </w:pPr>
      <w:r>
        <w:rPr>
          <w:rFonts w:ascii="Arial" w:cs="Arial" w:eastAsia="Arial" w:hAnsi="Arial"/>
          <w:sz w:val="25"/>
          <w:szCs w:val="25"/>
          <w:color w:val="B94831"/>
        </w:rPr>
        <w:t>What happens if any amendments are properly made to the items of business to be considered or if other matters are properly brought before the meeting?</w:t>
      </w:r>
    </w:p>
    <w:p>
      <w:pPr>
        <w:spacing w:after="0" w:line="2"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Your proxyholder will have discretionary authority to vote your shares as he or she sees fit. As of the date of this circular, management knows of no such amendment, variation or other matter expected to come before the meeting.</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If I change my mind, how do I revoke my proxy or voting instructions?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Non-registered shareholders</w:t>
      </w:r>
    </w:p>
    <w:p>
      <w:pPr>
        <w:spacing w:after="0" w:line="38" w:lineRule="exact"/>
        <w:rPr>
          <w:sz w:val="20"/>
          <w:szCs w:val="20"/>
          <w:color w:val="auto"/>
        </w:rPr>
      </w:pPr>
    </w:p>
    <w:p>
      <w:pPr>
        <w:ind w:left="160" w:right="100"/>
        <w:spacing w:after="0" w:line="259" w:lineRule="auto"/>
        <w:rPr>
          <w:sz w:val="20"/>
          <w:szCs w:val="20"/>
          <w:color w:val="auto"/>
        </w:rPr>
      </w:pPr>
      <w:r>
        <w:rPr>
          <w:rFonts w:ascii="Arial" w:cs="Arial" w:eastAsia="Arial" w:hAnsi="Arial"/>
          <w:sz w:val="17"/>
          <w:szCs w:val="17"/>
          <w:color w:val="auto"/>
        </w:rPr>
        <w:t>You may revoke your proxy by sending written notice to your intermediary, so long as the intermediary receives your notice at least seven days before the meeting (or as otherwise instructed by your intermediary). This gives your intermediary time to submit the revocation to Computershare Trust Company of Canada. If your revocation is not received in time, your intermediary is not required to act on it.</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Registered shareholders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You may revoke your proxy or voting instructions in any of the following ways:</w:t>
      </w:r>
    </w:p>
    <w:p>
      <w:pPr>
        <w:sectPr>
          <w:pgSz w:w="11900" w:h="16838" w:orient="portrait"/>
          <w:cols w:equalWidth="0" w:num="1">
            <w:col w:w="11060"/>
          </w:cols>
          <w:pgMar w:left="320" w:top="454" w:right="519" w:bottom="1440" w:gutter="0" w:footer="0" w:header="0"/>
        </w:sectPr>
      </w:pP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color w:val="auto"/>
        </w:rPr>
        <w:t>By completing and signing a proxy form with a later date than the proxy form you previously returned, and delivering it to Computershare Trust Company of Canada at any time before 5:00 p.m. (Eastern Daylight Time) on Monday, June 3, 2024. If the meeting is adjourned or postponed, the deadline will be no later than 48 hours before any adjourned or postponed meeting;</w:t>
      </w:r>
    </w:p>
    <w:p>
      <w:pPr>
        <w:spacing w:after="0" w:line="38"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By completing a written statement revoking your instructions, which is signed by you or your attorney authorized in writing, and delivering it:</w:t>
      </w:r>
    </w:p>
    <w:p>
      <w:pPr>
        <w:spacing w:after="0" w:line="24" w:lineRule="exact"/>
        <w:rPr>
          <w:sz w:val="20"/>
          <w:szCs w:val="20"/>
          <w:color w:val="auto"/>
        </w:rPr>
      </w:pPr>
    </w:p>
    <w:p>
      <w:pPr>
        <w:ind w:left="320" w:right="220" w:hanging="321"/>
        <w:spacing w:after="0" w:line="249" w:lineRule="auto"/>
        <w:rPr>
          <w:sz w:val="20"/>
          <w:szCs w:val="20"/>
          <w:color w:val="auto"/>
        </w:rPr>
      </w:pPr>
      <w:r>
        <w:rPr>
          <w:rFonts w:ascii="Arial" w:cs="Arial" w:eastAsia="Arial" w:hAnsi="Arial"/>
          <w:sz w:val="18"/>
          <w:szCs w:val="18"/>
          <w:color w:val="auto"/>
        </w:rPr>
        <w:t>— To the offices of Computershare Trust Company of Canada at any time before 5:00 p.m. (Eastern Daylight Time) on Tuesday, June 4, 2024. If the meeting is adjourned or postponed, the deadline will be no later than close of business on the business day immediately preceding any adjourned or postponed meeting; 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To the Chair of the meeting before the meeting starts; 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In any other manner permitted by law.</w:t>
      </w:r>
    </w:p>
    <w:p>
      <w:pPr>
        <w:spacing w:after="0" w:line="97" w:lineRule="exact"/>
        <w:rPr>
          <w:sz w:val="20"/>
          <w:szCs w:val="20"/>
          <w:color w:val="auto"/>
        </w:rPr>
      </w:pPr>
    </w:p>
    <w:p>
      <w:pPr>
        <w:sectPr>
          <w:pgSz w:w="11900" w:h="16838" w:orient="portrait"/>
          <w:cols w:equalWidth="0" w:num="2">
            <w:col w:w="180" w:space="300"/>
            <w:col w:w="10580"/>
          </w:cols>
          <w:pgMar w:left="320" w:top="454" w:right="519" w:bottom="1440" w:gutter="0" w:footer="0" w:header="0"/>
          <w:type w:val="continuous"/>
        </w:sectPr>
      </w:pPr>
    </w:p>
    <w:p>
      <w:pPr>
        <w:ind w:left="160"/>
        <w:spacing w:after="0"/>
        <w:rPr>
          <w:sz w:val="20"/>
          <w:szCs w:val="20"/>
          <w:color w:val="auto"/>
        </w:rPr>
      </w:pPr>
      <w:r>
        <w:rPr>
          <w:rFonts w:ascii="Arial" w:cs="Arial" w:eastAsia="Arial" w:hAnsi="Arial"/>
          <w:sz w:val="25"/>
          <w:szCs w:val="25"/>
          <w:color w:val="B94831"/>
        </w:rPr>
        <w:t>How can I contact Computershare Trust Company of Canada if I have questions?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You can contact Computershare Trust Company of Canada directly at the following numbers: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Arial" w:cs="Arial" w:eastAsia="Arial" w:hAnsi="Arial"/>
                <w:sz w:val="18"/>
                <w:szCs w:val="18"/>
                <w:color w:val="auto"/>
              </w:rPr>
              <w:t>Canada and the United States</w:t>
            </w:r>
          </w:p>
        </w:tc>
        <w:tc>
          <w:tcPr>
            <w:tcW w:w="2840" w:type="dxa"/>
            <w:vAlign w:val="bottom"/>
          </w:tcPr>
          <w:p>
            <w:pPr>
              <w:jc w:val="right"/>
              <w:spacing w:after="0"/>
              <w:rPr>
                <w:sz w:val="20"/>
                <w:szCs w:val="20"/>
                <w:color w:val="auto"/>
              </w:rPr>
            </w:pPr>
            <w:r>
              <w:rPr>
                <w:rFonts w:ascii="Arial" w:cs="Arial" w:eastAsia="Arial" w:hAnsi="Arial"/>
                <w:sz w:val="18"/>
                <w:szCs w:val="18"/>
                <w:color w:val="auto"/>
              </w:rPr>
              <w:t>1.800.564.6253</w:t>
            </w:r>
          </w:p>
        </w:tc>
      </w:tr>
      <w:tr>
        <w:trPr>
          <w:trHeight w:val="235"/>
        </w:trPr>
        <w:tc>
          <w:tcPr>
            <w:tcW w:w="4020" w:type="dxa"/>
            <w:vAlign w:val="bottom"/>
          </w:tcPr>
          <w:p>
            <w:pPr>
              <w:spacing w:after="0"/>
              <w:rPr>
                <w:sz w:val="20"/>
                <w:szCs w:val="20"/>
                <w:color w:val="auto"/>
              </w:rPr>
            </w:pPr>
            <w:r>
              <w:rPr>
                <w:rFonts w:ascii="Arial" w:cs="Arial" w:eastAsia="Arial" w:hAnsi="Arial"/>
                <w:sz w:val="18"/>
                <w:szCs w:val="18"/>
                <w:color w:val="auto"/>
              </w:rPr>
              <w:t>Other countries</w:t>
            </w:r>
          </w:p>
        </w:tc>
        <w:tc>
          <w:tcPr>
            <w:tcW w:w="2840" w:type="dxa"/>
            <w:vAlign w:val="bottom"/>
          </w:tcPr>
          <w:p>
            <w:pPr>
              <w:jc w:val="right"/>
              <w:spacing w:after="0"/>
              <w:rPr>
                <w:sz w:val="20"/>
                <w:szCs w:val="20"/>
                <w:color w:val="auto"/>
              </w:rPr>
            </w:pPr>
            <w:r>
              <w:rPr>
                <w:rFonts w:ascii="Arial" w:cs="Arial" w:eastAsia="Arial" w:hAnsi="Arial"/>
                <w:sz w:val="18"/>
                <w:szCs w:val="18"/>
                <w:color w:val="auto"/>
              </w:rPr>
              <w:t>1.514.982.7555</w:t>
            </w:r>
          </w:p>
        </w:tc>
      </w:tr>
    </w:tbl>
    <w:p>
      <w:pPr>
        <w:spacing w:after="0" w:line="69"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Who is soliciting my proxy and distributing proxy-related materials?</w:t>
      </w:r>
    </w:p>
    <w:p>
      <w:pPr>
        <w:spacing w:after="0" w:line="42" w:lineRule="exact"/>
        <w:rPr>
          <w:sz w:val="20"/>
          <w:szCs w:val="20"/>
          <w:color w:val="auto"/>
        </w:rPr>
      </w:pPr>
    </w:p>
    <w:p>
      <w:pPr>
        <w:ind w:left="160" w:right="80"/>
        <w:spacing w:after="0" w:line="241" w:lineRule="auto"/>
        <w:rPr>
          <w:sz w:val="20"/>
          <w:szCs w:val="20"/>
          <w:color w:val="auto"/>
        </w:rPr>
      </w:pPr>
      <w:r>
        <w:rPr>
          <w:rFonts w:ascii="Arial" w:cs="Arial" w:eastAsia="Arial" w:hAnsi="Arial"/>
          <w:sz w:val="18"/>
          <w:szCs w:val="18"/>
          <w:color w:val="auto"/>
        </w:rPr>
        <w:t>Thomson Reuters management and directors may solicit your proxy for use at the meeting and any adjourned or postponed meeting. Our management and directors may solicit proxies by mail and in person. We are paying all costs of solicitation. Intermediaries will distribute proxy-related materials directly to non-objecting beneficial owners on our behalf. We are paying for intermediaries to send proxy-related materials to both non-objecting beneficial owners and objecting beneficial owners.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Is my vote confidential?</w:t>
      </w:r>
    </w:p>
    <w:p>
      <w:pPr>
        <w:spacing w:after="0" w:line="5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Yes. Our registrar, Computershare Trust Company of Canada, independently counts and tabulates the proxies to preserve the confidentiality of individual shareholder votes. Proxies are referred to us only in cases where a shareholder clearly intends to communicate with management, in the event of questions as to the validity of a proxy or where it is necessary to do so to meet applicable legal requirements.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Voting results</w:t>
      </w:r>
    </w:p>
    <w:p>
      <w:pPr>
        <w:spacing w:after="0" w:line="5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 xml:space="preserve">Following the meeting, we will post the voting results in the “Investor Relations” section of our website, </w:t>
      </w:r>
      <w:r>
        <w:rPr>
          <w:rFonts w:ascii="Arial" w:cs="Arial" w:eastAsia="Arial" w:hAnsi="Arial"/>
          <w:sz w:val="18"/>
          <w:szCs w:val="18"/>
          <w:b w:val="1"/>
          <w:bCs w:val="1"/>
          <w:color w:val="335367"/>
        </w:rPr>
        <w:t>www.thomsonreuters.com</w:t>
      </w:r>
      <w:r>
        <w:rPr>
          <w:rFonts w:ascii="Arial" w:cs="Arial" w:eastAsia="Arial" w:hAnsi="Arial"/>
          <w:sz w:val="18"/>
          <w:szCs w:val="18"/>
          <w:color w:val="auto"/>
        </w:rPr>
        <w:t xml:space="preserve">. We will also file a copy of the results with the Canadian securities regulatory authorities at </w:t>
      </w:r>
      <w:r>
        <w:rPr>
          <w:rFonts w:ascii="Arial" w:cs="Arial" w:eastAsia="Arial" w:hAnsi="Arial"/>
          <w:sz w:val="18"/>
          <w:szCs w:val="18"/>
          <w:b w:val="1"/>
          <w:bCs w:val="1"/>
          <w:color w:val="335367"/>
        </w:rPr>
        <w:t>www.sedarplus.ca</w:t>
      </w:r>
      <w:r>
        <w:rPr>
          <w:rFonts w:ascii="Arial" w:cs="Arial" w:eastAsia="Arial" w:hAnsi="Arial"/>
          <w:sz w:val="18"/>
          <w:szCs w:val="18"/>
          <w:color w:val="auto"/>
        </w:rPr>
        <w:t xml:space="preserve"> and the SEC at </w:t>
      </w:r>
      <w:r>
        <w:rPr>
          <w:rFonts w:ascii="Arial" w:cs="Arial" w:eastAsia="Arial" w:hAnsi="Arial"/>
          <w:sz w:val="18"/>
          <w:szCs w:val="18"/>
          <w:b w:val="1"/>
          <w:bCs w:val="1"/>
          <w:color w:val="335367"/>
        </w:rPr>
        <w:t>www.sec.gov</w:t>
      </w:r>
      <w:r>
        <w:rPr>
          <w:rFonts w:ascii="Arial" w:cs="Arial" w:eastAsia="Arial" w:hAnsi="Arial"/>
          <w:sz w:val="18"/>
          <w:szCs w:val="18"/>
          <w:color w:val="auto"/>
        </w:rPr>
        <w:t>. For more information, see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12   Management Proxy Circular and Notice of Annual Meeting of Shareholders</w:t>
      </w:r>
    </w:p>
    <w:p>
      <w:pPr>
        <w:sectPr>
          <w:pgSz w:w="11900" w:h="16838" w:orient="portrait"/>
          <w:cols w:equalWidth="0" w:num="1">
            <w:col w:w="11060"/>
          </w:cols>
          <w:pgMar w:left="320" w:top="454" w:right="5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right="2080"/>
        <w:spacing w:after="0" w:line="275" w:lineRule="auto"/>
        <w:rPr>
          <w:sz w:val="20"/>
          <w:szCs w:val="20"/>
          <w:color w:val="auto"/>
        </w:rPr>
      </w:pPr>
      <w:r>
        <w:rPr>
          <w:rFonts w:ascii="Arial" w:cs="Arial" w:eastAsia="Arial" w:hAnsi="Arial"/>
          <w:sz w:val="46"/>
          <w:szCs w:val="46"/>
          <w:color w:val="B94831"/>
        </w:rPr>
        <w:t>Annual and Quarterly Financial Statements and Related MD&amp;A</w:t>
      </w:r>
    </w:p>
    <w:p>
      <w:pPr>
        <w:spacing w:after="0" w:line="291"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color w:val="auto"/>
        </w:rPr>
        <w:t xml:space="preserve">Our annual and quarterly reports and earnings releases are available in the “Investor Relations” section of our website, </w:t>
      </w:r>
      <w:r>
        <w:rPr>
          <w:rFonts w:ascii="Arial" w:cs="Arial" w:eastAsia="Arial" w:hAnsi="Arial"/>
          <w:sz w:val="18"/>
          <w:szCs w:val="18"/>
          <w:b w:val="1"/>
          <w:bCs w:val="1"/>
          <w:color w:val="335367"/>
        </w:rPr>
        <w:t>www.thomsonreuters.com</w:t>
      </w:r>
      <w:r>
        <w:rPr>
          <w:rFonts w:ascii="Arial" w:cs="Arial" w:eastAsia="Arial" w:hAnsi="Arial"/>
          <w:sz w:val="18"/>
          <w:szCs w:val="18"/>
          <w:color w:val="000000"/>
        </w:rPr>
        <w:t>. Please also see the “Electronic Delivery of Shareholder Communications” section below for information</w:t>
      </w:r>
      <w:r>
        <w:rPr>
          <w:rFonts w:ascii="Arial" w:cs="Arial" w:eastAsia="Arial" w:hAnsi="Arial"/>
          <w:sz w:val="18"/>
          <w:szCs w:val="18"/>
          <w:b w:val="1"/>
          <w:bCs w:val="1"/>
          <w:color w:val="335367"/>
        </w:rPr>
        <w:t xml:space="preserve"> </w:t>
      </w:r>
      <w:r>
        <w:rPr>
          <w:rFonts w:ascii="Arial" w:cs="Arial" w:eastAsia="Arial" w:hAnsi="Arial"/>
          <w:sz w:val="18"/>
          <w:szCs w:val="18"/>
          <w:color w:val="000000"/>
        </w:rPr>
        <w:t>about electronic delivery of these reports and other shareholder communications.</w:t>
      </w:r>
    </w:p>
    <w:p>
      <w:pPr>
        <w:spacing w:after="0" w:line="353"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Notice-and-Access</w:t>
      </w:r>
    </w:p>
    <w:p>
      <w:pPr>
        <w:spacing w:after="0" w:line="200" w:lineRule="exact"/>
        <w:rPr>
          <w:sz w:val="20"/>
          <w:szCs w:val="20"/>
          <w:color w:val="auto"/>
        </w:rPr>
      </w:pPr>
    </w:p>
    <w:p>
      <w:pPr>
        <w:spacing w:after="0" w:line="249" w:lineRule="exact"/>
        <w:rPr>
          <w:sz w:val="20"/>
          <w:szCs w:val="20"/>
          <w:color w:val="auto"/>
        </w:rPr>
      </w:pPr>
    </w:p>
    <w:p>
      <w:pPr>
        <w:ind w:left="160" w:right="400"/>
        <w:spacing w:after="0" w:line="263" w:lineRule="auto"/>
        <w:rPr>
          <w:sz w:val="20"/>
          <w:szCs w:val="20"/>
          <w:color w:val="auto"/>
        </w:rPr>
      </w:pPr>
      <w:r>
        <w:rPr>
          <w:rFonts w:ascii="Arial" w:cs="Arial" w:eastAsia="Arial" w:hAnsi="Arial"/>
          <w:sz w:val="25"/>
          <w:szCs w:val="25"/>
          <w:color w:val="B94831"/>
        </w:rPr>
        <w:t>Why did I receive a notice in the mail regarding the website availability of this circular and proxy materials?</w:t>
      </w:r>
    </w:p>
    <w:p>
      <w:pPr>
        <w:spacing w:after="0" w:line="2"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color w:val="auto"/>
        </w:rPr>
        <w:t>We are using the “notice-and-access” system for the delivery of our proxy materials through our website,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w:t>
      </w:r>
    </w:p>
    <w:p>
      <w:pPr>
        <w:spacing w:after="0" w:line="49"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47" w:lineRule="exact"/>
        <w:rPr>
          <w:sz w:val="20"/>
          <w:szCs w:val="20"/>
          <w:color w:val="auto"/>
        </w:rPr>
      </w:pPr>
    </w:p>
    <w:p>
      <w:pPr>
        <w:ind w:left="160" w:right="1140"/>
        <w:spacing w:after="0" w:line="263" w:lineRule="auto"/>
        <w:rPr>
          <w:sz w:val="20"/>
          <w:szCs w:val="20"/>
          <w:color w:val="auto"/>
        </w:rPr>
      </w:pPr>
      <w:r>
        <w:rPr>
          <w:rFonts w:ascii="Arial" w:cs="Arial" w:eastAsia="Arial" w:hAnsi="Arial"/>
          <w:sz w:val="25"/>
          <w:szCs w:val="25"/>
          <w:color w:val="B94831"/>
        </w:rPr>
        <w:t>Why didn’t I receive a printed notice in the mail about the website availability of the proxy materials?</w:t>
      </w:r>
    </w:p>
    <w:p>
      <w:pPr>
        <w:spacing w:after="0" w:line="2"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color w:val="auto"/>
        </w:rPr>
        <w:t>Shareholders who previously signed up for electronic delivery of our proxy materials will continue to receive them by e-mail and will not receive a printed notice in the mail.</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How do I vote under the “notice-and-access” system?</w:t>
      </w:r>
    </w:p>
    <w:p>
      <w:pPr>
        <w:spacing w:after="0" w:line="42"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voting process is the same as described in the “Voting Information and How to Attend” section of this circular. You have two choices – you can vote by proxy, or you can attend the meeting and vote in person.</w:t>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Electronic Delivery of Shareholder Communications</w:t>
      </w: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Does Thomson Reuters provide electronic delivery of shareholder communications?</w:t>
      </w:r>
    </w:p>
    <w:p>
      <w:pPr>
        <w:spacing w:after="0" w:line="5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Yes. Electronic delivery is a voluntary program for our shareholders. Under this program, an e-mail notification (with links to the documents posted on our website) is sent to you.</w:t>
      </w:r>
    </w:p>
    <w:p>
      <w:pPr>
        <w:spacing w:after="0" w:line="51"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38010" cy="1027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8010" cy="1027430"/>
                    </a:xfrm>
                    <a:prstGeom prst="rect">
                      <a:avLst/>
                    </a:prstGeom>
                    <a:noFill/>
                  </pic:spPr>
                </pic:pic>
              </a:graphicData>
            </a:graphic>
          </wp:anchor>
        </w:drawing>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21"/>
          <w:szCs w:val="21"/>
          <w:color w:val="auto"/>
        </w:rPr>
        <w:t>How can I enroll for electronic delivery of shareholder communications?</w:t>
      </w:r>
    </w:p>
    <w:p>
      <w:pPr>
        <w:spacing w:after="0" w:line="47" w:lineRule="exact"/>
        <w:rPr>
          <w:sz w:val="20"/>
          <w:szCs w:val="20"/>
          <w:color w:val="auto"/>
        </w:rPr>
      </w:pPr>
    </w:p>
    <w:p>
      <w:pPr>
        <w:ind w:left="380" w:right="120"/>
        <w:spacing w:after="0" w:line="249" w:lineRule="auto"/>
        <w:rPr>
          <w:sz w:val="20"/>
          <w:szCs w:val="20"/>
          <w:color w:val="auto"/>
        </w:rPr>
      </w:pPr>
      <w:r>
        <w:rPr>
          <w:rFonts w:ascii="Arial" w:cs="Arial" w:eastAsia="Arial" w:hAnsi="Arial"/>
          <w:sz w:val="18"/>
          <w:szCs w:val="18"/>
          <w:color w:val="auto"/>
        </w:rPr>
        <w:t xml:space="preserve">For most non-registered shareholders (other than holders of our Depositary Interests), please go to </w:t>
      </w:r>
      <w:r>
        <w:rPr>
          <w:rFonts w:ascii="Arial" w:cs="Arial" w:eastAsia="Arial" w:hAnsi="Arial"/>
          <w:sz w:val="18"/>
          <w:szCs w:val="18"/>
          <w:b w:val="1"/>
          <w:bCs w:val="1"/>
          <w:color w:val="335367"/>
        </w:rPr>
        <w:t>www.proxyvote.com</w:t>
      </w:r>
      <w:r>
        <w:rPr>
          <w:rFonts w:ascii="Arial" w:cs="Arial" w:eastAsia="Arial" w:hAnsi="Arial"/>
          <w:sz w:val="18"/>
          <w:szCs w:val="18"/>
          <w:color w:val="auto"/>
        </w:rPr>
        <w:t xml:space="preserve"> for more instructions and to register. You will need your Enrollment Number/Control Number. You can find this number on your voting instruction form/proxy form.</w:t>
      </w:r>
    </w:p>
    <w:p>
      <w:pPr>
        <w:spacing w:after="0" w:line="78" w:lineRule="exact"/>
        <w:rPr>
          <w:sz w:val="20"/>
          <w:szCs w:val="20"/>
          <w:color w:val="auto"/>
        </w:rPr>
      </w:pPr>
    </w:p>
    <w:p>
      <w:pPr>
        <w:ind w:left="380" w:right="180"/>
        <w:spacing w:after="0" w:line="265" w:lineRule="auto"/>
        <w:rPr>
          <w:sz w:val="20"/>
          <w:szCs w:val="20"/>
          <w:color w:val="auto"/>
        </w:rPr>
      </w:pPr>
      <w:r>
        <w:rPr>
          <w:rFonts w:ascii="Arial" w:cs="Arial" w:eastAsia="Arial" w:hAnsi="Arial"/>
          <w:sz w:val="18"/>
          <w:szCs w:val="18"/>
          <w:color w:val="auto"/>
        </w:rPr>
        <w:t xml:space="preserve">If you are a registered shareholder, please go to </w:t>
      </w:r>
      <w:r>
        <w:rPr>
          <w:rFonts w:ascii="Arial" w:cs="Arial" w:eastAsia="Arial" w:hAnsi="Arial"/>
          <w:sz w:val="18"/>
          <w:szCs w:val="18"/>
          <w:b w:val="1"/>
          <w:bCs w:val="1"/>
          <w:color w:val="335367"/>
        </w:rPr>
        <w:t>www.investorcentre.com</w:t>
      </w:r>
      <w:r>
        <w:rPr>
          <w:rFonts w:ascii="Arial" w:cs="Arial" w:eastAsia="Arial" w:hAnsi="Arial"/>
          <w:sz w:val="18"/>
          <w:szCs w:val="18"/>
          <w:color w:val="auto"/>
        </w:rPr>
        <w:t xml:space="preserve"> (country – Canada) and click on “Sign up for eDelivery” at the bottom of the page. You will need information from your proxy form to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197485</wp:posOffset>
            </wp:positionV>
            <wp:extent cx="692975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13</w:t>
      </w:r>
    </w:p>
    <w:p>
      <w:pPr>
        <w:sectPr>
          <w:pgSz w:w="11900" w:h="16838" w:orient="portrait"/>
          <w:cols w:equalWidth="0" w:num="1">
            <w:col w:w="11080"/>
          </w:cols>
          <w:pgMar w:left="320" w:top="454"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Principal Shareholder and Share Capital</w:t>
      </w:r>
    </w:p>
    <w:p>
      <w:pPr>
        <w:spacing w:after="0" w:line="200" w:lineRule="exact"/>
        <w:rPr>
          <w:sz w:val="20"/>
          <w:szCs w:val="20"/>
          <w:color w:val="auto"/>
        </w:rPr>
      </w:pPr>
    </w:p>
    <w:p>
      <w:pPr>
        <w:spacing w:after="0" w:line="253" w:lineRule="exact"/>
        <w:rPr>
          <w:sz w:val="20"/>
          <w:szCs w:val="20"/>
          <w:color w:val="auto"/>
        </w:rPr>
      </w:pPr>
    </w:p>
    <w:p>
      <w:pPr>
        <w:ind w:left="160" w:right="620"/>
        <w:spacing w:after="0" w:line="265" w:lineRule="auto"/>
        <w:rPr>
          <w:sz w:val="20"/>
          <w:szCs w:val="20"/>
          <w:color w:val="auto"/>
        </w:rPr>
      </w:pPr>
      <w:r>
        <w:rPr>
          <w:rFonts w:ascii="Arial" w:cs="Arial" w:eastAsia="Arial" w:hAnsi="Arial"/>
          <w:sz w:val="18"/>
          <w:szCs w:val="18"/>
          <w:color w:val="auto"/>
        </w:rPr>
        <w:t>As of April 19, 2024, Woodbridge beneficially owned 313,339,265 of our common shares, or approximately 69% of our outstanding common shares. Woodbridge is the principal and controlling shareholder of Thomson Reuters.</w:t>
      </w:r>
    </w:p>
    <w:p>
      <w:pPr>
        <w:spacing w:after="0" w:line="51"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Woodbridge, a private company, is the primary investment vehicle for members of the family of the late Roy H. Thomson, the first Lord Thomson of Fleet. Woodbridge is a professionally managed company that, in addition to its controlling interest in Thomson Reuters, has other substantial investments.</w:t>
      </w:r>
    </w:p>
    <w:p>
      <w:pPr>
        <w:spacing w:after="0" w:line="6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w:t>
      </w:r>
    </w:p>
    <w:p>
      <w:pPr>
        <w:spacing w:after="0" w:line="74"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Under the estate arrangements of Kenneth R. Thomson, the directors and officers of Woodbridge are responsible for its business and operations. In certain limited circumstances, including very substantial dispositions of our company’s common shares by Woodbridge, the estate arrangements provide for approval of the trustee to be obtained.</w:t>
      </w:r>
    </w:p>
    <w:p>
      <w:pPr>
        <w:spacing w:after="0" w:line="6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From time to time, in the normal course of business, Thomson Reuters enters into transactions with Woodbridge and certain of its affiliates. These transactions involve providing and receiving product and service offerings and are not material to our results of operations or financial condition either individually or in the aggregate.</w:t>
      </w:r>
    </w:p>
    <w:p>
      <w:pPr>
        <w:spacing w:after="0" w:line="65"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Note 32 to our 2023 annual consolidated financial statements provides information on certain transactions that we entered into with Woodbridge in 2023.</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our knowledge, no other person beneficially owns, directly or indirectly, 10% or more of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5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14   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About Our Directors</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section includes the following information:</w:t>
      </w:r>
    </w:p>
    <w:p>
      <w:pPr>
        <w:spacing w:after="0" w:line="114" w:lineRule="exact"/>
        <w:rPr>
          <w:sz w:val="20"/>
          <w:szCs w:val="20"/>
          <w:color w:val="auto"/>
        </w:rPr>
      </w:pPr>
    </w:p>
    <w:p>
      <w:pPr>
        <w:ind w:left="480" w:hanging="313"/>
        <w:spacing w:after="0"/>
        <w:tabs>
          <w:tab w:leader="none" w:pos="480" w:val="left"/>
        </w:tabs>
        <w:numPr>
          <w:ilvl w:val="0"/>
          <w:numId w:val="8"/>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Profiles for each director nominee;</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8"/>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Compensation that we paid to our directors in 2023; and</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8"/>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Our corporate governance structure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6" w:lineRule="exact"/>
        <w:rPr>
          <w:sz w:val="20"/>
          <w:szCs w:val="20"/>
          <w:color w:val="auto"/>
        </w:rPr>
      </w:pPr>
    </w:p>
    <w:p>
      <w:pPr>
        <w:ind w:left="160"/>
        <w:spacing w:after="0"/>
        <w:rPr>
          <w:sz w:val="20"/>
          <w:szCs w:val="20"/>
          <w:color w:val="auto"/>
        </w:rPr>
      </w:pPr>
      <w:r>
        <w:rPr>
          <w:rFonts w:ascii="Arial" w:cs="Arial" w:eastAsia="Arial" w:hAnsi="Arial"/>
          <w:sz w:val="27"/>
          <w:szCs w:val="27"/>
          <w:color w:val="B94831"/>
        </w:rPr>
        <w:t>HIGHLIGHTS</w:t>
      </w:r>
    </w:p>
    <w:p>
      <w:pPr>
        <w:spacing w:after="0" w:line="117" w:lineRule="exact"/>
        <w:rPr>
          <w:sz w:val="20"/>
          <w:szCs w:val="20"/>
          <w:color w:val="auto"/>
        </w:rPr>
      </w:pPr>
    </w:p>
    <w:p>
      <w:pPr>
        <w:ind w:left="480" w:right="640" w:hanging="313"/>
        <w:spacing w:after="0" w:line="291" w:lineRule="auto"/>
        <w:tabs>
          <w:tab w:leader="none" w:pos="480" w:val="left"/>
        </w:tabs>
        <w:numPr>
          <w:ilvl w:val="0"/>
          <w:numId w:val="9"/>
        </w:numPr>
        <w:rPr>
          <w:rFonts w:ascii="Times New Roman" w:cs="Times New Roman" w:eastAsia="Times New Roman" w:hAnsi="Times New Roman"/>
          <w:sz w:val="16"/>
          <w:szCs w:val="16"/>
          <w:color w:val="B94831"/>
          <w:vertAlign w:val="superscript"/>
        </w:rPr>
      </w:pPr>
      <w:r>
        <w:rPr>
          <w:rFonts w:ascii="Arial" w:cs="Arial" w:eastAsia="Arial" w:hAnsi="Arial"/>
          <w:sz w:val="26"/>
          <w:szCs w:val="26"/>
          <w:color w:val="auto"/>
        </w:rPr>
        <w:t>The Corporate Governance Committee believes that the director nominees have the qualifications, skills and experience necessary for the Board to fulfill its mandate;</w:t>
      </w:r>
    </w:p>
    <w:p>
      <w:pPr>
        <w:spacing w:after="0" w:line="10" w:lineRule="exact"/>
        <w:rPr>
          <w:rFonts w:ascii="Times New Roman" w:cs="Times New Roman" w:eastAsia="Times New Roman" w:hAnsi="Times New Roman"/>
          <w:sz w:val="16"/>
          <w:szCs w:val="16"/>
          <w:color w:val="B94831"/>
          <w:vertAlign w:val="superscript"/>
        </w:rPr>
      </w:pPr>
    </w:p>
    <w:p>
      <w:pPr>
        <w:ind w:left="480" w:right="120" w:hanging="313"/>
        <w:spacing w:after="0" w:line="271" w:lineRule="auto"/>
        <w:tabs>
          <w:tab w:leader="none" w:pos="480" w:val="left"/>
        </w:tabs>
        <w:numPr>
          <w:ilvl w:val="0"/>
          <w:numId w:val="9"/>
        </w:numPr>
        <w:rPr>
          <w:rFonts w:ascii="Times New Roman" w:cs="Times New Roman" w:eastAsia="Times New Roman" w:hAnsi="Times New Roman"/>
          <w:sz w:val="16"/>
          <w:szCs w:val="16"/>
          <w:color w:val="B94831"/>
          <w:vertAlign w:val="superscript"/>
        </w:rPr>
      </w:pPr>
      <w:r>
        <w:rPr>
          <w:rFonts w:ascii="Arial" w:cs="Arial" w:eastAsia="Arial" w:hAnsi="Arial"/>
          <w:sz w:val="27"/>
          <w:szCs w:val="27"/>
          <w:color w:val="auto"/>
        </w:rPr>
        <w:t>A majority of our directors are independent and only one director (our CEO) is a member of management;</w:t>
      </w:r>
    </w:p>
    <w:p>
      <w:pPr>
        <w:sectPr>
          <w:pgSz w:w="11900" w:h="16838" w:orient="portrait"/>
          <w:cols w:equalWidth="0" w:num="1">
            <w:col w:w="11080"/>
          </w:cols>
          <w:pgMar w:left="320" w:top="454" w:right="499" w:bottom="1440" w:gutter="0" w:footer="0" w:header="0"/>
        </w:sectPr>
      </w:pP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3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820"/>
        <w:spacing w:after="0" w:line="271" w:lineRule="auto"/>
        <w:rPr>
          <w:sz w:val="20"/>
          <w:szCs w:val="20"/>
          <w:color w:val="auto"/>
        </w:rPr>
      </w:pPr>
      <w:r>
        <w:rPr>
          <w:rFonts w:ascii="Arial" w:cs="Arial" w:eastAsia="Arial" w:hAnsi="Arial"/>
          <w:sz w:val="27"/>
          <w:szCs w:val="27"/>
          <w:color w:val="auto"/>
        </w:rPr>
        <w:t>38% of the director nominees are women and two have self-identified as racially or ethnically diverse;</w:t>
      </w:r>
    </w:p>
    <w:p>
      <w:pPr>
        <w:spacing w:after="0" w:line="34" w:lineRule="exact"/>
        <w:rPr>
          <w:sz w:val="20"/>
          <w:szCs w:val="20"/>
          <w:color w:val="auto"/>
        </w:rPr>
      </w:pPr>
    </w:p>
    <w:p>
      <w:pPr>
        <w:ind w:right="1880"/>
        <w:spacing w:after="0" w:line="330" w:lineRule="auto"/>
        <w:rPr>
          <w:sz w:val="20"/>
          <w:szCs w:val="20"/>
          <w:color w:val="auto"/>
        </w:rPr>
      </w:pPr>
      <w:r>
        <w:rPr>
          <w:rFonts w:ascii="Arial" w:cs="Arial" w:eastAsia="Arial" w:hAnsi="Arial"/>
          <w:sz w:val="27"/>
          <w:szCs w:val="27"/>
          <w:color w:val="auto"/>
        </w:rPr>
        <w:t>The roles and responsibilities of the Chairman and the CEO are separate; All 13 nominees are currently directors of our company; and</w:t>
      </w:r>
    </w:p>
    <w:p>
      <w:pPr>
        <w:spacing w:after="0" w:line="2" w:lineRule="exact"/>
        <w:rPr>
          <w:sz w:val="20"/>
          <w:szCs w:val="20"/>
          <w:color w:val="auto"/>
        </w:rPr>
      </w:pPr>
    </w:p>
    <w:p>
      <w:pPr>
        <w:ind w:right="600"/>
        <w:spacing w:after="0" w:line="271" w:lineRule="auto"/>
        <w:rPr>
          <w:sz w:val="20"/>
          <w:szCs w:val="20"/>
          <w:color w:val="auto"/>
        </w:rPr>
      </w:pPr>
      <w:r>
        <w:rPr>
          <w:rFonts w:ascii="Arial" w:cs="Arial" w:eastAsia="Arial" w:hAnsi="Arial"/>
          <w:sz w:val="27"/>
          <w:szCs w:val="27"/>
          <w:color w:val="auto"/>
        </w:rPr>
        <w:t>At last year’s annual meeting, our director nominees who are standing for re-election received an average of 99% “for”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132715</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spacing w:after="0" w:line="10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Board Changes in 2023</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September 2023, David Binet resigned as a director and the Deputy Chairman of Thomson Reuters.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Voting</w:t>
      </w:r>
    </w:p>
    <w:p>
      <w:pPr>
        <w:spacing w:after="0" w:line="5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You will be asked to vote for each director on an individual basis. Each of the 13 nominees is proposed to be elected for a term ending at our 2025 annual meeting of shareholders. All 13 nominees are currently directors of our company and were elected at our 2023 annual meeting of shareholders. Profiles for each nominee are provided on the following pages.</w:t>
      </w:r>
    </w:p>
    <w:p>
      <w:pPr>
        <w:spacing w:after="0" w:line="65" w:lineRule="exact"/>
        <w:rPr>
          <w:sz w:val="20"/>
          <w:szCs w:val="20"/>
          <w:color w:val="auto"/>
        </w:rPr>
      </w:pPr>
    </w:p>
    <w:p>
      <w:pPr>
        <w:ind w:left="160" w:right="480"/>
        <w:spacing w:after="0" w:line="277" w:lineRule="auto"/>
        <w:rPr>
          <w:sz w:val="20"/>
          <w:szCs w:val="20"/>
          <w:color w:val="auto"/>
        </w:rPr>
      </w:pPr>
      <w:r>
        <w:rPr>
          <w:rFonts w:ascii="Arial" w:cs="Arial" w:eastAsia="Arial" w:hAnsi="Arial"/>
          <w:sz w:val="18"/>
          <w:szCs w:val="18"/>
          <w:b w:val="1"/>
          <w:bCs w:val="1"/>
          <w:color w:val="auto"/>
        </w:rPr>
        <w:t>The Board unanimously recommends that you vote FOR the election of each nominee set out in the “Nominee Information” section of this circular.</w:t>
      </w:r>
    </w:p>
    <w:p>
      <w:pPr>
        <w:spacing w:after="0" w:line="30"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Management does not believe that any of the nominees will be unable to serve as a director but, if this should occur for any reason prior to the meeting, the persons named in the enclosed proxy form may vote for another nominee at their discretion.</w:t>
      </w:r>
    </w:p>
    <w:p>
      <w:pPr>
        <w:spacing w:after="0" w:line="51"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Following the meeting, we will issue a press release that includes the number of votes cast for and withheld from each individual director. As noted above, at last year’s annual meeting, our director nominees who are standing for re-election received an average of 99% “for” votes. Additional information is provided in each nominee’s profile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15</w:t>
      </w:r>
    </w:p>
    <w:p>
      <w:pPr>
        <w:sectPr>
          <w:pgSz w:w="11900" w:h="16838" w:orient="portrait"/>
          <w:cols w:equalWidth="0" w:num="1">
            <w:col w:w="11080"/>
          </w:cols>
          <w:pgMar w:left="320" w:top="454" w:right="4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Director qualifications, skills and experiences</w:t>
      </w:r>
    </w:p>
    <w:p>
      <w:pPr>
        <w:spacing w:after="0" w:line="51" w:lineRule="exact"/>
        <w:rPr>
          <w:sz w:val="20"/>
          <w:szCs w:val="20"/>
          <w:color w:val="auto"/>
        </w:rPr>
      </w:pPr>
    </w:p>
    <w:p>
      <w:pPr>
        <w:ind w:left="160" w:right="360"/>
        <w:spacing w:after="0"/>
        <w:rPr>
          <w:sz w:val="20"/>
          <w:szCs w:val="20"/>
          <w:color w:val="auto"/>
        </w:rPr>
      </w:pPr>
      <w:r>
        <w:rPr>
          <w:rFonts w:ascii="Arial" w:cs="Arial" w:eastAsia="Arial" w:hAnsi="Arial"/>
          <w:sz w:val="18"/>
          <w:szCs w:val="18"/>
          <w:color w:val="auto"/>
        </w:rPr>
        <w:t>We believe that all of the director nominees possess character, integrity, judgment, business experience, a record of achievement and other skills and talents which enhance the Board and the overall management of the business and affairs of Thomson Reuters. Each director nominee understands our company’s principal operational and financial objectives, plans and strategies, financial position and performance and the performance of Thomson Reuters relative to our principal competitors. The Corporate Governance Committee considered these qualifications in determining to recommend the director nominees for election.</w:t>
      </w:r>
    </w:p>
    <w:p>
      <w:pPr>
        <w:spacing w:after="0" w:line="75" w:lineRule="exact"/>
        <w:rPr>
          <w:sz w:val="20"/>
          <w:szCs w:val="20"/>
          <w:color w:val="auto"/>
        </w:rPr>
      </w:pPr>
    </w:p>
    <w:p>
      <w:pPr>
        <w:ind w:left="160"/>
        <w:spacing w:after="0" w:line="295" w:lineRule="auto"/>
        <w:rPr>
          <w:sz w:val="20"/>
          <w:szCs w:val="20"/>
          <w:color w:val="auto"/>
        </w:rPr>
      </w:pPr>
      <w:r>
        <w:rPr>
          <w:rFonts w:ascii="Arial" w:cs="Arial" w:eastAsia="Arial" w:hAnsi="Arial"/>
          <w:sz w:val="17"/>
          <w:szCs w:val="17"/>
          <w:color w:val="auto"/>
        </w:rPr>
        <w:t>The following table, or skills matrix, summarizes the skills and areas of experience indicated by each director nominee. Our Board believes that these skills and experiences are necessary for it to carry out its mandate. The skills matrix is reviewed and updated annually.</w:t>
      </w:r>
    </w:p>
    <w:p>
      <w:pPr>
        <w:spacing w:after="0" w:line="17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wp:posOffset>
            </wp:positionV>
            <wp:extent cx="6929755" cy="1469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David Thomson</w:t>
            </w:r>
          </w:p>
        </w:tc>
        <w:tc>
          <w:tcPr>
            <w:tcW w:w="1920" w:type="dxa"/>
            <w:vAlign w:val="bottom"/>
            <w:tcBorders>
              <w:bottom w:val="single" w:sz="8" w:color="AFAFAF"/>
            </w:tcBorders>
          </w:tcPr>
          <w:p>
            <w:pPr>
              <w:spacing w:after="0"/>
              <w:rPr>
                <w:sz w:val="18"/>
                <w:szCs w:val="18"/>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18"/>
                <w:szCs w:val="18"/>
                <w:color w:val="auto"/>
              </w:rPr>
            </w:pPr>
          </w:p>
        </w:tc>
        <w:tc>
          <w:tcPr>
            <w:tcW w:w="380" w:type="dxa"/>
            <w:vAlign w:val="bottom"/>
            <w:tcBorders>
              <w:bottom w:val="single" w:sz="8" w:color="AFAFAF"/>
            </w:tcBorders>
          </w:tcPr>
          <w:p>
            <w:pPr>
              <w:spacing w:after="0"/>
              <w:rPr>
                <w:sz w:val="18"/>
                <w:szCs w:val="18"/>
                <w:color w:val="auto"/>
              </w:rPr>
            </w:pP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18"/>
                <w:szCs w:val="18"/>
                <w:color w:val="auto"/>
              </w:rPr>
            </w:pPr>
          </w:p>
        </w:tc>
        <w:tc>
          <w:tcPr>
            <w:tcW w:w="300" w:type="dxa"/>
            <w:vAlign w:val="bottom"/>
            <w:tcBorders>
              <w:bottom w:val="single" w:sz="8" w:color="AFAFAF"/>
            </w:tcBorders>
          </w:tcPr>
          <w:p>
            <w:pPr>
              <w:spacing w:after="0"/>
              <w:rPr>
                <w:sz w:val="18"/>
                <w:szCs w:val="18"/>
                <w:color w:val="auto"/>
              </w:rPr>
            </w:pP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18"/>
                <w:szCs w:val="18"/>
                <w:color w:val="auto"/>
              </w:rPr>
            </w:pPr>
          </w:p>
        </w:tc>
        <w:tc>
          <w:tcPr>
            <w:tcW w:w="280" w:type="dxa"/>
            <w:vAlign w:val="bottom"/>
            <w:tcBorders>
              <w:bottom w:val="single" w:sz="8" w:color="AFAFAF"/>
            </w:tcBorders>
          </w:tcPr>
          <w:p>
            <w:pPr>
              <w:spacing w:after="0"/>
              <w:rPr>
                <w:sz w:val="18"/>
                <w:szCs w:val="18"/>
                <w:color w:val="auto"/>
              </w:rPr>
            </w:pP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18"/>
                <w:szCs w:val="18"/>
                <w:color w:val="auto"/>
              </w:rPr>
            </w:pP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18"/>
                <w:szCs w:val="18"/>
                <w:color w:val="auto"/>
              </w:rPr>
            </w:pPr>
          </w:p>
        </w:tc>
        <w:tc>
          <w:tcPr>
            <w:tcW w:w="260" w:type="dxa"/>
            <w:vAlign w:val="bottom"/>
            <w:tcBorders>
              <w:bottom w:val="single" w:sz="8" w:color="AFAFAF"/>
            </w:tcBorders>
          </w:tcPr>
          <w:p>
            <w:pPr>
              <w:spacing w:after="0"/>
              <w:rPr>
                <w:sz w:val="18"/>
                <w:szCs w:val="18"/>
                <w:color w:val="auto"/>
              </w:rPr>
            </w:pP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Steve Hasker</w:t>
            </w:r>
          </w:p>
        </w:tc>
        <w:tc>
          <w:tcPr>
            <w:tcW w:w="1920" w:type="dxa"/>
            <w:vAlign w:val="bottom"/>
            <w:tcBorders>
              <w:bottom w:val="single" w:sz="8" w:color="AFAFAF"/>
            </w:tcBorders>
          </w:tcPr>
          <w:p>
            <w:pPr>
              <w:ind w:left="166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Kirk Arnold</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Ed Clark</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Borders>
              <w:bottom w:val="single" w:sz="8" w:color="AFAFAF"/>
            </w:tcBorders>
          </w:tcPr>
          <w:p>
            <w:pPr>
              <w:spacing w:after="0"/>
              <w:rPr>
                <w:sz w:val="22"/>
                <w:szCs w:val="22"/>
                <w:color w:val="auto"/>
              </w:rPr>
            </w:pP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LaVerne Council</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Mike Daniels</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Kirk Koenigsbauer</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Deanna Oppenheimer</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Simon Paris</w:t>
            </w:r>
          </w:p>
        </w:tc>
        <w:tc>
          <w:tcPr>
            <w:tcW w:w="1920" w:type="dxa"/>
            <w:vAlign w:val="bottom"/>
            <w:tcBorders>
              <w:bottom w:val="single" w:sz="8" w:color="AFAFAF"/>
            </w:tcBorders>
          </w:tcPr>
          <w:p>
            <w:pPr>
              <w:ind w:left="166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Kim Rivera</w:t>
            </w:r>
          </w:p>
        </w:tc>
        <w:tc>
          <w:tcPr>
            <w:tcW w:w="1920" w:type="dxa"/>
            <w:vAlign w:val="bottom"/>
            <w:tcBorders>
              <w:bottom w:val="single" w:sz="8" w:color="AFAFAF"/>
            </w:tcBorders>
          </w:tcPr>
          <w:p>
            <w:pPr>
              <w:ind w:left="166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Barry Salzberg</w:t>
            </w:r>
          </w:p>
        </w:tc>
        <w:tc>
          <w:tcPr>
            <w:tcW w:w="1920" w:type="dxa"/>
            <w:vAlign w:val="bottom"/>
            <w:tcBorders>
              <w:bottom w:val="single" w:sz="8" w:color="AFAFAF"/>
            </w:tcBorders>
          </w:tcPr>
          <w:p>
            <w:pPr>
              <w:ind w:left="166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Peter Thomson</w:t>
            </w:r>
          </w:p>
        </w:tc>
        <w:tc>
          <w:tcPr>
            <w:tcW w:w="1920" w:type="dxa"/>
            <w:vAlign w:val="bottom"/>
            <w:tcBorders>
              <w:bottom w:val="single" w:sz="8" w:color="AFAFAF"/>
            </w:tcBorders>
          </w:tcPr>
          <w:p>
            <w:pPr>
              <w:spacing w:after="0"/>
              <w:rPr>
                <w:sz w:val="22"/>
                <w:szCs w:val="22"/>
                <w:color w:val="auto"/>
              </w:rPr>
            </w:pP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AFAFAF"/>
            </w:tcBorders>
          </w:tcPr>
          <w:p>
            <w:pPr>
              <w:spacing w:after="0"/>
              <w:rPr>
                <w:sz w:val="22"/>
                <w:szCs w:val="22"/>
                <w:color w:val="auto"/>
              </w:rPr>
            </w:pPr>
          </w:p>
        </w:tc>
        <w:tc>
          <w:tcPr>
            <w:tcW w:w="38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4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AFAFAF"/>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280" w:type="dxa"/>
            <w:vAlign w:val="bottom"/>
            <w:tcBorders>
              <w:bottom w:val="single" w:sz="8" w:color="AFAFAF"/>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2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300" w:type="dxa"/>
            <w:vAlign w:val="bottom"/>
            <w:tcBorders>
              <w:bottom w:val="single" w:sz="8" w:color="AFAFAF"/>
            </w:tcBorders>
          </w:tcPr>
          <w:p>
            <w:pPr>
              <w:spacing w:after="0"/>
              <w:rPr>
                <w:sz w:val="22"/>
                <w:szCs w:val="22"/>
                <w:color w:val="auto"/>
              </w:rPr>
            </w:pPr>
          </w:p>
        </w:tc>
        <w:tc>
          <w:tcPr>
            <w:tcW w:w="260" w:type="dxa"/>
            <w:vAlign w:val="bottom"/>
            <w:tcBorders>
              <w:bottom w:val="single" w:sz="8" w:color="AFAFAF"/>
            </w:tcBorders>
          </w:tcPr>
          <w:p>
            <w:pPr>
              <w:ind w:left="1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61"/>
        </w:trPr>
        <w:tc>
          <w:tcPr>
            <w:tcW w:w="3160" w:type="dxa"/>
            <w:vAlign w:val="bottom"/>
            <w:tcBorders>
              <w:bottom w:val="single" w:sz="8" w:color="B94831"/>
            </w:tcBorders>
          </w:tcPr>
          <w:p>
            <w:pPr>
              <w:spacing w:after="0"/>
              <w:rPr>
                <w:sz w:val="20"/>
                <w:szCs w:val="20"/>
                <w:color w:val="auto"/>
              </w:rPr>
            </w:pPr>
            <w:r>
              <w:rPr>
                <w:rFonts w:ascii="Arial" w:cs="Arial" w:eastAsia="Arial" w:hAnsi="Arial"/>
                <w:sz w:val="14"/>
                <w:szCs w:val="14"/>
                <w:b w:val="1"/>
                <w:bCs w:val="1"/>
                <w:color w:val="auto"/>
              </w:rPr>
              <w:t>Beth Wilson</w:t>
            </w:r>
          </w:p>
        </w:tc>
        <w:tc>
          <w:tcPr>
            <w:tcW w:w="1920" w:type="dxa"/>
            <w:vAlign w:val="bottom"/>
            <w:tcBorders>
              <w:bottom w:val="single" w:sz="8" w:color="B94831"/>
            </w:tcBorders>
          </w:tcPr>
          <w:p>
            <w:pPr>
              <w:ind w:left="166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B94831"/>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Borders>
              <w:bottom w:val="single" w:sz="8" w:color="B94831"/>
            </w:tcBorders>
          </w:tcPr>
          <w:p>
            <w:pPr>
              <w:spacing w:after="0"/>
              <w:rPr>
                <w:sz w:val="22"/>
                <w:szCs w:val="22"/>
                <w:color w:val="auto"/>
              </w:rPr>
            </w:pPr>
          </w:p>
        </w:tc>
        <w:tc>
          <w:tcPr>
            <w:tcW w:w="380" w:type="dxa"/>
            <w:vAlign w:val="bottom"/>
            <w:tcBorders>
              <w:bottom w:val="single" w:sz="8" w:color="B94831"/>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B94831"/>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B94831"/>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B94831"/>
            </w:tcBorders>
          </w:tcPr>
          <w:p>
            <w:pPr>
              <w:spacing w:after="0"/>
              <w:rPr>
                <w:sz w:val="22"/>
                <w:szCs w:val="22"/>
                <w:color w:val="auto"/>
              </w:rPr>
            </w:pPr>
          </w:p>
        </w:tc>
        <w:tc>
          <w:tcPr>
            <w:tcW w:w="340" w:type="dxa"/>
            <w:vAlign w:val="bottom"/>
            <w:tcBorders>
              <w:bottom w:val="single" w:sz="8" w:color="B94831"/>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Borders>
              <w:bottom w:val="single" w:sz="8" w:color="B94831"/>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Borders>
              <w:bottom w:val="single" w:sz="8" w:color="B94831"/>
            </w:tcBorders>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B94831"/>
            </w:tcBorders>
          </w:tcPr>
          <w:p>
            <w:pPr>
              <w:spacing w:after="0"/>
              <w:rPr>
                <w:sz w:val="22"/>
                <w:szCs w:val="22"/>
                <w:color w:val="auto"/>
              </w:rPr>
            </w:pPr>
          </w:p>
        </w:tc>
        <w:tc>
          <w:tcPr>
            <w:tcW w:w="280" w:type="dxa"/>
            <w:vAlign w:val="bottom"/>
            <w:tcBorders>
              <w:bottom w:val="single" w:sz="8" w:color="B94831"/>
            </w:tcBorders>
          </w:tcPr>
          <w:p>
            <w:pPr>
              <w:spacing w:after="0"/>
              <w:rPr>
                <w:sz w:val="22"/>
                <w:szCs w:val="22"/>
                <w:color w:val="auto"/>
              </w:rPr>
            </w:pPr>
          </w:p>
        </w:tc>
        <w:tc>
          <w:tcPr>
            <w:tcW w:w="300" w:type="dxa"/>
            <w:vAlign w:val="bottom"/>
            <w:tcBorders>
              <w:bottom w:val="single" w:sz="8" w:color="B94831"/>
            </w:tcBorders>
          </w:tcPr>
          <w:p>
            <w:pPr>
              <w:spacing w:after="0"/>
              <w:rPr>
                <w:sz w:val="22"/>
                <w:szCs w:val="22"/>
                <w:color w:val="auto"/>
              </w:rPr>
            </w:pPr>
          </w:p>
        </w:tc>
        <w:tc>
          <w:tcPr>
            <w:tcW w:w="300" w:type="dxa"/>
            <w:vAlign w:val="bottom"/>
            <w:tcBorders>
              <w:bottom w:val="single" w:sz="8" w:color="B94831"/>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B94831"/>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Borders>
              <w:bottom w:val="single" w:sz="8" w:color="B94831"/>
            </w:tcBorders>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B94831"/>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Borders>
              <w:bottom w:val="single" w:sz="8" w:color="B94831"/>
            </w:tcBorders>
          </w:tcPr>
          <w:p>
            <w:pPr>
              <w:spacing w:after="0"/>
              <w:rPr>
                <w:sz w:val="22"/>
                <w:szCs w:val="22"/>
                <w:color w:val="auto"/>
              </w:rPr>
            </w:pPr>
          </w:p>
        </w:tc>
        <w:tc>
          <w:tcPr>
            <w:tcW w:w="260" w:type="dxa"/>
            <w:vAlign w:val="bottom"/>
            <w:tcBorders>
              <w:bottom w:val="single" w:sz="8" w:color="B94831"/>
            </w:tcBorders>
          </w:tcPr>
          <w:p>
            <w:pPr>
              <w:spacing w:after="0"/>
              <w:rPr>
                <w:sz w:val="22"/>
                <w:szCs w:val="22"/>
                <w:color w:val="auto"/>
              </w:rPr>
            </w:pPr>
          </w:p>
        </w:tc>
      </w:tr>
      <w:tr>
        <w:trPr>
          <w:trHeight w:val="227"/>
        </w:trPr>
        <w:tc>
          <w:tcPr>
            <w:tcW w:w="3160" w:type="dxa"/>
            <w:vAlign w:val="bottom"/>
            <w:tcBorders>
              <w:bottom w:val="single" w:sz="8" w:color="B94831"/>
            </w:tcBorders>
          </w:tcPr>
          <w:p>
            <w:pPr>
              <w:spacing w:after="0"/>
              <w:rPr>
                <w:sz w:val="19"/>
                <w:szCs w:val="19"/>
                <w:color w:val="auto"/>
              </w:rPr>
            </w:pPr>
          </w:p>
        </w:tc>
        <w:tc>
          <w:tcPr>
            <w:tcW w:w="1920" w:type="dxa"/>
            <w:vAlign w:val="bottom"/>
            <w:tcBorders>
              <w:bottom w:val="single" w:sz="8" w:color="B94831"/>
            </w:tcBorders>
          </w:tcPr>
          <w:p>
            <w:pPr>
              <w:spacing w:after="0"/>
              <w:rPr>
                <w:sz w:val="19"/>
                <w:szCs w:val="19"/>
                <w:color w:val="auto"/>
              </w:rPr>
            </w:pPr>
          </w:p>
        </w:tc>
        <w:tc>
          <w:tcPr>
            <w:tcW w:w="400" w:type="dxa"/>
            <w:vAlign w:val="bottom"/>
            <w:tcBorders>
              <w:bottom w:val="single" w:sz="8" w:color="B94831"/>
            </w:tcBorders>
          </w:tcPr>
          <w:p>
            <w:pPr>
              <w:spacing w:after="0"/>
              <w:rPr>
                <w:sz w:val="19"/>
                <w:szCs w:val="19"/>
                <w:color w:val="auto"/>
              </w:rPr>
            </w:pPr>
          </w:p>
        </w:tc>
        <w:tc>
          <w:tcPr>
            <w:tcW w:w="380" w:type="dxa"/>
            <w:vAlign w:val="bottom"/>
            <w:tcBorders>
              <w:bottom w:val="single" w:sz="8" w:color="B94831"/>
            </w:tcBorders>
          </w:tcPr>
          <w:p>
            <w:pPr>
              <w:spacing w:after="0"/>
              <w:rPr>
                <w:sz w:val="19"/>
                <w:szCs w:val="19"/>
                <w:color w:val="auto"/>
              </w:rPr>
            </w:pPr>
          </w:p>
        </w:tc>
        <w:tc>
          <w:tcPr>
            <w:tcW w:w="380" w:type="dxa"/>
            <w:vAlign w:val="bottom"/>
            <w:tcBorders>
              <w:bottom w:val="single" w:sz="8" w:color="B94831"/>
            </w:tcBorders>
          </w:tcPr>
          <w:p>
            <w:pPr>
              <w:spacing w:after="0"/>
              <w:rPr>
                <w:sz w:val="19"/>
                <w:szCs w:val="19"/>
                <w:color w:val="auto"/>
              </w:rPr>
            </w:pPr>
          </w:p>
        </w:tc>
        <w:tc>
          <w:tcPr>
            <w:tcW w:w="34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340" w:type="dxa"/>
            <w:vAlign w:val="bottom"/>
            <w:tcBorders>
              <w:bottom w:val="single" w:sz="8" w:color="B94831"/>
            </w:tcBorders>
          </w:tcPr>
          <w:p>
            <w:pPr>
              <w:spacing w:after="0"/>
              <w:rPr>
                <w:sz w:val="19"/>
                <w:szCs w:val="19"/>
                <w:color w:val="auto"/>
              </w:rPr>
            </w:pPr>
          </w:p>
        </w:tc>
        <w:tc>
          <w:tcPr>
            <w:tcW w:w="400" w:type="dxa"/>
            <w:vAlign w:val="bottom"/>
            <w:tcBorders>
              <w:bottom w:val="single" w:sz="8" w:color="B94831"/>
            </w:tcBorders>
          </w:tcPr>
          <w:p>
            <w:pPr>
              <w:spacing w:after="0"/>
              <w:rPr>
                <w:sz w:val="19"/>
                <w:szCs w:val="19"/>
                <w:color w:val="auto"/>
              </w:rPr>
            </w:pPr>
          </w:p>
        </w:tc>
        <w:tc>
          <w:tcPr>
            <w:tcW w:w="34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28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32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300" w:type="dxa"/>
            <w:vAlign w:val="bottom"/>
            <w:tcBorders>
              <w:bottom w:val="single" w:sz="8" w:color="B94831"/>
            </w:tcBorders>
          </w:tcPr>
          <w:p>
            <w:pPr>
              <w:spacing w:after="0"/>
              <w:rPr>
                <w:sz w:val="19"/>
                <w:szCs w:val="19"/>
                <w:color w:val="auto"/>
              </w:rPr>
            </w:pPr>
          </w:p>
        </w:tc>
        <w:tc>
          <w:tcPr>
            <w:tcW w:w="260" w:type="dxa"/>
            <w:vAlign w:val="bottom"/>
            <w:tcBorders>
              <w:bottom w:val="single" w:sz="8" w:color="B94831"/>
            </w:tcBorders>
          </w:tcPr>
          <w:p>
            <w:pPr>
              <w:spacing w:after="0"/>
              <w:rPr>
                <w:sz w:val="19"/>
                <w:szCs w:val="19"/>
                <w:color w:val="auto"/>
              </w:rPr>
            </w:pPr>
          </w:p>
        </w:tc>
      </w:tr>
    </w:tbl>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Board Diversity</w:t>
      </w:r>
    </w:p>
    <w:p>
      <w:pPr>
        <w:spacing w:after="0" w:line="51" w:lineRule="exact"/>
        <w:rPr>
          <w:sz w:val="20"/>
          <w:szCs w:val="20"/>
          <w:color w:val="auto"/>
        </w:rPr>
      </w:pPr>
    </w:p>
    <w:p>
      <w:pPr>
        <w:ind w:left="160" w:right="340"/>
        <w:spacing w:after="0" w:line="295" w:lineRule="auto"/>
        <w:rPr>
          <w:sz w:val="20"/>
          <w:szCs w:val="20"/>
          <w:color w:val="auto"/>
        </w:rPr>
      </w:pPr>
      <w:r>
        <w:rPr>
          <w:rFonts w:ascii="Arial" w:cs="Arial" w:eastAsia="Arial" w:hAnsi="Arial"/>
          <w:sz w:val="17"/>
          <w:szCs w:val="17"/>
          <w:color w:val="auto"/>
        </w:rPr>
        <w:t>The Board also values the benefits that diversity can bring to the boardroom and throughout Thomson Reuters. Diversity promotes the inclusion of different perspectives and ideas, mitigates against group think and improves oversight, decision-making and governance.</w:t>
      </w:r>
    </w:p>
    <w:p>
      <w:pPr>
        <w:spacing w:after="0" w:line="28"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While the Corporate Governance Committee of the Board focuses on finding the best qualified candidates for the Board, a nominee’s diversity may be considered favorably in his or her assessment. Our Corporate Governance Guidelines provide that diversity includes business experience, thought, style, culture, gender, geographic background, race, visible minorities, national origin, Indigenous persons, religion, gender identity and expression, sexual orientation, disability, age and other personal characteristics.</w:t>
      </w:r>
    </w:p>
    <w:p>
      <w:pPr>
        <w:spacing w:after="0" w:line="71" w:lineRule="exact"/>
        <w:rPr>
          <w:sz w:val="20"/>
          <w:szCs w:val="20"/>
          <w:color w:val="auto"/>
        </w:rPr>
      </w:pPr>
    </w:p>
    <w:p>
      <w:pPr>
        <w:ind w:left="160" w:right="160"/>
        <w:spacing w:after="0" w:line="295" w:lineRule="auto"/>
        <w:rPr>
          <w:sz w:val="20"/>
          <w:szCs w:val="20"/>
          <w:color w:val="auto"/>
        </w:rPr>
      </w:pPr>
      <w:r>
        <w:rPr>
          <w:rFonts w:ascii="Arial" w:cs="Arial" w:eastAsia="Arial" w:hAnsi="Arial"/>
          <w:sz w:val="17"/>
          <w:szCs w:val="17"/>
          <w:color w:val="auto"/>
        </w:rPr>
        <w:t>In April 2022, the Board formalized an objective that at least 30% of its members should be women. Five of the 13 director nominees proposed for election at the meeting (38%) are women. Two of our director nominees have self-identified as racially or ethnically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191135</wp:posOffset>
            </wp:positionV>
            <wp:extent cx="2615565" cy="1376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15565" cy="137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Independence</w:t>
      </w:r>
    </w:p>
    <w:p>
      <w:pPr>
        <w:spacing w:after="0" w:line="5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A majority of the Board is independent. Under the Corporate Governance Guidelines adopted by the Board, a director is not considered independent unless the Board affirmatively determines that the director has no “material relationship” with Thomson Reuters. In determining the independence of directors, the Board considers all relevant facts and circumstances. In March 2024, the Board conducted its annual assessment of the independence of its members and determined that nine of the 13 current directors (approximately 69%) serving on the Board were independent. The Board also determined that if all of the director nominees are elected, then nine of the 13 directors (approximately 69%) will be independent following the meeting.</w:t>
      </w:r>
    </w:p>
    <w:p>
      <w:pPr>
        <w:spacing w:after="0" w:line="74"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In determining independence, the Board examined and relied on the applicable definitions of “independent” in the NYSE listing standards and Canadian Securities Administrators’ National Instrument 58-101. The Board’s determination of independence was also based on responses to questionnaires completed by directors.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the Board to function independently from management:</w:t>
      </w:r>
    </w:p>
    <w:p>
      <w:pPr>
        <w:sectPr>
          <w:pgSz w:w="11900" w:h="16838" w:orient="portrait"/>
          <w:cols w:equalWidth="0" w:num="1">
            <w:col w:w="11080"/>
          </w:cols>
          <w:pgMar w:left="320" w:top="454" w:right="49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140"/>
        <w:spacing w:after="0" w:line="387" w:lineRule="auto"/>
        <w:rPr>
          <w:sz w:val="20"/>
          <w:szCs w:val="20"/>
          <w:color w:val="auto"/>
        </w:rPr>
      </w:pPr>
      <w:r>
        <w:rPr>
          <w:rFonts w:ascii="Arial" w:cs="Arial" w:eastAsia="Arial" w:hAnsi="Arial"/>
          <w:sz w:val="18"/>
          <w:szCs w:val="18"/>
          <w:color w:val="auto"/>
        </w:rPr>
        <w:t>The roles and responsibilities of the Chairman (David Thomson) and the CEO (Steve Hasker) are separate; We have a Lead Independent Director (Michael E. Daniels); and</w:t>
      </w:r>
    </w:p>
    <w:p>
      <w:pPr>
        <w:spacing w:after="0" w:line="1"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Audit Committee is comprised entirely of independent directors (as required by applicable law) and the Corporate Governance Committee, HR Committee and Risk Committee each have a majority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929755"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spacing w:after="0" w:line="71"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17</w:t>
      </w:r>
    </w:p>
    <w:p>
      <w:pPr>
        <w:sectPr>
          <w:pgSz w:w="11900" w:h="16838" w:orient="portrait"/>
          <w:cols w:equalWidth="0" w:num="1">
            <w:col w:w="11080"/>
          </w:cols>
          <w:pgMar w:left="320" w:top="454"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indicates which of our directors are independent and not independent.</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600" w:type="dxa"/>
            <w:vAlign w:val="bottom"/>
            <w:tcBorders>
              <w:bottom w:val="single" w:sz="8" w:color="BFBFBF"/>
            </w:tcBorders>
            <w:shd w:val="clear" w:color="auto" w:fill="BFBFBF"/>
          </w:tcPr>
          <w:p>
            <w:pPr>
              <w:spacing w:after="0"/>
              <w:rPr>
                <w:sz w:val="22"/>
                <w:szCs w:val="22"/>
                <w:color w:val="auto"/>
              </w:rPr>
            </w:pPr>
          </w:p>
        </w:tc>
        <w:tc>
          <w:tcPr>
            <w:tcW w:w="1420" w:type="dxa"/>
            <w:vAlign w:val="bottom"/>
            <w:tcBorders>
              <w:bottom w:val="single" w:sz="8" w:color="BFBFBF"/>
            </w:tcBorders>
            <w:shd w:val="clear" w:color="auto" w:fill="BFBFBF"/>
          </w:tcPr>
          <w:p>
            <w:pPr>
              <w:spacing w:after="0"/>
              <w:rPr>
                <w:sz w:val="22"/>
                <w:szCs w:val="22"/>
                <w:color w:val="auto"/>
              </w:rPr>
            </w:pPr>
          </w:p>
        </w:tc>
        <w:tc>
          <w:tcPr>
            <w:tcW w:w="4960" w:type="dxa"/>
            <w:vAlign w:val="bottom"/>
            <w:tcBorders>
              <w:bottom w:val="single" w:sz="8" w:color="BFBFBF"/>
            </w:tcBorders>
            <w:gridSpan w:val="2"/>
            <w:shd w:val="clear" w:color="auto" w:fill="BFBFBF"/>
          </w:tcPr>
          <w:p>
            <w:pPr>
              <w:ind w:left="200"/>
              <w:spacing w:after="0"/>
              <w:rPr>
                <w:sz w:val="20"/>
                <w:szCs w:val="20"/>
                <w:color w:val="auto"/>
              </w:rPr>
            </w:pPr>
            <w:r>
              <w:rPr>
                <w:rFonts w:ascii="Arial" w:cs="Arial" w:eastAsia="Arial" w:hAnsi="Arial"/>
                <w:sz w:val="15"/>
                <w:szCs w:val="15"/>
                <w:b w:val="1"/>
                <w:bCs w:val="1"/>
                <w:color w:val="auto"/>
              </w:rPr>
              <w:t>Director Independence</w:t>
            </w:r>
          </w:p>
        </w:tc>
      </w:tr>
      <w:tr>
        <w:trPr>
          <w:trHeight w:val="323"/>
        </w:trPr>
        <w:tc>
          <w:tcPr>
            <w:tcW w:w="20" w:type="dxa"/>
            <w:vAlign w:val="bottom"/>
          </w:tcPr>
          <w:p>
            <w:pPr>
              <w:spacing w:after="0"/>
              <w:rPr>
                <w:sz w:val="24"/>
                <w:szCs w:val="24"/>
                <w:color w:val="auto"/>
              </w:rPr>
            </w:pPr>
          </w:p>
        </w:tc>
        <w:tc>
          <w:tcPr>
            <w:tcW w:w="2920" w:type="dxa"/>
            <w:vAlign w:val="bottom"/>
            <w:shd w:val="clear" w:color="auto" w:fill="262626"/>
          </w:tcPr>
          <w:p>
            <w:pPr>
              <w:spacing w:after="0"/>
              <w:rPr>
                <w:sz w:val="20"/>
                <w:szCs w:val="20"/>
                <w:color w:val="auto"/>
              </w:rPr>
            </w:pPr>
            <w:r>
              <w:rPr>
                <w:rFonts w:ascii="Arial" w:cs="Arial" w:eastAsia="Arial" w:hAnsi="Arial"/>
                <w:sz w:val="15"/>
                <w:szCs w:val="15"/>
                <w:b w:val="1"/>
                <w:bCs w:val="1"/>
                <w:color w:val="FFFFFF"/>
              </w:rPr>
              <w:t>Name of Director</w:t>
            </w:r>
          </w:p>
        </w:tc>
        <w:tc>
          <w:tcPr>
            <w:tcW w:w="1600" w:type="dxa"/>
            <w:vAlign w:val="bottom"/>
            <w:shd w:val="clear" w:color="auto" w:fill="262626"/>
          </w:tcPr>
          <w:p>
            <w:pPr>
              <w:ind w:left="360"/>
              <w:spacing w:after="0"/>
              <w:rPr>
                <w:sz w:val="20"/>
                <w:szCs w:val="20"/>
                <w:color w:val="auto"/>
              </w:rPr>
            </w:pPr>
            <w:r>
              <w:rPr>
                <w:rFonts w:ascii="Arial" w:cs="Arial" w:eastAsia="Arial" w:hAnsi="Arial"/>
                <w:sz w:val="15"/>
                <w:szCs w:val="15"/>
                <w:b w:val="1"/>
                <w:bCs w:val="1"/>
                <w:color w:val="FFFFFF"/>
              </w:rPr>
              <w:t>Management</w:t>
            </w:r>
          </w:p>
        </w:tc>
        <w:tc>
          <w:tcPr>
            <w:tcW w:w="1420" w:type="dxa"/>
            <w:vAlign w:val="bottom"/>
            <w:shd w:val="clear" w:color="auto" w:fill="262626"/>
          </w:tcPr>
          <w:p>
            <w:pPr>
              <w:ind w:left="300"/>
              <w:spacing w:after="0"/>
              <w:rPr>
                <w:sz w:val="20"/>
                <w:szCs w:val="20"/>
                <w:color w:val="auto"/>
              </w:rPr>
            </w:pPr>
            <w:r>
              <w:rPr>
                <w:rFonts w:ascii="Arial" w:cs="Arial" w:eastAsia="Arial" w:hAnsi="Arial"/>
                <w:sz w:val="15"/>
                <w:szCs w:val="15"/>
                <w:b w:val="1"/>
                <w:bCs w:val="1"/>
                <w:color w:val="FFFFFF"/>
              </w:rPr>
              <w:t>Independent</w:t>
            </w:r>
          </w:p>
        </w:tc>
        <w:tc>
          <w:tcPr>
            <w:tcW w:w="1580" w:type="dxa"/>
            <w:vAlign w:val="bottom"/>
            <w:shd w:val="clear" w:color="auto" w:fill="262626"/>
          </w:tcPr>
          <w:p>
            <w:pPr>
              <w:ind w:left="260"/>
              <w:spacing w:after="0"/>
              <w:rPr>
                <w:sz w:val="20"/>
                <w:szCs w:val="20"/>
                <w:color w:val="auto"/>
              </w:rPr>
            </w:pPr>
            <w:r>
              <w:rPr>
                <w:rFonts w:ascii="Arial" w:cs="Arial" w:eastAsia="Arial" w:hAnsi="Arial"/>
                <w:sz w:val="15"/>
                <w:szCs w:val="15"/>
                <w:b w:val="1"/>
                <w:bCs w:val="1"/>
                <w:color w:val="FFFFFF"/>
              </w:rPr>
              <w:t>Not Independent</w:t>
            </w:r>
          </w:p>
        </w:tc>
        <w:tc>
          <w:tcPr>
            <w:tcW w:w="3380" w:type="dxa"/>
            <w:vAlign w:val="bottom"/>
            <w:shd w:val="clear" w:color="auto" w:fill="262626"/>
          </w:tcPr>
          <w:p>
            <w:pPr>
              <w:ind w:left="120"/>
              <w:spacing w:after="0"/>
              <w:rPr>
                <w:sz w:val="20"/>
                <w:szCs w:val="20"/>
                <w:color w:val="auto"/>
              </w:rPr>
            </w:pPr>
            <w:r>
              <w:rPr>
                <w:rFonts w:ascii="Arial" w:cs="Arial" w:eastAsia="Arial" w:hAnsi="Arial"/>
                <w:sz w:val="15"/>
                <w:szCs w:val="15"/>
                <w:b w:val="1"/>
                <w:bCs w:val="1"/>
                <w:color w:val="FFFFFF"/>
              </w:rPr>
              <w:t>Reason for Non-Independence</w:t>
            </w:r>
          </w:p>
        </w:tc>
      </w:tr>
      <w:tr>
        <w:trPr>
          <w:trHeight w:val="64"/>
        </w:trPr>
        <w:tc>
          <w:tcPr>
            <w:tcW w:w="20" w:type="dxa"/>
            <w:vAlign w:val="bottom"/>
          </w:tcPr>
          <w:p>
            <w:pPr>
              <w:spacing w:after="0"/>
              <w:rPr>
                <w:sz w:val="5"/>
                <w:szCs w:val="5"/>
                <w:color w:val="auto"/>
              </w:rPr>
            </w:pPr>
          </w:p>
        </w:tc>
        <w:tc>
          <w:tcPr>
            <w:tcW w:w="2920" w:type="dxa"/>
            <w:vAlign w:val="bottom"/>
            <w:shd w:val="clear" w:color="auto" w:fill="262626"/>
          </w:tcPr>
          <w:p>
            <w:pPr>
              <w:spacing w:after="0"/>
              <w:rPr>
                <w:sz w:val="5"/>
                <w:szCs w:val="5"/>
                <w:color w:val="auto"/>
              </w:rPr>
            </w:pPr>
          </w:p>
        </w:tc>
        <w:tc>
          <w:tcPr>
            <w:tcW w:w="1600" w:type="dxa"/>
            <w:vAlign w:val="bottom"/>
            <w:shd w:val="clear" w:color="auto" w:fill="262626"/>
          </w:tcPr>
          <w:p>
            <w:pPr>
              <w:spacing w:after="0"/>
              <w:rPr>
                <w:sz w:val="5"/>
                <w:szCs w:val="5"/>
                <w:color w:val="auto"/>
              </w:rPr>
            </w:pPr>
          </w:p>
        </w:tc>
        <w:tc>
          <w:tcPr>
            <w:tcW w:w="1420" w:type="dxa"/>
            <w:vAlign w:val="bottom"/>
            <w:shd w:val="clear" w:color="auto" w:fill="262626"/>
          </w:tcPr>
          <w:p>
            <w:pPr>
              <w:spacing w:after="0"/>
              <w:rPr>
                <w:sz w:val="5"/>
                <w:szCs w:val="5"/>
                <w:color w:val="auto"/>
              </w:rPr>
            </w:pPr>
          </w:p>
        </w:tc>
        <w:tc>
          <w:tcPr>
            <w:tcW w:w="1580" w:type="dxa"/>
            <w:vAlign w:val="bottom"/>
            <w:shd w:val="clear" w:color="auto" w:fill="262626"/>
          </w:tcPr>
          <w:p>
            <w:pPr>
              <w:spacing w:after="0"/>
              <w:rPr>
                <w:sz w:val="5"/>
                <w:szCs w:val="5"/>
                <w:color w:val="auto"/>
              </w:rPr>
            </w:pPr>
          </w:p>
        </w:tc>
        <w:tc>
          <w:tcPr>
            <w:tcW w:w="3380" w:type="dxa"/>
            <w:vAlign w:val="bottom"/>
            <w:shd w:val="clear" w:color="auto" w:fill="262626"/>
          </w:tcPr>
          <w:p>
            <w:pPr>
              <w:spacing w:after="0"/>
              <w:rPr>
                <w:sz w:val="5"/>
                <w:szCs w:val="5"/>
                <w:color w:val="auto"/>
              </w:rPr>
            </w:pPr>
          </w:p>
        </w:tc>
      </w:tr>
      <w:tr>
        <w:trPr>
          <w:trHeight w:val="160"/>
        </w:trPr>
        <w:tc>
          <w:tcPr>
            <w:tcW w:w="20" w:type="dxa"/>
            <w:vAlign w:val="bottom"/>
            <w:tcBorders>
              <w:bottom w:val="single" w:sz="8" w:color="AFAFAF"/>
            </w:tcBorders>
          </w:tcPr>
          <w:p>
            <w:pPr>
              <w:spacing w:after="0"/>
              <w:rPr>
                <w:sz w:val="13"/>
                <w:szCs w:val="13"/>
                <w:color w:val="auto"/>
              </w:rPr>
            </w:pPr>
          </w:p>
        </w:tc>
        <w:tc>
          <w:tcPr>
            <w:tcW w:w="292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Current directors</w:t>
            </w:r>
          </w:p>
        </w:tc>
        <w:tc>
          <w:tcPr>
            <w:tcW w:w="1600" w:type="dxa"/>
            <w:vAlign w:val="bottom"/>
            <w:tcBorders>
              <w:bottom w:val="single" w:sz="8" w:color="AFAFAF"/>
            </w:tcBorders>
          </w:tcPr>
          <w:p>
            <w:pPr>
              <w:spacing w:after="0"/>
              <w:rPr>
                <w:sz w:val="13"/>
                <w:szCs w:val="13"/>
                <w:color w:val="auto"/>
              </w:rPr>
            </w:pPr>
          </w:p>
        </w:tc>
        <w:tc>
          <w:tcPr>
            <w:tcW w:w="1420" w:type="dxa"/>
            <w:vAlign w:val="bottom"/>
            <w:tcBorders>
              <w:bottom w:val="single" w:sz="8" w:color="AFAFAF"/>
            </w:tcBorders>
          </w:tcPr>
          <w:p>
            <w:pPr>
              <w:spacing w:after="0"/>
              <w:rPr>
                <w:sz w:val="13"/>
                <w:szCs w:val="13"/>
                <w:color w:val="auto"/>
              </w:rPr>
            </w:pPr>
          </w:p>
        </w:tc>
        <w:tc>
          <w:tcPr>
            <w:tcW w:w="1580" w:type="dxa"/>
            <w:vAlign w:val="bottom"/>
            <w:tcBorders>
              <w:bottom w:val="single" w:sz="8" w:color="AFAFAF"/>
            </w:tcBorders>
          </w:tcPr>
          <w:p>
            <w:pPr>
              <w:spacing w:after="0"/>
              <w:rPr>
                <w:sz w:val="13"/>
                <w:szCs w:val="13"/>
                <w:color w:val="auto"/>
              </w:rPr>
            </w:pPr>
          </w:p>
        </w:tc>
        <w:tc>
          <w:tcPr>
            <w:tcW w:w="3380" w:type="dxa"/>
            <w:vAlign w:val="bottom"/>
            <w:tcBorders>
              <w:bottom w:val="single" w:sz="8" w:color="AFAFAF"/>
            </w:tcBorders>
          </w:tcPr>
          <w:p>
            <w:pPr>
              <w:spacing w:after="0"/>
              <w:rPr>
                <w:sz w:val="13"/>
                <w:szCs w:val="13"/>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David Thomson</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spacing w:after="0"/>
              <w:rPr>
                <w:sz w:val="14"/>
                <w:szCs w:val="14"/>
                <w:color w:val="auto"/>
              </w:rPr>
            </w:pPr>
          </w:p>
        </w:tc>
        <w:tc>
          <w:tcPr>
            <w:tcW w:w="1580" w:type="dxa"/>
            <w:vAlign w:val="bottom"/>
            <w:tcBorders>
              <w:bottom w:val="single" w:sz="8" w:color="AFAFAF"/>
            </w:tcBorders>
          </w:tcPr>
          <w:p>
            <w:pPr>
              <w:jc w:val="center"/>
              <w:ind w:left="67"/>
              <w:spacing w:after="0" w:line="141" w:lineRule="exact"/>
              <w:rPr>
                <w:sz w:val="20"/>
                <w:szCs w:val="20"/>
                <w:color w:val="auto"/>
              </w:rPr>
            </w:pPr>
            <w:r>
              <w:rPr>
                <w:rFonts w:ascii="MS PGothic" w:cs="MS PGothic" w:eastAsia="MS PGothic" w:hAnsi="MS PGothic"/>
                <w:sz w:val="14"/>
                <w:szCs w:val="14"/>
                <w:color w:val="auto"/>
                <w:w w:val="85"/>
              </w:rPr>
              <w:t>✓</w:t>
            </w:r>
          </w:p>
        </w:tc>
        <w:tc>
          <w:tcPr>
            <w:tcW w:w="3380" w:type="dxa"/>
            <w:vAlign w:val="bottom"/>
            <w:tcBorders>
              <w:bottom w:val="single" w:sz="8" w:color="AFAFAF"/>
            </w:tcBorders>
          </w:tcPr>
          <w:p>
            <w:pPr>
              <w:ind w:left="120"/>
              <w:spacing w:after="0"/>
              <w:rPr>
                <w:sz w:val="20"/>
                <w:szCs w:val="20"/>
                <w:color w:val="auto"/>
              </w:rPr>
            </w:pPr>
            <w:r>
              <w:rPr>
                <w:rFonts w:ascii="Arial" w:cs="Arial" w:eastAsia="Arial" w:hAnsi="Arial"/>
                <w:sz w:val="14"/>
                <w:szCs w:val="14"/>
                <w:color w:val="auto"/>
              </w:rPr>
              <w:t>A Chairman of Woodbridge</w:t>
            </w:r>
          </w:p>
        </w:tc>
      </w:tr>
      <w:tr>
        <w:trPr>
          <w:trHeight w:val="145"/>
        </w:trPr>
        <w:tc>
          <w:tcPr>
            <w:tcW w:w="29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Steve Hasker</w:t>
            </w:r>
          </w:p>
        </w:tc>
        <w:tc>
          <w:tcPr>
            <w:tcW w:w="1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Pr>
          <w:p>
            <w:pPr>
              <w:spacing w:after="0"/>
              <w:rPr>
                <w:sz w:val="12"/>
                <w:szCs w:val="12"/>
                <w:color w:val="auto"/>
              </w:rPr>
            </w:pPr>
          </w:p>
        </w:tc>
        <w:tc>
          <w:tcPr>
            <w:tcW w:w="1580" w:type="dxa"/>
            <w:vAlign w:val="bottom"/>
          </w:tcPr>
          <w:p>
            <w:pPr>
              <w:jc w:val="center"/>
              <w:ind w:left="67"/>
              <w:spacing w:after="0" w:line="141" w:lineRule="exact"/>
              <w:rPr>
                <w:sz w:val="20"/>
                <w:szCs w:val="20"/>
                <w:color w:val="auto"/>
              </w:rPr>
            </w:pPr>
            <w:r>
              <w:rPr>
                <w:rFonts w:ascii="MS PGothic" w:cs="MS PGothic" w:eastAsia="MS PGothic" w:hAnsi="MS PGothic"/>
                <w:sz w:val="14"/>
                <w:szCs w:val="14"/>
                <w:color w:val="auto"/>
                <w:w w:val="85"/>
              </w:rPr>
              <w:t>✓</w:t>
            </w:r>
          </w:p>
        </w:tc>
        <w:tc>
          <w:tcPr>
            <w:tcW w:w="3380" w:type="dxa"/>
            <w:vAlign w:val="bottom"/>
          </w:tcPr>
          <w:p>
            <w:pPr>
              <w:ind w:left="120"/>
              <w:spacing w:after="0" w:line="145" w:lineRule="exact"/>
              <w:rPr>
                <w:sz w:val="20"/>
                <w:szCs w:val="20"/>
                <w:color w:val="auto"/>
              </w:rPr>
            </w:pPr>
            <w:r>
              <w:rPr>
                <w:rFonts w:ascii="Arial" w:cs="Arial" w:eastAsia="Arial" w:hAnsi="Arial"/>
                <w:sz w:val="14"/>
                <w:szCs w:val="14"/>
                <w:color w:val="auto"/>
              </w:rPr>
              <w:t>President &amp; Chief Executive Officer of Thomson</w:t>
            </w:r>
          </w:p>
        </w:tc>
      </w:tr>
      <w:tr>
        <w:trPr>
          <w:trHeight w:val="170"/>
        </w:trPr>
        <w:tc>
          <w:tcPr>
            <w:tcW w:w="20" w:type="dxa"/>
            <w:vAlign w:val="bottom"/>
          </w:tcPr>
          <w:p>
            <w:pPr>
              <w:spacing w:after="0"/>
              <w:rPr>
                <w:sz w:val="14"/>
                <w:szCs w:val="14"/>
                <w:color w:val="auto"/>
              </w:rPr>
            </w:pPr>
          </w:p>
        </w:tc>
        <w:tc>
          <w:tcPr>
            <w:tcW w:w="2920" w:type="dxa"/>
            <w:vAlign w:val="bottom"/>
            <w:tcBorders>
              <w:bottom w:val="single" w:sz="8" w:color="AFAFAF"/>
            </w:tcBorders>
          </w:tcPr>
          <w:p>
            <w:pPr>
              <w:spacing w:after="0"/>
              <w:rPr>
                <w:sz w:val="14"/>
                <w:szCs w:val="14"/>
                <w:color w:val="auto"/>
              </w:rPr>
            </w:pP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spacing w:after="0"/>
              <w:rPr>
                <w:sz w:val="14"/>
                <w:szCs w:val="14"/>
                <w:color w:val="auto"/>
              </w:rPr>
            </w:pP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ind w:left="120"/>
              <w:spacing w:after="0"/>
              <w:rPr>
                <w:sz w:val="20"/>
                <w:szCs w:val="20"/>
                <w:color w:val="auto"/>
              </w:rPr>
            </w:pPr>
            <w:r>
              <w:rPr>
                <w:rFonts w:ascii="Arial" w:cs="Arial" w:eastAsia="Arial" w:hAnsi="Arial"/>
                <w:sz w:val="14"/>
                <w:szCs w:val="14"/>
                <w:color w:val="auto"/>
              </w:rPr>
              <w:t>Reuters</w:t>
            </w:r>
          </w:p>
        </w:tc>
      </w:tr>
      <w:tr>
        <w:trPr>
          <w:trHeight w:val="167"/>
        </w:trPr>
        <w:tc>
          <w:tcPr>
            <w:tcW w:w="20" w:type="dxa"/>
            <w:vAlign w:val="bottom"/>
            <w:tcBorders>
              <w:bottom w:val="single" w:sz="8" w:color="AFAFAF"/>
            </w:tcBorders>
          </w:tcPr>
          <w:p>
            <w:pPr>
              <w:spacing w:after="0"/>
              <w:rPr>
                <w:sz w:val="14"/>
                <w:szCs w:val="14"/>
                <w:color w:val="auto"/>
              </w:rPr>
            </w:pPr>
          </w:p>
        </w:tc>
        <w:tc>
          <w:tcPr>
            <w:tcW w:w="292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Kirk E. Arnold</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45"/>
        </w:trPr>
        <w:tc>
          <w:tcPr>
            <w:tcW w:w="29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W. Edmund Clark, C.M.</w:t>
            </w:r>
          </w:p>
        </w:tc>
        <w:tc>
          <w:tcPr>
            <w:tcW w:w="1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tcPr>
          <w:p>
            <w:pPr>
              <w:jc w:val="center"/>
              <w:ind w:left="67"/>
              <w:spacing w:after="0" w:line="141" w:lineRule="exact"/>
              <w:rPr>
                <w:sz w:val="20"/>
                <w:szCs w:val="20"/>
                <w:color w:val="auto"/>
              </w:rPr>
            </w:pPr>
            <w:r>
              <w:rPr>
                <w:rFonts w:ascii="MS PGothic" w:cs="MS PGothic" w:eastAsia="MS PGothic" w:hAnsi="MS PGothic"/>
                <w:sz w:val="14"/>
                <w:szCs w:val="14"/>
                <w:color w:val="auto"/>
                <w:w w:val="85"/>
              </w:rPr>
              <w:t>✓</w:t>
            </w:r>
          </w:p>
        </w:tc>
        <w:tc>
          <w:tcPr>
            <w:tcW w:w="3380" w:type="dxa"/>
            <w:vAlign w:val="bottom"/>
          </w:tcPr>
          <w:p>
            <w:pPr>
              <w:ind w:left="120"/>
              <w:spacing w:after="0" w:line="145" w:lineRule="exact"/>
              <w:rPr>
                <w:sz w:val="20"/>
                <w:szCs w:val="20"/>
                <w:color w:val="auto"/>
              </w:rPr>
            </w:pPr>
            <w:r>
              <w:rPr>
                <w:rFonts w:ascii="Arial" w:cs="Arial" w:eastAsia="Arial" w:hAnsi="Arial"/>
                <w:sz w:val="14"/>
                <w:szCs w:val="14"/>
                <w:color w:val="auto"/>
              </w:rPr>
              <w:t>Advisor to the trustee of the 2003 TIL Settlement</w:t>
            </w:r>
          </w:p>
        </w:tc>
      </w:tr>
      <w:tr>
        <w:trPr>
          <w:trHeight w:val="170"/>
        </w:trPr>
        <w:tc>
          <w:tcPr>
            <w:tcW w:w="20" w:type="dxa"/>
            <w:vAlign w:val="bottom"/>
          </w:tcPr>
          <w:p>
            <w:pPr>
              <w:spacing w:after="0"/>
              <w:rPr>
                <w:sz w:val="14"/>
                <w:szCs w:val="14"/>
                <w:color w:val="auto"/>
              </w:rPr>
            </w:pPr>
          </w:p>
        </w:tc>
        <w:tc>
          <w:tcPr>
            <w:tcW w:w="2920" w:type="dxa"/>
            <w:vAlign w:val="bottom"/>
            <w:tcBorders>
              <w:bottom w:val="single" w:sz="8" w:color="AFAFAF"/>
            </w:tcBorders>
          </w:tcPr>
          <w:p>
            <w:pPr>
              <w:spacing w:after="0"/>
              <w:rPr>
                <w:sz w:val="14"/>
                <w:szCs w:val="14"/>
                <w:color w:val="auto"/>
              </w:rPr>
            </w:pP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spacing w:after="0"/>
              <w:rPr>
                <w:sz w:val="14"/>
                <w:szCs w:val="14"/>
                <w:color w:val="auto"/>
              </w:rPr>
            </w:pP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ind w:left="120"/>
              <w:spacing w:after="0"/>
              <w:rPr>
                <w:sz w:val="20"/>
                <w:szCs w:val="20"/>
                <w:color w:val="auto"/>
              </w:rPr>
            </w:pPr>
            <w:r>
              <w:rPr>
                <w:rFonts w:ascii="Arial" w:cs="Arial" w:eastAsia="Arial" w:hAnsi="Arial"/>
                <w:sz w:val="14"/>
                <w:szCs w:val="14"/>
                <w:color w:val="auto"/>
              </w:rPr>
              <w:t>and Woodbridge</w:t>
            </w:r>
          </w:p>
        </w:tc>
      </w:tr>
      <w:tr>
        <w:trPr>
          <w:trHeight w:val="167"/>
        </w:trPr>
        <w:tc>
          <w:tcPr>
            <w:tcW w:w="20" w:type="dxa"/>
            <w:vAlign w:val="bottom"/>
            <w:tcBorders>
              <w:bottom w:val="single" w:sz="8" w:color="AFAFAF"/>
            </w:tcBorders>
          </w:tcPr>
          <w:p>
            <w:pPr>
              <w:spacing w:after="0"/>
              <w:rPr>
                <w:sz w:val="14"/>
                <w:szCs w:val="14"/>
                <w:color w:val="auto"/>
              </w:rPr>
            </w:pPr>
          </w:p>
        </w:tc>
        <w:tc>
          <w:tcPr>
            <w:tcW w:w="292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LaVerne Council</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Michael E. Daniels</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Kirk Koenigsbauer</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Deanna Oppenheimer</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Simon Paris</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Kim M. Rivera</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Barry Salzberg</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AFAFAF"/>
            </w:tcBorders>
          </w:tcPr>
          <w:p>
            <w:pPr>
              <w:spacing w:after="0"/>
              <w:rPr>
                <w:sz w:val="14"/>
                <w:szCs w:val="14"/>
                <w:color w:val="auto"/>
              </w:rPr>
            </w:pPr>
          </w:p>
        </w:tc>
        <w:tc>
          <w:tcPr>
            <w:tcW w:w="3380" w:type="dxa"/>
            <w:vAlign w:val="bottom"/>
            <w:tcBorders>
              <w:bottom w:val="single" w:sz="8" w:color="AFAFAF"/>
            </w:tcBorders>
          </w:tcPr>
          <w:p>
            <w:pPr>
              <w:spacing w:after="0"/>
              <w:rPr>
                <w:sz w:val="14"/>
                <w:szCs w:val="14"/>
                <w:color w:val="auto"/>
              </w:rPr>
            </w:pPr>
          </w:p>
        </w:tc>
      </w:tr>
      <w:tr>
        <w:trPr>
          <w:trHeight w:val="167"/>
        </w:trPr>
        <w:tc>
          <w:tcPr>
            <w:tcW w:w="2940" w:type="dxa"/>
            <w:vAlign w:val="bottom"/>
            <w:tcBorders>
              <w:bottom w:val="single" w:sz="8" w:color="AFAFAF"/>
            </w:tcBorders>
            <w:gridSpan w:val="2"/>
          </w:tcPr>
          <w:p>
            <w:pPr>
              <w:spacing w:after="0"/>
              <w:rPr>
                <w:sz w:val="20"/>
                <w:szCs w:val="20"/>
                <w:color w:val="auto"/>
              </w:rPr>
            </w:pPr>
            <w:r>
              <w:rPr>
                <w:rFonts w:ascii="Arial" w:cs="Arial" w:eastAsia="Arial" w:hAnsi="Arial"/>
                <w:sz w:val="14"/>
                <w:szCs w:val="14"/>
                <w:b w:val="1"/>
                <w:bCs w:val="1"/>
                <w:color w:val="auto"/>
              </w:rPr>
              <w:t>Peter J. Thomson</w:t>
            </w:r>
          </w:p>
        </w:tc>
        <w:tc>
          <w:tcPr>
            <w:tcW w:w="1600" w:type="dxa"/>
            <w:vAlign w:val="bottom"/>
            <w:tcBorders>
              <w:bottom w:val="single" w:sz="8" w:color="AFAFAF"/>
            </w:tcBorders>
          </w:tcPr>
          <w:p>
            <w:pPr>
              <w:spacing w:after="0"/>
              <w:rPr>
                <w:sz w:val="14"/>
                <w:szCs w:val="14"/>
                <w:color w:val="auto"/>
              </w:rPr>
            </w:pPr>
          </w:p>
        </w:tc>
        <w:tc>
          <w:tcPr>
            <w:tcW w:w="1420" w:type="dxa"/>
            <w:vAlign w:val="bottom"/>
            <w:tcBorders>
              <w:bottom w:val="single" w:sz="8" w:color="AFAFAF"/>
            </w:tcBorders>
          </w:tcPr>
          <w:p>
            <w:pPr>
              <w:spacing w:after="0"/>
              <w:rPr>
                <w:sz w:val="14"/>
                <w:szCs w:val="14"/>
                <w:color w:val="auto"/>
              </w:rPr>
            </w:pPr>
          </w:p>
        </w:tc>
        <w:tc>
          <w:tcPr>
            <w:tcW w:w="1580" w:type="dxa"/>
            <w:vAlign w:val="bottom"/>
            <w:tcBorders>
              <w:bottom w:val="single" w:sz="8" w:color="AFAFAF"/>
            </w:tcBorders>
          </w:tcPr>
          <w:p>
            <w:pPr>
              <w:jc w:val="center"/>
              <w:ind w:left="67"/>
              <w:spacing w:after="0" w:line="141" w:lineRule="exact"/>
              <w:rPr>
                <w:sz w:val="20"/>
                <w:szCs w:val="20"/>
                <w:color w:val="auto"/>
              </w:rPr>
            </w:pPr>
            <w:r>
              <w:rPr>
                <w:rFonts w:ascii="MS PGothic" w:cs="MS PGothic" w:eastAsia="MS PGothic" w:hAnsi="MS PGothic"/>
                <w:sz w:val="14"/>
                <w:szCs w:val="14"/>
                <w:color w:val="auto"/>
                <w:w w:val="85"/>
              </w:rPr>
              <w:t>✓</w:t>
            </w:r>
          </w:p>
        </w:tc>
        <w:tc>
          <w:tcPr>
            <w:tcW w:w="3380" w:type="dxa"/>
            <w:vAlign w:val="bottom"/>
            <w:tcBorders>
              <w:bottom w:val="single" w:sz="8" w:color="AFAFAF"/>
            </w:tcBorders>
          </w:tcPr>
          <w:p>
            <w:pPr>
              <w:ind w:left="120"/>
              <w:spacing w:after="0"/>
              <w:rPr>
                <w:sz w:val="20"/>
                <w:szCs w:val="20"/>
                <w:color w:val="auto"/>
              </w:rPr>
            </w:pPr>
            <w:r>
              <w:rPr>
                <w:rFonts w:ascii="Arial" w:cs="Arial" w:eastAsia="Arial" w:hAnsi="Arial"/>
                <w:sz w:val="14"/>
                <w:szCs w:val="14"/>
                <w:color w:val="auto"/>
              </w:rPr>
              <w:t>A Chairman of Woodbridge</w:t>
            </w:r>
          </w:p>
        </w:tc>
      </w:tr>
      <w:tr>
        <w:trPr>
          <w:trHeight w:val="167"/>
        </w:trPr>
        <w:tc>
          <w:tcPr>
            <w:tcW w:w="2940" w:type="dxa"/>
            <w:vAlign w:val="bottom"/>
            <w:tcBorders>
              <w:bottom w:val="single" w:sz="8" w:color="B94831"/>
            </w:tcBorders>
            <w:gridSpan w:val="2"/>
          </w:tcPr>
          <w:p>
            <w:pPr>
              <w:spacing w:after="0"/>
              <w:rPr>
                <w:sz w:val="20"/>
                <w:szCs w:val="20"/>
                <w:color w:val="auto"/>
              </w:rPr>
            </w:pPr>
            <w:r>
              <w:rPr>
                <w:rFonts w:ascii="Arial" w:cs="Arial" w:eastAsia="Arial" w:hAnsi="Arial"/>
                <w:sz w:val="14"/>
                <w:szCs w:val="14"/>
                <w:b w:val="1"/>
                <w:bCs w:val="1"/>
                <w:color w:val="auto"/>
              </w:rPr>
              <w:t>Beth Wilson</w:t>
            </w:r>
          </w:p>
        </w:tc>
        <w:tc>
          <w:tcPr>
            <w:tcW w:w="1600" w:type="dxa"/>
            <w:vAlign w:val="bottom"/>
            <w:tcBorders>
              <w:bottom w:val="single" w:sz="8" w:color="B94831"/>
            </w:tcBorders>
          </w:tcPr>
          <w:p>
            <w:pPr>
              <w:spacing w:after="0"/>
              <w:rPr>
                <w:sz w:val="14"/>
                <w:szCs w:val="14"/>
                <w:color w:val="auto"/>
              </w:rPr>
            </w:pPr>
          </w:p>
        </w:tc>
        <w:tc>
          <w:tcPr>
            <w:tcW w:w="1420" w:type="dxa"/>
            <w:vAlign w:val="bottom"/>
            <w:tcBorders>
              <w:bottom w:val="single" w:sz="8" w:color="B94831"/>
            </w:tcBorders>
          </w:tcPr>
          <w:p>
            <w:pPr>
              <w:jc w:val="center"/>
              <w:ind w:left="8"/>
              <w:spacing w:after="0" w:line="141" w:lineRule="exact"/>
              <w:rPr>
                <w:sz w:val="20"/>
                <w:szCs w:val="20"/>
                <w:color w:val="auto"/>
              </w:rPr>
            </w:pPr>
            <w:r>
              <w:rPr>
                <w:rFonts w:ascii="MS PGothic" w:cs="MS PGothic" w:eastAsia="MS PGothic" w:hAnsi="MS PGothic"/>
                <w:sz w:val="14"/>
                <w:szCs w:val="14"/>
                <w:color w:val="auto"/>
                <w:w w:val="71"/>
              </w:rPr>
              <w:t>✓</w:t>
            </w:r>
          </w:p>
        </w:tc>
        <w:tc>
          <w:tcPr>
            <w:tcW w:w="1580" w:type="dxa"/>
            <w:vAlign w:val="bottom"/>
            <w:tcBorders>
              <w:bottom w:val="single" w:sz="8" w:color="B94831"/>
            </w:tcBorders>
          </w:tcPr>
          <w:p>
            <w:pPr>
              <w:spacing w:after="0"/>
              <w:rPr>
                <w:sz w:val="14"/>
                <w:szCs w:val="14"/>
                <w:color w:val="auto"/>
              </w:rPr>
            </w:pPr>
          </w:p>
        </w:tc>
        <w:tc>
          <w:tcPr>
            <w:tcW w:w="3380" w:type="dxa"/>
            <w:vAlign w:val="bottom"/>
            <w:tcBorders>
              <w:bottom w:val="single" w:sz="8" w:color="B94831"/>
            </w:tcBorders>
          </w:tcPr>
          <w:p>
            <w:pPr>
              <w:spacing w:after="0"/>
              <w:rPr>
                <w:sz w:val="14"/>
                <w:szCs w:val="14"/>
                <w:color w:val="auto"/>
              </w:rPr>
            </w:pPr>
          </w:p>
        </w:tc>
      </w:tr>
      <w:tr>
        <w:trPr>
          <w:trHeight w:val="154"/>
        </w:trPr>
        <w:tc>
          <w:tcPr>
            <w:tcW w:w="2940" w:type="dxa"/>
            <w:vAlign w:val="bottom"/>
            <w:tcBorders>
              <w:bottom w:val="single" w:sz="8" w:color="B94831"/>
            </w:tcBorders>
            <w:gridSpan w:val="2"/>
          </w:tcPr>
          <w:p>
            <w:pPr>
              <w:spacing w:after="0" w:line="154" w:lineRule="exact"/>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B94831"/>
            </w:tcBorders>
          </w:tcPr>
          <w:p>
            <w:pPr>
              <w:jc w:val="right"/>
              <w:ind w:right="667"/>
              <w:spacing w:after="0" w:line="154" w:lineRule="exact"/>
              <w:rPr>
                <w:sz w:val="20"/>
                <w:szCs w:val="20"/>
                <w:color w:val="auto"/>
              </w:rPr>
            </w:pPr>
            <w:r>
              <w:rPr>
                <w:rFonts w:ascii="Arial" w:cs="Arial" w:eastAsia="Arial" w:hAnsi="Arial"/>
                <w:sz w:val="14"/>
                <w:szCs w:val="14"/>
                <w:b w:val="1"/>
                <w:bCs w:val="1"/>
                <w:color w:val="auto"/>
              </w:rPr>
              <w:t>1</w:t>
            </w:r>
          </w:p>
        </w:tc>
        <w:tc>
          <w:tcPr>
            <w:tcW w:w="1420" w:type="dxa"/>
            <w:vAlign w:val="bottom"/>
            <w:tcBorders>
              <w:bottom w:val="single" w:sz="8" w:color="B94831"/>
            </w:tcBorders>
          </w:tcPr>
          <w:p>
            <w:pPr>
              <w:jc w:val="center"/>
              <w:ind w:left="8"/>
              <w:spacing w:after="0" w:line="154" w:lineRule="exact"/>
              <w:rPr>
                <w:sz w:val="20"/>
                <w:szCs w:val="20"/>
                <w:color w:val="auto"/>
              </w:rPr>
            </w:pPr>
            <w:r>
              <w:rPr>
                <w:rFonts w:ascii="Arial" w:cs="Arial" w:eastAsia="Arial" w:hAnsi="Arial"/>
                <w:sz w:val="14"/>
                <w:szCs w:val="14"/>
                <w:b w:val="1"/>
                <w:bCs w:val="1"/>
                <w:color w:val="auto"/>
                <w:w w:val="76"/>
              </w:rPr>
              <w:t>9</w:t>
            </w:r>
          </w:p>
        </w:tc>
        <w:tc>
          <w:tcPr>
            <w:tcW w:w="1580" w:type="dxa"/>
            <w:vAlign w:val="bottom"/>
            <w:tcBorders>
              <w:bottom w:val="single" w:sz="8" w:color="B94831"/>
            </w:tcBorders>
          </w:tcPr>
          <w:p>
            <w:pPr>
              <w:jc w:val="center"/>
              <w:ind w:left="67"/>
              <w:spacing w:after="0" w:line="154" w:lineRule="exact"/>
              <w:rPr>
                <w:sz w:val="20"/>
                <w:szCs w:val="20"/>
                <w:color w:val="auto"/>
              </w:rPr>
            </w:pPr>
            <w:r>
              <w:rPr>
                <w:rFonts w:ascii="Arial" w:cs="Arial" w:eastAsia="Arial" w:hAnsi="Arial"/>
                <w:sz w:val="14"/>
                <w:szCs w:val="14"/>
                <w:b w:val="1"/>
                <w:bCs w:val="1"/>
                <w:color w:val="auto"/>
              </w:rPr>
              <w:t>4</w:t>
            </w:r>
          </w:p>
        </w:tc>
        <w:tc>
          <w:tcPr>
            <w:tcW w:w="3380" w:type="dxa"/>
            <w:vAlign w:val="bottom"/>
            <w:tcBorders>
              <w:bottom w:val="single" w:sz="8" w:color="B94831"/>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-2199005</wp:posOffset>
            </wp:positionV>
            <wp:extent cx="8255" cy="246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24638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-2199005</wp:posOffset>
            </wp:positionV>
            <wp:extent cx="8255" cy="246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24638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-2199005</wp:posOffset>
            </wp:positionV>
            <wp:extent cx="8255" cy="246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24638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-2199005</wp:posOffset>
            </wp:positionV>
            <wp:extent cx="8255" cy="246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246380"/>
                    </a:xfrm>
                    <a:prstGeom prst="rect">
                      <a:avLst/>
                    </a:prstGeom>
                    <a:noFill/>
                  </pic:spPr>
                </pic:pic>
              </a:graphicData>
            </a:graphic>
          </wp:anchor>
        </w:drawing>
      </w:r>
    </w:p>
    <w:p>
      <w:pPr>
        <w:spacing w:after="0" w:line="68"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David Thomson, Ed Clark and Peter Thomson are not members of Thomson Reuters executive management team. With its substantial equity investment in Thomson Reuters, Woodbridge considers that its interests as a shareholder are aligned with those of all other shareholders.</w:t>
      </w:r>
    </w:p>
    <w:p>
      <w:pPr>
        <w:spacing w:after="0" w:line="65"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In determining the independence of directors, the Board also considers that in the normal course of business, we provide services to, and receive services from, companies with which some of the independent directors are affiliated. Based on the specific facts and circumstances, the Board determined in March 2024 that these relationships were immaterial.</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Tenure</w:t>
      </w:r>
    </w:p>
    <w:p>
      <w:pPr>
        <w:spacing w:after="0" w:line="51" w:lineRule="exact"/>
        <w:rPr>
          <w:sz w:val="20"/>
          <w:szCs w:val="20"/>
          <w:color w:val="auto"/>
        </w:rPr>
      </w:pPr>
    </w:p>
    <w:p>
      <w:pPr>
        <w:ind w:left="160" w:right="200"/>
        <w:spacing w:after="0"/>
        <w:rPr>
          <w:sz w:val="20"/>
          <w:szCs w:val="20"/>
          <w:color w:val="auto"/>
        </w:rPr>
      </w:pPr>
      <w:r>
        <w:rPr>
          <w:rFonts w:ascii="Arial" w:cs="Arial" w:eastAsia="Arial" w:hAnsi="Arial"/>
          <w:sz w:val="18"/>
          <w:szCs w:val="18"/>
          <w:color w:val="auto"/>
        </w:rPr>
        <w:t>Our Board has not adopted a mandatory retirement age or term limits for individual directors. We believe that individuals can continue to remain effective directors beyond a mandated retirement age or maximum period of service. Without having a mandatory retirement age or term limits, we have experienced turnover on our Board that has brought directors with new perspectives and approaches. This has complemented the depth of knowledge and insight about our company and business operations that some of our more long-standing directors have developed over time.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shows the tenure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1494155</wp:posOffset>
            </wp:positionV>
            <wp:extent cx="6929755" cy="3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160655</wp:posOffset>
            </wp:positionV>
            <wp:extent cx="2564765" cy="1205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765"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18 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560"/>
        <w:spacing w:after="0" w:line="265" w:lineRule="auto"/>
        <w:rPr>
          <w:sz w:val="20"/>
          <w:szCs w:val="20"/>
          <w:color w:val="auto"/>
        </w:rPr>
      </w:pPr>
      <w:r>
        <w:rPr>
          <w:rFonts w:ascii="Arial" w:cs="Arial" w:eastAsia="Arial" w:hAnsi="Arial"/>
          <w:sz w:val="18"/>
          <w:szCs w:val="18"/>
          <w:color w:val="auto"/>
        </w:rPr>
        <w:t>The two director nominees who have been members of the Board for more than 10 years (David Thomson and Peter Thomson) are affiliated with the company’s principal shareholder, Woodbridge.</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Age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shows the age ranges of our director nominees. The average age of our director nominees is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2292985" cy="12141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9298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Countries of Residence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shows the countries where our director nominees ordinarily reside.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2675255" cy="1214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7525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Interlocking Directorships</w:t>
      </w:r>
    </w:p>
    <w:p>
      <w:pPr>
        <w:spacing w:after="0" w:line="42" w:lineRule="exact"/>
        <w:rPr>
          <w:sz w:val="20"/>
          <w:szCs w:val="20"/>
          <w:color w:val="auto"/>
        </w:rPr>
      </w:pPr>
    </w:p>
    <w:p>
      <w:pPr>
        <w:ind w:left="160" w:right="160"/>
        <w:spacing w:after="0" w:line="246" w:lineRule="auto"/>
        <w:rPr>
          <w:sz w:val="20"/>
          <w:szCs w:val="20"/>
          <w:color w:val="auto"/>
        </w:rPr>
      </w:pPr>
      <w:r>
        <w:rPr>
          <w:rFonts w:ascii="Arial" w:cs="Arial" w:eastAsia="Arial" w:hAnsi="Arial"/>
          <w:sz w:val="18"/>
          <w:szCs w:val="18"/>
          <w:color w:val="auto"/>
        </w:rPr>
        <w:t>We do not have any director nominees who serve together on boards of other public companies. The Board has adopted a policy that no more than two of our directors may serve together on the boards of other public companies without the consent of the Corporate Governance Committee.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Service on Other Boards</w:t>
      </w:r>
    </w:p>
    <w:p>
      <w:pPr>
        <w:spacing w:after="0" w:line="51"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Our directors are not restricted from serving on the boards of other public or private companies so long as their commitments do not materially interfere with or are not incompatible with, their ability to fulfill their duties as a member of our company’s Board. Directors must, however, receive approval from the Chair of the Corporate Governance Committee before accepting an invitation to serve on the board of another public company and must notify the Chair of the Corporate Governance Committee in connection with accepting an invitation to serve on the board of a for-profit private company that is not a family business. The Corporate Governance Committee monitors the outside boards that our directors sit on to determine if there are circumstances that would impact a director’s ability to exercise independent judgment and to ensure that a director has sufficient time to fulfill his or her commitments to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19</w:t>
      </w:r>
    </w:p>
    <w:p>
      <w:pPr>
        <w:sectPr>
          <w:pgSz w:w="11900" w:h="16838" w:orient="portrait"/>
          <w:cols w:equalWidth="0" w:num="1">
            <w:col w:w="11080"/>
          </w:cols>
          <w:pgMar w:left="320" w:top="454"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Nominee Information</w:t>
      </w:r>
    </w:p>
    <w:p>
      <w:pPr>
        <w:spacing w:after="0" w:line="56" w:lineRule="exact"/>
        <w:rPr>
          <w:sz w:val="20"/>
          <w:szCs w:val="20"/>
          <w:color w:val="auto"/>
        </w:rPr>
      </w:pPr>
    </w:p>
    <w:p>
      <w:pPr>
        <w:ind w:left="160" w:right="40"/>
        <w:spacing w:after="0" w:line="261" w:lineRule="auto"/>
        <w:rPr>
          <w:sz w:val="20"/>
          <w:szCs w:val="20"/>
          <w:color w:val="auto"/>
        </w:rPr>
      </w:pPr>
      <w:r>
        <w:rPr>
          <w:rFonts w:ascii="Arial" w:cs="Arial" w:eastAsia="Arial" w:hAnsi="Arial"/>
          <w:sz w:val="17"/>
          <w:szCs w:val="17"/>
          <w:color w:val="auto"/>
        </w:rPr>
        <w:t>The following provides information regarding the 13 director nominees who are proposed to be elected at the meeting, including a brief biography, city and country of residence, the year that they were appointed to our Board, independence status, primary areas of expertise, committee membership, attendance at Board and committee meetings in 2023 and ownership of Thomson Reuters securities. This information also reflects the percentage of “for” votes received by each director nominee at our 2023 annual meeting of shareholders.</w:t>
      </w:r>
    </w:p>
    <w:p>
      <w:pPr>
        <w:spacing w:after="0" w:line="55"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the director nominee profiles, “securities held” by a director nominee includes common shares over which a director nominee exercised control or direction, and the number of deferred share units (DSUs), restricted share units (RSUs) and options held by, or credited to, each individual as of April 12, 2024. Information regarding common shares beneficially owned does not include shares that may be obtained through the exercise or vesting of DSUs, RSUs or options. Our CEO Steve Hasker is the only director who holds RSUs or options. Each director nominee provided us with information about how many common shares he or she beneficially owns.</w:t>
      </w:r>
    </w:p>
    <w:p>
      <w:pPr>
        <w:spacing w:after="0" w:line="75" w:lineRule="exact"/>
        <w:rPr>
          <w:sz w:val="20"/>
          <w:szCs w:val="20"/>
          <w:color w:val="auto"/>
        </w:rPr>
      </w:pPr>
    </w:p>
    <w:p>
      <w:pPr>
        <w:ind w:left="160" w:right="100"/>
        <w:spacing w:after="0" w:line="262" w:lineRule="auto"/>
        <w:rPr>
          <w:sz w:val="20"/>
          <w:szCs w:val="20"/>
          <w:color w:val="auto"/>
        </w:rPr>
      </w:pPr>
      <w:r>
        <w:rPr>
          <w:rFonts w:ascii="Arial" w:cs="Arial" w:eastAsia="Arial" w:hAnsi="Arial"/>
          <w:sz w:val="17"/>
          <w:szCs w:val="17"/>
          <w:color w:val="auto"/>
        </w:rPr>
        <w:t>The market value of shares beneficially owned is based on the closing price of our common shares on the NYSE on April 12, 2024, which was $152.38. The market value of DSUs is also based on the closing price of our common shares on the NYSE on that date. We have also included information about each director nominee’s ownership of Thomson Reuters common shares and DSUs as of April 12, 2024 as a multiple of their annual retainer. Additional information about director share ownership guidelines is provided later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2496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249682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David Thomson</w:t>
      </w:r>
      <w:r>
        <w:rPr>
          <w:rFonts w:ascii="Arial" w:cs="Arial" w:eastAsia="Arial" w:hAnsi="Arial"/>
          <w:sz w:val="20"/>
          <w:szCs w:val="20"/>
          <w:b w:val="1"/>
          <w:bCs w:val="1"/>
          <w:color w:val="auto"/>
          <w:vertAlign w:val="superscript"/>
        </w:rPr>
        <w:t>1</w:t>
      </w:r>
    </w:p>
    <w:p>
      <w:pPr>
        <w:ind w:left="260"/>
        <w:spacing w:after="0"/>
        <w:rPr>
          <w:sz w:val="20"/>
          <w:szCs w:val="20"/>
          <w:color w:val="auto"/>
        </w:rPr>
      </w:pPr>
      <w:r>
        <w:rPr>
          <w:rFonts w:ascii="Arial" w:cs="Arial" w:eastAsia="Arial" w:hAnsi="Arial"/>
          <w:sz w:val="13"/>
          <w:szCs w:val="13"/>
          <w:color w:val="auto"/>
        </w:rPr>
        <w:t>Age: 66</w:t>
      </w:r>
    </w:p>
    <w:p>
      <w:pPr>
        <w:spacing w:after="0" w:line="52" w:lineRule="exact"/>
        <w:rPr>
          <w:sz w:val="20"/>
          <w:szCs w:val="20"/>
          <w:color w:val="auto"/>
        </w:rPr>
      </w:pPr>
    </w:p>
    <w:p>
      <w:pPr>
        <w:ind w:left="260" w:right="360"/>
        <w:spacing w:after="0" w:line="343" w:lineRule="auto"/>
        <w:rPr>
          <w:sz w:val="20"/>
          <w:szCs w:val="20"/>
          <w:color w:val="auto"/>
        </w:rPr>
      </w:pPr>
      <w:r>
        <w:rPr>
          <w:rFonts w:ascii="Arial" w:cs="Arial" w:eastAsia="Arial" w:hAnsi="Arial"/>
          <w:sz w:val="13"/>
          <w:szCs w:val="13"/>
          <w:color w:val="auto"/>
        </w:rPr>
        <w:t>Toronto, Ontario, Canada Director since 1988 Non-independent</w:t>
      </w:r>
    </w:p>
    <w:p>
      <w:pPr>
        <w:spacing w:after="0" w:line="1" w:lineRule="exact"/>
        <w:rPr>
          <w:sz w:val="20"/>
          <w:szCs w:val="20"/>
          <w:color w:val="auto"/>
        </w:rPr>
      </w:pPr>
    </w:p>
    <w:p>
      <w:pPr>
        <w:ind w:left="260"/>
        <w:spacing w:after="0" w:line="256" w:lineRule="auto"/>
        <w:rPr>
          <w:sz w:val="20"/>
          <w:szCs w:val="20"/>
          <w:color w:val="auto"/>
        </w:rPr>
      </w:pPr>
      <w:r>
        <w:rPr>
          <w:rFonts w:ascii="Arial" w:cs="Arial" w:eastAsia="Arial" w:hAnsi="Arial"/>
          <w:sz w:val="13"/>
          <w:szCs w:val="13"/>
          <w:color w:val="auto"/>
        </w:rPr>
        <w:t>Primary areas of expertise: investment management, retail, media/publishing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98.04%</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David Thomson</w:t>
      </w:r>
    </w:p>
    <w:p>
      <w:pPr>
        <w:spacing w:after="0" w:line="43" w:lineRule="exact"/>
        <w:rPr>
          <w:sz w:val="20"/>
          <w:szCs w:val="20"/>
          <w:color w:val="auto"/>
        </w:rPr>
      </w:pPr>
    </w:p>
    <w:p>
      <w:pPr>
        <w:ind w:left="40" w:right="160"/>
        <w:spacing w:after="0" w:line="260" w:lineRule="auto"/>
        <w:rPr>
          <w:sz w:val="20"/>
          <w:szCs w:val="20"/>
          <w:color w:val="auto"/>
        </w:rPr>
      </w:pPr>
      <w:r>
        <w:rPr>
          <w:rFonts w:ascii="Arial" w:cs="Arial" w:eastAsia="Arial" w:hAnsi="Arial"/>
          <w:sz w:val="14"/>
          <w:szCs w:val="14"/>
          <w:color w:val="auto"/>
        </w:rPr>
        <w:t>David Thomson is Chairman of Thomson Reuters. He is also a Chairman of Woodbridge, the Thomson family investment company, and Chairman of The Globe and Mail Inc., a Canadian media company. David is an active private investor with a focus on real estate and serves on the boards of several private companies. David has an MA from Cambridge.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8"/>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membership</w:t>
            </w:r>
          </w:p>
        </w:tc>
        <w:tc>
          <w:tcPr>
            <w:tcW w:w="2160" w:type="dxa"/>
            <w:vAlign w:val="bottom"/>
            <w:gridSpan w:val="3"/>
          </w:tcPr>
          <w:p>
            <w:pPr>
              <w:ind w:left="560"/>
              <w:spacing w:after="0"/>
              <w:rPr>
                <w:sz w:val="20"/>
                <w:szCs w:val="20"/>
                <w:color w:val="auto"/>
              </w:rPr>
            </w:pPr>
            <w:r>
              <w:rPr>
                <w:rFonts w:ascii="Arial" w:cs="Arial" w:eastAsia="Arial" w:hAnsi="Arial"/>
                <w:sz w:val="14"/>
                <w:szCs w:val="14"/>
                <w:b w:val="1"/>
                <w:bCs w:val="1"/>
                <w:color w:val="auto"/>
              </w:rPr>
              <w:t>2023 attendance</w:t>
            </w:r>
          </w:p>
        </w:tc>
        <w:tc>
          <w:tcPr>
            <w:tcW w:w="4160" w:type="dxa"/>
            <w:vAlign w:val="bottom"/>
            <w:gridSpan w:val="5"/>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19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240" w:type="dxa"/>
            <w:vAlign w:val="bottom"/>
            <w:tcBorders>
              <w:bottom w:val="single" w:sz="8" w:color="AFAFAF"/>
            </w:tcBorders>
          </w:tcPr>
          <w:p>
            <w:pPr>
              <w:spacing w:after="0"/>
              <w:rPr>
                <w:sz w:val="7"/>
                <w:szCs w:val="7"/>
                <w:color w:val="auto"/>
              </w:rPr>
            </w:pPr>
          </w:p>
        </w:tc>
        <w:tc>
          <w:tcPr>
            <w:tcW w:w="980" w:type="dxa"/>
            <w:vAlign w:val="bottom"/>
            <w:tcBorders>
              <w:bottom w:val="single" w:sz="8" w:color="AFAFAF"/>
            </w:tcBorders>
          </w:tcPr>
          <w:p>
            <w:pPr>
              <w:spacing w:after="0"/>
              <w:rPr>
                <w:sz w:val="7"/>
                <w:szCs w:val="7"/>
                <w:color w:val="auto"/>
              </w:rPr>
            </w:pPr>
          </w:p>
        </w:tc>
        <w:tc>
          <w:tcPr>
            <w:tcW w:w="380" w:type="dxa"/>
            <w:vAlign w:val="bottom"/>
            <w:tcBorders>
              <w:bottom w:val="single" w:sz="8" w:color="AFAFAF"/>
            </w:tcBorders>
          </w:tcPr>
          <w:p>
            <w:pPr>
              <w:spacing w:after="0"/>
              <w:rPr>
                <w:sz w:val="7"/>
                <w:szCs w:val="7"/>
                <w:color w:val="auto"/>
              </w:rPr>
            </w:pPr>
          </w:p>
        </w:tc>
        <w:tc>
          <w:tcPr>
            <w:tcW w:w="320" w:type="dxa"/>
            <w:vAlign w:val="bottom"/>
            <w:tcBorders>
              <w:bottom w:val="single" w:sz="8" w:color="AFAFAF"/>
            </w:tcBorders>
          </w:tcPr>
          <w:p>
            <w:pPr>
              <w:spacing w:after="0"/>
              <w:rPr>
                <w:sz w:val="7"/>
                <w:szCs w:val="7"/>
                <w:color w:val="auto"/>
              </w:rPr>
            </w:pPr>
          </w:p>
        </w:tc>
        <w:tc>
          <w:tcPr>
            <w:tcW w:w="1060" w:type="dxa"/>
            <w:vAlign w:val="bottom"/>
            <w:tcBorders>
              <w:bottom w:val="single" w:sz="8" w:color="AFAFAF"/>
            </w:tcBorders>
          </w:tcPr>
          <w:p>
            <w:pPr>
              <w:spacing w:after="0"/>
              <w:rPr>
                <w:sz w:val="7"/>
                <w:szCs w:val="7"/>
                <w:color w:val="auto"/>
              </w:rPr>
            </w:pPr>
          </w:p>
        </w:tc>
        <w:tc>
          <w:tcPr>
            <w:tcW w:w="1000" w:type="dxa"/>
            <w:vAlign w:val="bottom"/>
            <w:tcBorders>
              <w:bottom w:val="single" w:sz="8" w:color="AFAFAF"/>
            </w:tcBorders>
          </w:tcPr>
          <w:p>
            <w:pPr>
              <w:spacing w:after="0"/>
              <w:rPr>
                <w:sz w:val="7"/>
                <w:szCs w:val="7"/>
                <w:color w:val="auto"/>
              </w:rPr>
            </w:pPr>
          </w:p>
        </w:tc>
        <w:tc>
          <w:tcPr>
            <w:tcW w:w="1400" w:type="dxa"/>
            <w:vAlign w:val="bottom"/>
            <w:tcBorders>
              <w:bottom w:val="single" w:sz="8" w:color="AFAFAF"/>
            </w:tcBorders>
          </w:tcPr>
          <w:p>
            <w:pPr>
              <w:spacing w:after="0"/>
              <w:rPr>
                <w:sz w:val="7"/>
                <w:szCs w:val="7"/>
                <w:color w:val="auto"/>
              </w:rPr>
            </w:pPr>
          </w:p>
        </w:tc>
      </w:tr>
      <w:tr>
        <w:trPr>
          <w:trHeight w:val="182"/>
        </w:trPr>
        <w:tc>
          <w:tcPr>
            <w:tcW w:w="1980" w:type="dxa"/>
            <w:vAlign w:val="bottom"/>
          </w:tcPr>
          <w:p>
            <w:pPr>
              <w:ind w:left="40"/>
              <w:spacing w:after="0"/>
              <w:rPr>
                <w:sz w:val="20"/>
                <w:szCs w:val="20"/>
                <w:color w:val="auto"/>
              </w:rPr>
            </w:pPr>
            <w:r>
              <w:rPr>
                <w:rFonts w:ascii="Arial" w:cs="Arial" w:eastAsia="Arial" w:hAnsi="Arial"/>
                <w:sz w:val="14"/>
                <w:szCs w:val="14"/>
                <w:color w:val="auto"/>
              </w:rPr>
              <w:t>Board</w:t>
            </w:r>
          </w:p>
        </w:tc>
        <w:tc>
          <w:tcPr>
            <w:tcW w:w="940" w:type="dxa"/>
            <w:vAlign w:val="bottom"/>
          </w:tcPr>
          <w:p>
            <w:pPr>
              <w:ind w:left="560"/>
              <w:spacing w:after="0"/>
              <w:rPr>
                <w:sz w:val="20"/>
                <w:szCs w:val="20"/>
                <w:color w:val="auto"/>
              </w:rPr>
            </w:pPr>
            <w:r>
              <w:rPr>
                <w:rFonts w:ascii="Arial" w:cs="Arial" w:eastAsia="Arial" w:hAnsi="Arial"/>
                <w:sz w:val="14"/>
                <w:szCs w:val="14"/>
                <w:color w:val="auto"/>
              </w:rPr>
              <w:t>9 of 9</w:t>
            </w:r>
          </w:p>
        </w:tc>
        <w:tc>
          <w:tcPr>
            <w:tcW w:w="24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Arial" w:cs="Arial" w:eastAsia="Arial" w:hAnsi="Arial"/>
                <w:sz w:val="14"/>
                <w:szCs w:val="14"/>
                <w:color w:val="auto"/>
              </w:rPr>
              <w:t>100%</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ind w:left="5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8"/>
        </w:trPr>
        <w:tc>
          <w:tcPr>
            <w:tcW w:w="1980" w:type="dxa"/>
            <w:vAlign w:val="bottom"/>
            <w:tcBorders>
              <w:bottom w:val="single" w:sz="8" w:color="AFAFAF"/>
            </w:tcBorders>
          </w:tcPr>
          <w:p>
            <w:pPr>
              <w:spacing w:after="0"/>
              <w:rPr>
                <w:sz w:val="3"/>
                <w:szCs w:val="3"/>
                <w:color w:val="auto"/>
              </w:rPr>
            </w:pPr>
          </w:p>
        </w:tc>
        <w:tc>
          <w:tcPr>
            <w:tcW w:w="940" w:type="dxa"/>
            <w:vAlign w:val="bottom"/>
            <w:tcBorders>
              <w:bottom w:val="single" w:sz="8" w:color="AFAFAF"/>
            </w:tcBorders>
          </w:tcPr>
          <w:p>
            <w:pPr>
              <w:spacing w:after="0"/>
              <w:rPr>
                <w:sz w:val="3"/>
                <w:szCs w:val="3"/>
                <w:color w:val="auto"/>
              </w:rPr>
            </w:pPr>
          </w:p>
        </w:tc>
        <w:tc>
          <w:tcPr>
            <w:tcW w:w="240" w:type="dxa"/>
            <w:vAlign w:val="bottom"/>
            <w:tcBorders>
              <w:bottom w:val="single" w:sz="8" w:color="AFAFAF"/>
            </w:tcBorders>
          </w:tcPr>
          <w:p>
            <w:pPr>
              <w:spacing w:after="0"/>
              <w:rPr>
                <w:sz w:val="3"/>
                <w:szCs w:val="3"/>
                <w:color w:val="auto"/>
              </w:rPr>
            </w:pPr>
          </w:p>
        </w:tc>
        <w:tc>
          <w:tcPr>
            <w:tcW w:w="980" w:type="dxa"/>
            <w:vAlign w:val="bottom"/>
            <w:tcBorders>
              <w:bottom w:val="single" w:sz="8" w:color="AFAFAF"/>
            </w:tcBorders>
          </w:tcPr>
          <w:p>
            <w:pPr>
              <w:spacing w:after="0"/>
              <w:rPr>
                <w:sz w:val="3"/>
                <w:szCs w:val="3"/>
                <w:color w:val="auto"/>
              </w:rPr>
            </w:pPr>
          </w:p>
        </w:tc>
        <w:tc>
          <w:tcPr>
            <w:tcW w:w="380" w:type="dxa"/>
            <w:vAlign w:val="bottom"/>
            <w:tcBorders>
              <w:bottom w:val="single" w:sz="8" w:color="AFAFAF"/>
            </w:tcBorders>
          </w:tcPr>
          <w:p>
            <w:pPr>
              <w:spacing w:after="0"/>
              <w:rPr>
                <w:sz w:val="3"/>
                <w:szCs w:val="3"/>
                <w:color w:val="auto"/>
              </w:rPr>
            </w:pPr>
          </w:p>
        </w:tc>
        <w:tc>
          <w:tcPr>
            <w:tcW w:w="320" w:type="dxa"/>
            <w:vAlign w:val="bottom"/>
            <w:tcBorders>
              <w:bottom w:val="single" w:sz="8" w:color="AFAFAF"/>
            </w:tcBorders>
          </w:tcPr>
          <w:p>
            <w:pPr>
              <w:spacing w:after="0"/>
              <w:rPr>
                <w:sz w:val="3"/>
                <w:szCs w:val="3"/>
                <w:color w:val="auto"/>
              </w:rPr>
            </w:pPr>
          </w:p>
        </w:tc>
        <w:tc>
          <w:tcPr>
            <w:tcW w:w="1060" w:type="dxa"/>
            <w:vAlign w:val="bottom"/>
            <w:tcBorders>
              <w:bottom w:val="single" w:sz="8" w:color="AFAFAF"/>
            </w:tcBorders>
          </w:tcPr>
          <w:p>
            <w:pPr>
              <w:spacing w:after="0"/>
              <w:rPr>
                <w:sz w:val="3"/>
                <w:szCs w:val="3"/>
                <w:color w:val="auto"/>
              </w:rPr>
            </w:pPr>
          </w:p>
        </w:tc>
        <w:tc>
          <w:tcPr>
            <w:tcW w:w="1000" w:type="dxa"/>
            <w:vAlign w:val="bottom"/>
            <w:tcBorders>
              <w:bottom w:val="single" w:sz="8" w:color="AFAFAF"/>
            </w:tcBorders>
          </w:tcPr>
          <w:p>
            <w:pPr>
              <w:spacing w:after="0"/>
              <w:rPr>
                <w:sz w:val="3"/>
                <w:szCs w:val="3"/>
                <w:color w:val="auto"/>
              </w:rPr>
            </w:pPr>
          </w:p>
        </w:tc>
        <w:tc>
          <w:tcPr>
            <w:tcW w:w="1400" w:type="dxa"/>
            <w:vAlign w:val="bottom"/>
            <w:tcBorders>
              <w:bottom w:val="single" w:sz="8" w:color="AFAFAF"/>
            </w:tcBorders>
          </w:tcPr>
          <w:p>
            <w:pPr>
              <w:spacing w:after="0"/>
              <w:rPr>
                <w:sz w:val="3"/>
                <w:szCs w:val="3"/>
                <w:color w:val="auto"/>
              </w:rPr>
            </w:pPr>
          </w:p>
        </w:tc>
      </w:tr>
      <w:tr>
        <w:trPr>
          <w:trHeight w:val="188"/>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ind w:left="560"/>
              <w:spacing w:after="0"/>
              <w:rPr>
                <w:sz w:val="20"/>
                <w:szCs w:val="20"/>
                <w:color w:val="auto"/>
              </w:rPr>
            </w:pPr>
            <w:r>
              <w:rPr>
                <w:rFonts w:ascii="Arial" w:cs="Arial" w:eastAsia="Arial" w:hAnsi="Arial"/>
                <w:sz w:val="14"/>
                <w:szCs w:val="14"/>
                <w:b w:val="1"/>
                <w:bCs w:val="1"/>
                <w:color w:val="auto"/>
                <w:w w:val="98"/>
              </w:rPr>
              <w:t>9 of 9</w:t>
            </w:r>
          </w:p>
        </w:tc>
        <w:tc>
          <w:tcPr>
            <w:tcW w:w="2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100%</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72"/>
        </w:trPr>
        <w:tc>
          <w:tcPr>
            <w:tcW w:w="198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240" w:type="dxa"/>
            <w:vAlign w:val="bottom"/>
            <w:tcBorders>
              <w:bottom w:val="single" w:sz="8" w:color="AFAFAF"/>
            </w:tcBorders>
          </w:tcPr>
          <w:p>
            <w:pPr>
              <w:spacing w:after="0"/>
              <w:rPr>
                <w:sz w:val="6"/>
                <w:szCs w:val="6"/>
                <w:color w:val="auto"/>
              </w:rPr>
            </w:pPr>
          </w:p>
        </w:tc>
        <w:tc>
          <w:tcPr>
            <w:tcW w:w="980" w:type="dxa"/>
            <w:vAlign w:val="bottom"/>
            <w:tcBorders>
              <w:bottom w:val="single" w:sz="8" w:color="AFAFAF"/>
            </w:tcBorders>
          </w:tcPr>
          <w:p>
            <w:pPr>
              <w:spacing w:after="0"/>
              <w:rPr>
                <w:sz w:val="6"/>
                <w:szCs w:val="6"/>
                <w:color w:val="auto"/>
              </w:rPr>
            </w:pPr>
          </w:p>
        </w:tc>
        <w:tc>
          <w:tcPr>
            <w:tcW w:w="380" w:type="dxa"/>
            <w:vAlign w:val="bottom"/>
            <w:tcBorders>
              <w:bottom w:val="single" w:sz="8" w:color="AFAFAF"/>
            </w:tcBorders>
          </w:tcPr>
          <w:p>
            <w:pPr>
              <w:spacing w:after="0"/>
              <w:rPr>
                <w:sz w:val="6"/>
                <w:szCs w:val="6"/>
                <w:color w:val="auto"/>
              </w:rPr>
            </w:pPr>
          </w:p>
        </w:tc>
        <w:tc>
          <w:tcPr>
            <w:tcW w:w="320" w:type="dxa"/>
            <w:vAlign w:val="bottom"/>
            <w:tcBorders>
              <w:bottom w:val="single" w:sz="8" w:color="AFAFAF"/>
            </w:tcBorders>
          </w:tcPr>
          <w:p>
            <w:pPr>
              <w:spacing w:after="0"/>
              <w:rPr>
                <w:sz w:val="6"/>
                <w:szCs w:val="6"/>
                <w:color w:val="auto"/>
              </w:rPr>
            </w:pPr>
          </w:p>
        </w:tc>
        <w:tc>
          <w:tcPr>
            <w:tcW w:w="1060" w:type="dxa"/>
            <w:vAlign w:val="bottom"/>
            <w:tcBorders>
              <w:bottom w:val="single" w:sz="8" w:color="AFAFAF"/>
            </w:tcBorders>
          </w:tcPr>
          <w:p>
            <w:pPr>
              <w:spacing w:after="0"/>
              <w:rPr>
                <w:sz w:val="6"/>
                <w:szCs w:val="6"/>
                <w:color w:val="auto"/>
              </w:rPr>
            </w:pPr>
          </w:p>
        </w:tc>
        <w:tc>
          <w:tcPr>
            <w:tcW w:w="1000" w:type="dxa"/>
            <w:vAlign w:val="bottom"/>
            <w:tcBorders>
              <w:bottom w:val="single" w:sz="8" w:color="AFAFAF"/>
            </w:tcBorders>
          </w:tcPr>
          <w:p>
            <w:pPr>
              <w:spacing w:after="0"/>
              <w:rPr>
                <w:sz w:val="6"/>
                <w:szCs w:val="6"/>
                <w:color w:val="auto"/>
              </w:rPr>
            </w:pPr>
          </w:p>
        </w:tc>
        <w:tc>
          <w:tcPr>
            <w:tcW w:w="1400" w:type="dxa"/>
            <w:vAlign w:val="bottom"/>
            <w:tcBorders>
              <w:bottom w:val="single" w:sz="8" w:color="AFAFAF"/>
            </w:tcBorders>
          </w:tcPr>
          <w:p>
            <w:pPr>
              <w:spacing w:after="0"/>
              <w:rPr>
                <w:sz w:val="6"/>
                <w:szCs w:val="6"/>
                <w:color w:val="auto"/>
              </w:rPr>
            </w:pPr>
          </w:p>
        </w:tc>
      </w:tr>
      <w:tr>
        <w:trPr>
          <w:trHeight w:val="261"/>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Total shares</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Total market</w:t>
            </w:r>
          </w:p>
        </w:tc>
        <w:tc>
          <w:tcPr>
            <w:tcW w:w="1400" w:type="dxa"/>
            <w:vAlign w:val="bottom"/>
          </w:tcPr>
          <w:p>
            <w:pPr>
              <w:ind w:left="80"/>
              <w:spacing w:after="0"/>
              <w:rPr>
                <w:sz w:val="20"/>
                <w:szCs w:val="20"/>
                <w:color w:val="auto"/>
              </w:rPr>
            </w:pPr>
            <w:r>
              <w:rPr>
                <w:rFonts w:ascii="Arial" w:cs="Arial" w:eastAsia="Arial" w:hAnsi="Arial"/>
                <w:sz w:val="14"/>
                <w:szCs w:val="14"/>
                <w:b w:val="1"/>
                <w:bCs w:val="1"/>
                <w:color w:val="auto"/>
              </w:rPr>
              <w:t>Ownership multiple</w:t>
            </w:r>
          </w:p>
        </w:tc>
      </w:tr>
      <w:tr>
        <w:trPr>
          <w:trHeight w:val="293"/>
        </w:trPr>
        <w:tc>
          <w:tcPr>
            <w:tcW w:w="198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(number and value)</w:t>
            </w:r>
            <w:r>
              <w:rPr>
                <w:rFonts w:ascii="Arial" w:cs="Arial" w:eastAsia="Arial" w:hAnsi="Arial"/>
                <w:sz w:val="21"/>
                <w:szCs w:val="21"/>
                <w:b w:val="1"/>
                <w:bCs w:val="1"/>
                <w:color w:val="auto"/>
                <w:vertAlign w:val="superscript"/>
              </w:rPr>
              <w:t>2</w:t>
            </w:r>
          </w:p>
        </w:tc>
        <w:tc>
          <w:tcPr>
            <w:tcW w:w="940" w:type="dxa"/>
            <w:vAlign w:val="bottom"/>
            <w:tcBorders>
              <w:bottom w:val="single" w:sz="8" w:color="AFAFAF"/>
            </w:tcBorders>
          </w:tcPr>
          <w:p>
            <w:pPr>
              <w:spacing w:after="0"/>
              <w:rPr>
                <w:sz w:val="24"/>
                <w:szCs w:val="24"/>
                <w:color w:val="auto"/>
              </w:rPr>
            </w:pPr>
          </w:p>
        </w:tc>
        <w:tc>
          <w:tcPr>
            <w:tcW w:w="240" w:type="dxa"/>
            <w:vAlign w:val="bottom"/>
            <w:tcBorders>
              <w:bottom w:val="single" w:sz="8" w:color="AFAFAF"/>
            </w:tcBorders>
          </w:tcPr>
          <w:p>
            <w:pPr>
              <w:spacing w:after="0"/>
              <w:rPr>
                <w:sz w:val="24"/>
                <w:szCs w:val="24"/>
                <w:color w:val="auto"/>
              </w:rPr>
            </w:pPr>
          </w:p>
        </w:tc>
        <w:tc>
          <w:tcPr>
            <w:tcW w:w="980" w:type="dxa"/>
            <w:vAlign w:val="bottom"/>
            <w:tcBorders>
              <w:bottom w:val="single" w:sz="8" w:color="AFAFAF"/>
            </w:tcBorders>
          </w:tcPr>
          <w:p>
            <w:pPr>
              <w:spacing w:after="0"/>
              <w:rPr>
                <w:sz w:val="24"/>
                <w:szCs w:val="24"/>
                <w:color w:val="auto"/>
              </w:rPr>
            </w:pPr>
          </w:p>
        </w:tc>
        <w:tc>
          <w:tcPr>
            <w:tcW w:w="380" w:type="dxa"/>
            <w:vAlign w:val="bottom"/>
            <w:tcBorders>
              <w:bottom w:val="single" w:sz="8" w:color="AFAFAF"/>
            </w:tcBorders>
          </w:tcPr>
          <w:p>
            <w:pPr>
              <w:spacing w:after="0"/>
              <w:rPr>
                <w:sz w:val="24"/>
                <w:szCs w:val="24"/>
                <w:color w:val="auto"/>
              </w:rPr>
            </w:pPr>
          </w:p>
        </w:tc>
        <w:tc>
          <w:tcPr>
            <w:tcW w:w="320" w:type="dxa"/>
            <w:vAlign w:val="bottom"/>
            <w:tcBorders>
              <w:bottom w:val="single" w:sz="8" w:color="AFAFAF"/>
            </w:tcBorders>
          </w:tcPr>
          <w:p>
            <w:pPr>
              <w:spacing w:after="0"/>
              <w:rPr>
                <w:sz w:val="24"/>
                <w:szCs w:val="24"/>
                <w:color w:val="auto"/>
              </w:rPr>
            </w:pPr>
          </w:p>
        </w:tc>
        <w:tc>
          <w:tcPr>
            <w:tcW w:w="1060" w:type="dxa"/>
            <w:vAlign w:val="bottom"/>
            <w:tcBorders>
              <w:bottom w:val="single" w:sz="8" w:color="AFAFAF"/>
            </w:tcBorders>
          </w:tcPr>
          <w:p>
            <w:pPr>
              <w:ind w:left="140"/>
              <w:spacing w:after="0"/>
              <w:rPr>
                <w:sz w:val="20"/>
                <w:szCs w:val="20"/>
                <w:color w:val="auto"/>
              </w:rPr>
            </w:pPr>
            <w:r>
              <w:rPr>
                <w:rFonts w:ascii="Arial" w:cs="Arial" w:eastAsia="Arial" w:hAnsi="Arial"/>
                <w:sz w:val="14"/>
                <w:szCs w:val="14"/>
                <w:b w:val="1"/>
                <w:bCs w:val="1"/>
                <w:color w:val="auto"/>
              </w:rPr>
              <w:t>and DSUs</w:t>
            </w:r>
            <w:r>
              <w:rPr>
                <w:rFonts w:ascii="Arial" w:cs="Arial" w:eastAsia="Arial" w:hAnsi="Arial"/>
                <w:sz w:val="21"/>
                <w:szCs w:val="21"/>
                <w:b w:val="1"/>
                <w:bCs w:val="1"/>
                <w:color w:val="auto"/>
                <w:vertAlign w:val="superscript"/>
              </w:rPr>
              <w:t>3</w:t>
            </w:r>
          </w:p>
        </w:tc>
        <w:tc>
          <w:tcPr>
            <w:tcW w:w="100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value</w:t>
            </w:r>
          </w:p>
        </w:tc>
        <w:tc>
          <w:tcPr>
            <w:tcW w:w="1400" w:type="dxa"/>
            <w:vAlign w:val="bottom"/>
            <w:tcBorders>
              <w:bottom w:val="single" w:sz="8" w:color="AFAFAF"/>
            </w:tcBorders>
          </w:tcPr>
          <w:p>
            <w:pPr>
              <w:ind w:left="80"/>
              <w:spacing w:after="0"/>
              <w:rPr>
                <w:sz w:val="20"/>
                <w:szCs w:val="20"/>
                <w:color w:val="auto"/>
              </w:rPr>
            </w:pPr>
            <w:r>
              <w:rPr>
                <w:rFonts w:ascii="Arial" w:cs="Arial" w:eastAsia="Arial" w:hAnsi="Arial"/>
                <w:sz w:val="14"/>
                <w:szCs w:val="14"/>
                <w:b w:val="1"/>
                <w:bCs w:val="1"/>
                <w:color w:val="auto"/>
              </w:rPr>
              <w:t>of annual retainer</w:t>
            </w:r>
          </w:p>
        </w:tc>
      </w:tr>
      <w:tr>
        <w:trPr>
          <w:trHeight w:val="146"/>
        </w:trPr>
        <w:tc>
          <w:tcPr>
            <w:tcW w:w="1980" w:type="dxa"/>
            <w:vAlign w:val="bottom"/>
          </w:tcPr>
          <w:p>
            <w:pPr>
              <w:ind w:left="40"/>
              <w:spacing w:after="0" w:line="146" w:lineRule="exact"/>
              <w:rPr>
                <w:sz w:val="20"/>
                <w:szCs w:val="20"/>
                <w:color w:val="auto"/>
              </w:rPr>
            </w:pPr>
            <w:r>
              <w:rPr>
                <w:rFonts w:ascii="Arial" w:cs="Arial" w:eastAsia="Arial" w:hAnsi="Arial"/>
                <w:sz w:val="14"/>
                <w:szCs w:val="14"/>
                <w:color w:val="auto"/>
              </w:rPr>
              <w:t>Common shares</w:t>
            </w:r>
          </w:p>
        </w:tc>
        <w:tc>
          <w:tcPr>
            <w:tcW w:w="940" w:type="dxa"/>
            <w:vAlign w:val="bottom"/>
          </w:tcPr>
          <w:p>
            <w:pPr>
              <w:ind w:left="560"/>
              <w:spacing w:after="0" w:line="146" w:lineRule="exact"/>
              <w:rPr>
                <w:sz w:val="20"/>
                <w:szCs w:val="20"/>
                <w:color w:val="auto"/>
              </w:rPr>
            </w:pPr>
            <w:r>
              <w:rPr>
                <w:rFonts w:ascii="Arial" w:cs="Arial" w:eastAsia="Arial" w:hAnsi="Arial"/>
                <w:sz w:val="14"/>
                <w:szCs w:val="14"/>
                <w:color w:val="auto"/>
                <w:w w:val="98"/>
              </w:rPr>
              <w:t>RSUs</w:t>
            </w:r>
          </w:p>
        </w:tc>
        <w:tc>
          <w:tcPr>
            <w:tcW w:w="240" w:type="dxa"/>
            <w:vAlign w:val="bottom"/>
          </w:tcPr>
          <w:p>
            <w:pPr>
              <w:spacing w:after="0"/>
              <w:rPr>
                <w:sz w:val="12"/>
                <w:szCs w:val="12"/>
                <w:color w:val="auto"/>
              </w:rPr>
            </w:pPr>
          </w:p>
        </w:tc>
        <w:tc>
          <w:tcPr>
            <w:tcW w:w="980" w:type="dxa"/>
            <w:vAlign w:val="bottom"/>
          </w:tcPr>
          <w:p>
            <w:pPr>
              <w:ind w:left="140"/>
              <w:spacing w:after="0" w:line="146" w:lineRule="exact"/>
              <w:rPr>
                <w:sz w:val="20"/>
                <w:szCs w:val="20"/>
                <w:color w:val="auto"/>
              </w:rPr>
            </w:pPr>
            <w:r>
              <w:rPr>
                <w:rFonts w:ascii="Arial" w:cs="Arial" w:eastAsia="Arial" w:hAnsi="Arial"/>
                <w:sz w:val="14"/>
                <w:szCs w:val="14"/>
                <w:color w:val="auto"/>
              </w:rPr>
              <w:t>DSUs</w:t>
            </w:r>
          </w:p>
        </w:tc>
        <w:tc>
          <w:tcPr>
            <w:tcW w:w="700" w:type="dxa"/>
            <w:vAlign w:val="bottom"/>
            <w:gridSpan w:val="2"/>
          </w:tcPr>
          <w:p>
            <w:pPr>
              <w:ind w:left="60"/>
              <w:spacing w:after="0" w:line="146" w:lineRule="exact"/>
              <w:rPr>
                <w:sz w:val="20"/>
                <w:szCs w:val="20"/>
                <w:color w:val="auto"/>
              </w:rPr>
            </w:pPr>
            <w:r>
              <w:rPr>
                <w:rFonts w:ascii="Arial" w:cs="Arial" w:eastAsia="Arial" w:hAnsi="Arial"/>
                <w:sz w:val="14"/>
                <w:szCs w:val="14"/>
                <w:color w:val="auto"/>
              </w:rPr>
              <w:t>Options</w:t>
            </w: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2"/>
        </w:trPr>
        <w:tc>
          <w:tcPr>
            <w:tcW w:w="1980" w:type="dxa"/>
            <w:vAlign w:val="bottom"/>
          </w:tcPr>
          <w:p>
            <w:pPr>
              <w:ind w:left="40"/>
              <w:spacing w:after="0"/>
              <w:rPr>
                <w:sz w:val="20"/>
                <w:szCs w:val="20"/>
                <w:color w:val="auto"/>
              </w:rPr>
            </w:pPr>
            <w:r>
              <w:rPr>
                <w:rFonts w:ascii="Arial" w:cs="Arial" w:eastAsia="Arial" w:hAnsi="Arial"/>
                <w:sz w:val="14"/>
                <w:szCs w:val="14"/>
                <w:color w:val="auto"/>
              </w:rPr>
              <w:t>48,198</w:t>
            </w:r>
          </w:p>
        </w:tc>
        <w:tc>
          <w:tcPr>
            <w:tcW w:w="940" w:type="dxa"/>
            <w:vAlign w:val="bottom"/>
          </w:tcPr>
          <w:p>
            <w:pPr>
              <w:ind w:left="720"/>
              <w:spacing w:after="0"/>
              <w:rPr>
                <w:sz w:val="20"/>
                <w:szCs w:val="20"/>
                <w:color w:val="auto"/>
              </w:rPr>
            </w:pPr>
            <w:r>
              <w:rPr>
                <w:rFonts w:ascii="Arial" w:cs="Arial" w:eastAsia="Arial" w:hAnsi="Arial"/>
                <w:sz w:val="14"/>
                <w:szCs w:val="14"/>
                <w:color w:val="auto"/>
                <w:w w:val="91"/>
              </w:rPr>
              <w:t>– </w:t>
            </w:r>
          </w:p>
        </w:tc>
        <w:tc>
          <w:tcPr>
            <w:tcW w:w="240" w:type="dxa"/>
            <w:vAlign w:val="bottom"/>
          </w:tcPr>
          <w:p>
            <w:pPr>
              <w:spacing w:after="0"/>
              <w:rPr>
                <w:sz w:val="20"/>
                <w:szCs w:val="20"/>
                <w:color w:val="auto"/>
              </w:rPr>
            </w:pPr>
            <w:r>
              <w:rPr>
                <w:rFonts w:ascii="Arial" w:cs="Arial" w:eastAsia="Arial" w:hAnsi="Arial"/>
                <w:sz w:val="14"/>
                <w:szCs w:val="14"/>
                <w:color w:val="auto"/>
              </w:rPr>
              <w:t xml:space="preserve">   </w:t>
            </w:r>
          </w:p>
        </w:tc>
        <w:tc>
          <w:tcPr>
            <w:tcW w:w="980" w:type="dxa"/>
            <w:vAlign w:val="bottom"/>
          </w:tcPr>
          <w:p>
            <w:pPr>
              <w:ind w:left="140"/>
              <w:spacing w:after="0"/>
              <w:rPr>
                <w:sz w:val="20"/>
                <w:szCs w:val="20"/>
                <w:color w:val="auto"/>
              </w:rPr>
            </w:pPr>
            <w:r>
              <w:rPr>
                <w:rFonts w:ascii="Arial" w:cs="Arial" w:eastAsia="Arial" w:hAnsi="Arial"/>
                <w:sz w:val="14"/>
                <w:szCs w:val="14"/>
                <w:color w:val="auto"/>
              </w:rPr>
              <w:t>124,183</w:t>
            </w:r>
          </w:p>
        </w:tc>
        <w:tc>
          <w:tcPr>
            <w:tcW w:w="380" w:type="dxa"/>
            <w:vAlign w:val="bottom"/>
          </w:tcPr>
          <w:p>
            <w:pPr>
              <w:ind w:left="220"/>
              <w:spacing w:after="0"/>
              <w:rPr>
                <w:sz w:val="20"/>
                <w:szCs w:val="20"/>
                <w:color w:val="auto"/>
              </w:rPr>
            </w:pPr>
            <w:r>
              <w:rPr>
                <w:rFonts w:ascii="Arial" w:cs="Arial" w:eastAsia="Arial" w:hAnsi="Arial"/>
                <w:sz w:val="12"/>
                <w:szCs w:val="12"/>
                <w:color w:val="auto"/>
                <w:w w:val="74"/>
              </w:rPr>
              <w:t>– </w:t>
            </w:r>
          </w:p>
        </w:tc>
        <w:tc>
          <w:tcPr>
            <w:tcW w:w="32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060" w:type="dxa"/>
            <w:vAlign w:val="bottom"/>
          </w:tcPr>
          <w:p>
            <w:pPr>
              <w:ind w:left="140"/>
              <w:spacing w:after="0"/>
              <w:rPr>
                <w:sz w:val="20"/>
                <w:szCs w:val="20"/>
                <w:color w:val="auto"/>
              </w:rPr>
            </w:pPr>
            <w:r>
              <w:rPr>
                <w:rFonts w:ascii="Arial" w:cs="Arial" w:eastAsia="Arial" w:hAnsi="Arial"/>
                <w:sz w:val="14"/>
                <w:szCs w:val="14"/>
                <w:color w:val="auto"/>
              </w:rPr>
              <w:t>172,381</w:t>
            </w: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
        </w:trPr>
        <w:tc>
          <w:tcPr>
            <w:tcW w:w="1980" w:type="dxa"/>
            <w:vAlign w:val="bottom"/>
            <w:tcBorders>
              <w:bottom w:val="single" w:sz="8" w:color="AFAFAF"/>
            </w:tcBorders>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240" w:type="dxa"/>
            <w:vAlign w:val="bottom"/>
            <w:tcBorders>
              <w:bottom w:val="single" w:sz="8" w:color="AFAFAF"/>
            </w:tcBorders>
          </w:tcPr>
          <w:p>
            <w:pPr>
              <w:spacing w:after="0"/>
              <w:rPr>
                <w:sz w:val="4"/>
                <w:szCs w:val="4"/>
                <w:color w:val="auto"/>
              </w:rPr>
            </w:pPr>
          </w:p>
        </w:tc>
        <w:tc>
          <w:tcPr>
            <w:tcW w:w="980" w:type="dxa"/>
            <w:vAlign w:val="bottom"/>
            <w:tcBorders>
              <w:bottom w:val="single" w:sz="8" w:color="AFAFAF"/>
            </w:tcBorders>
          </w:tcPr>
          <w:p>
            <w:pPr>
              <w:spacing w:after="0"/>
              <w:rPr>
                <w:sz w:val="4"/>
                <w:szCs w:val="4"/>
                <w:color w:val="auto"/>
              </w:rPr>
            </w:pPr>
          </w:p>
        </w:tc>
        <w:tc>
          <w:tcPr>
            <w:tcW w:w="380" w:type="dxa"/>
            <w:vAlign w:val="bottom"/>
            <w:tcBorders>
              <w:bottom w:val="single" w:sz="8" w:color="AFAFAF"/>
            </w:tcBorders>
          </w:tcPr>
          <w:p>
            <w:pPr>
              <w:spacing w:after="0"/>
              <w:rPr>
                <w:sz w:val="4"/>
                <w:szCs w:val="4"/>
                <w:color w:val="auto"/>
              </w:rPr>
            </w:pPr>
          </w:p>
        </w:tc>
        <w:tc>
          <w:tcPr>
            <w:tcW w:w="320" w:type="dxa"/>
            <w:vAlign w:val="bottom"/>
            <w:tcBorders>
              <w:bottom w:val="single" w:sz="8" w:color="AFAFAF"/>
            </w:tcBorders>
          </w:tcPr>
          <w:p>
            <w:pPr>
              <w:spacing w:after="0"/>
              <w:rPr>
                <w:sz w:val="4"/>
                <w:szCs w:val="4"/>
                <w:color w:val="auto"/>
              </w:rPr>
            </w:pPr>
          </w:p>
        </w:tc>
        <w:tc>
          <w:tcPr>
            <w:tcW w:w="1060" w:type="dxa"/>
            <w:vAlign w:val="bottom"/>
            <w:tcBorders>
              <w:bottom w:val="single" w:sz="8" w:color="AFAFAF"/>
            </w:tcBorders>
          </w:tcPr>
          <w:p>
            <w:pPr>
              <w:spacing w:after="0"/>
              <w:rPr>
                <w:sz w:val="4"/>
                <w:szCs w:val="4"/>
                <w:color w:val="auto"/>
              </w:rPr>
            </w:pPr>
          </w:p>
        </w:tc>
        <w:tc>
          <w:tcPr>
            <w:tcW w:w="1000" w:type="dxa"/>
            <w:vAlign w:val="bottom"/>
            <w:tcBorders>
              <w:bottom w:val="single" w:sz="8" w:color="AFAFAF"/>
            </w:tcBorders>
          </w:tcPr>
          <w:p>
            <w:pPr>
              <w:spacing w:after="0"/>
              <w:rPr>
                <w:sz w:val="4"/>
                <w:szCs w:val="4"/>
                <w:color w:val="auto"/>
              </w:rPr>
            </w:pPr>
          </w:p>
        </w:tc>
        <w:tc>
          <w:tcPr>
            <w:tcW w:w="1400" w:type="dxa"/>
            <w:vAlign w:val="bottom"/>
            <w:tcBorders>
              <w:bottom w:val="single" w:sz="8" w:color="AFAFAF"/>
            </w:tcBorders>
          </w:tcPr>
          <w:p>
            <w:pPr>
              <w:spacing w:after="0"/>
              <w:rPr>
                <w:sz w:val="4"/>
                <w:szCs w:val="4"/>
                <w:color w:val="auto"/>
              </w:rPr>
            </w:pPr>
          </w:p>
        </w:tc>
      </w:tr>
      <w:tr>
        <w:trPr>
          <w:trHeight w:val="180"/>
        </w:trPr>
        <w:tc>
          <w:tcPr>
            <w:tcW w:w="1980" w:type="dxa"/>
            <w:vAlign w:val="bottom"/>
          </w:tcPr>
          <w:p>
            <w:pPr>
              <w:ind w:left="40"/>
              <w:spacing w:after="0"/>
              <w:rPr>
                <w:sz w:val="20"/>
                <w:szCs w:val="20"/>
                <w:color w:val="auto"/>
              </w:rPr>
            </w:pPr>
            <w:r>
              <w:rPr>
                <w:rFonts w:ascii="Arial" w:cs="Arial" w:eastAsia="Arial" w:hAnsi="Arial"/>
                <w:sz w:val="14"/>
                <w:szCs w:val="14"/>
                <w:i w:val="1"/>
                <w:iCs w:val="1"/>
                <w:color w:val="auto"/>
              </w:rPr>
              <w:t>$7,344,411</w:t>
            </w:r>
          </w:p>
        </w:tc>
        <w:tc>
          <w:tcPr>
            <w:tcW w:w="940" w:type="dxa"/>
            <w:vAlign w:val="bottom"/>
          </w:tcPr>
          <w:p>
            <w:pPr>
              <w:ind w:left="720"/>
              <w:spacing w:after="0"/>
              <w:rPr>
                <w:sz w:val="20"/>
                <w:szCs w:val="20"/>
                <w:color w:val="auto"/>
              </w:rPr>
            </w:pPr>
            <w:r>
              <w:rPr>
                <w:rFonts w:ascii="Arial" w:cs="Arial" w:eastAsia="Arial" w:hAnsi="Arial"/>
                <w:sz w:val="14"/>
                <w:szCs w:val="14"/>
                <w:i w:val="1"/>
                <w:iCs w:val="1"/>
                <w:color w:val="auto"/>
                <w:w w:val="91"/>
              </w:rPr>
              <w:t>– </w:t>
            </w:r>
          </w:p>
        </w:tc>
        <w:tc>
          <w:tcPr>
            <w:tcW w:w="240" w:type="dxa"/>
            <w:vAlign w:val="bottom"/>
          </w:tcPr>
          <w:p>
            <w:pPr>
              <w:spacing w:after="0"/>
              <w:rPr>
                <w:sz w:val="20"/>
                <w:szCs w:val="20"/>
                <w:color w:val="auto"/>
              </w:rPr>
            </w:pPr>
            <w:r>
              <w:rPr>
                <w:rFonts w:ascii="Arial" w:cs="Arial" w:eastAsia="Arial" w:hAnsi="Arial"/>
                <w:sz w:val="14"/>
                <w:szCs w:val="14"/>
                <w:i w:val="1"/>
                <w:iCs w:val="1"/>
                <w:color w:val="auto"/>
              </w:rPr>
              <w:t xml:space="preserve">   </w:t>
            </w:r>
          </w:p>
        </w:tc>
        <w:tc>
          <w:tcPr>
            <w:tcW w:w="980" w:type="dxa"/>
            <w:vAlign w:val="bottom"/>
          </w:tcPr>
          <w:p>
            <w:pPr>
              <w:ind w:left="140"/>
              <w:spacing w:after="0"/>
              <w:rPr>
                <w:sz w:val="20"/>
                <w:szCs w:val="20"/>
                <w:color w:val="auto"/>
              </w:rPr>
            </w:pPr>
            <w:r>
              <w:rPr>
                <w:rFonts w:ascii="Arial" w:cs="Arial" w:eastAsia="Arial" w:hAnsi="Arial"/>
                <w:sz w:val="14"/>
                <w:szCs w:val="14"/>
                <w:i w:val="1"/>
                <w:iCs w:val="1"/>
                <w:color w:val="auto"/>
              </w:rPr>
              <w:t>$18,923,006</w:t>
            </w:r>
          </w:p>
        </w:tc>
        <w:tc>
          <w:tcPr>
            <w:tcW w:w="380" w:type="dxa"/>
            <w:vAlign w:val="bottom"/>
          </w:tcPr>
          <w:p>
            <w:pPr>
              <w:ind w:left="220"/>
              <w:spacing w:after="0"/>
              <w:rPr>
                <w:sz w:val="20"/>
                <w:szCs w:val="20"/>
                <w:color w:val="auto"/>
              </w:rPr>
            </w:pPr>
            <w:r>
              <w:rPr>
                <w:rFonts w:ascii="Arial" w:cs="Arial" w:eastAsia="Arial" w:hAnsi="Arial"/>
                <w:sz w:val="12"/>
                <w:szCs w:val="12"/>
                <w:i w:val="1"/>
                <w:iCs w:val="1"/>
                <w:color w:val="auto"/>
                <w:w w:val="74"/>
              </w:rPr>
              <w:t>– </w:t>
            </w:r>
          </w:p>
        </w:tc>
        <w:tc>
          <w:tcPr>
            <w:tcW w:w="320" w:type="dxa"/>
            <w:vAlign w:val="bottom"/>
          </w:tcPr>
          <w:p>
            <w:pPr>
              <w:ind w:left="60"/>
              <w:spacing w:after="0"/>
              <w:rPr>
                <w:sz w:val="20"/>
                <w:szCs w:val="20"/>
                <w:color w:val="auto"/>
              </w:rPr>
            </w:pPr>
            <w:r>
              <w:rPr>
                <w:rFonts w:ascii="Arial" w:cs="Arial" w:eastAsia="Arial" w:hAnsi="Arial"/>
                <w:sz w:val="14"/>
                <w:szCs w:val="14"/>
                <w:i w:val="1"/>
                <w:iCs w:val="1"/>
                <w:color w:val="auto"/>
              </w:rPr>
              <w:t xml:space="preserve">   </w:t>
            </w:r>
          </w:p>
        </w:tc>
        <w:tc>
          <w:tcPr>
            <w:tcW w:w="106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i w:val="1"/>
                <w:iCs w:val="1"/>
                <w:color w:val="auto"/>
              </w:rPr>
              <w:t>$26,267,417</w:t>
            </w:r>
          </w:p>
        </w:tc>
        <w:tc>
          <w:tcPr>
            <w:tcW w:w="1400" w:type="dxa"/>
            <w:vAlign w:val="bottom"/>
          </w:tcPr>
          <w:p>
            <w:pPr>
              <w:ind w:left="700"/>
              <w:spacing w:after="0"/>
              <w:rPr>
                <w:sz w:val="20"/>
                <w:szCs w:val="20"/>
                <w:color w:val="auto"/>
              </w:rPr>
            </w:pPr>
            <w:r>
              <w:rPr>
                <w:rFonts w:ascii="Arial" w:cs="Arial" w:eastAsia="Arial" w:hAnsi="Arial"/>
                <w:sz w:val="14"/>
                <w:szCs w:val="14"/>
                <w:i w:val="1"/>
                <w:iCs w:val="1"/>
                <w:color w:val="auto"/>
              </w:rPr>
              <w:t>–</w:t>
            </w:r>
          </w:p>
        </w:tc>
      </w:tr>
    </w:tbl>
    <w:p>
      <w:pPr>
        <w:spacing w:after="0" w:line="8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1  David Thomson and Peter Thomson, both of whom are nominees, are brothers.</w:t>
      </w:r>
    </w:p>
    <w:p>
      <w:pPr>
        <w:spacing w:after="0" w:line="10" w:lineRule="exact"/>
        <w:rPr>
          <w:sz w:val="20"/>
          <w:szCs w:val="20"/>
          <w:color w:val="auto"/>
        </w:rPr>
      </w:pPr>
    </w:p>
    <w:p>
      <w:pPr>
        <w:ind w:left="140"/>
        <w:spacing w:after="0" w:line="236" w:lineRule="auto"/>
        <w:rPr>
          <w:sz w:val="20"/>
          <w:szCs w:val="20"/>
          <w:color w:val="auto"/>
        </w:rPr>
      </w:pPr>
      <w:r>
        <w:rPr>
          <w:rFonts w:ascii="Arial" w:cs="Arial" w:eastAsia="Arial" w:hAnsi="Arial"/>
          <w:sz w:val="13"/>
          <w:szCs w:val="13"/>
          <w:color w:val="auto"/>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ind w:left="140"/>
        <w:spacing w:after="0"/>
        <w:rPr>
          <w:sz w:val="20"/>
          <w:szCs w:val="20"/>
          <w:color w:val="auto"/>
        </w:rPr>
      </w:pPr>
      <w:r>
        <w:rPr>
          <w:rFonts w:ascii="Arial" w:cs="Arial" w:eastAsia="Arial" w:hAnsi="Arial"/>
          <w:sz w:val="13"/>
          <w:szCs w:val="13"/>
          <w:color w:val="auto"/>
        </w:rPr>
        <w:t>3  An additional 1,349 shares are held by an immediate family member of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7620</wp:posOffset>
            </wp:positionV>
            <wp:extent cx="69297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143510</wp:posOffset>
            </wp:positionV>
            <wp:extent cx="6929755"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660"/>
            <w:col w:w="8300"/>
          </w:cols>
          <w:pgMar w:left="320" w:top="454" w:right="499" w:bottom="1440" w:gutter="0" w:footer="0" w:header="0"/>
          <w:type w:val="continuous"/>
        </w:sectPr>
      </w:pPr>
    </w:p>
    <w:p>
      <w:pPr>
        <w:spacing w:after="0" w:line="17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20 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3057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305752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Steve Hasker</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54</w:t>
      </w:r>
    </w:p>
    <w:p>
      <w:pPr>
        <w:spacing w:after="0" w:line="64" w:lineRule="exact"/>
        <w:rPr>
          <w:sz w:val="20"/>
          <w:szCs w:val="20"/>
          <w:color w:val="auto"/>
        </w:rPr>
      </w:pPr>
    </w:p>
    <w:p>
      <w:pPr>
        <w:ind w:left="260" w:right="520"/>
        <w:spacing w:after="0" w:line="343" w:lineRule="auto"/>
        <w:rPr>
          <w:sz w:val="20"/>
          <w:szCs w:val="20"/>
          <w:color w:val="auto"/>
        </w:rPr>
      </w:pPr>
      <w:r>
        <w:rPr>
          <w:rFonts w:ascii="Arial" w:cs="Arial" w:eastAsia="Arial" w:hAnsi="Arial"/>
          <w:sz w:val="13"/>
          <w:szCs w:val="13"/>
          <w:color w:val="auto"/>
        </w:rPr>
        <w:t>Toronto, Ontario, Canada Director since 2020 Non-independent</w:t>
      </w:r>
    </w:p>
    <w:p>
      <w:pPr>
        <w:spacing w:after="0" w:line="1" w:lineRule="exact"/>
        <w:rPr>
          <w:sz w:val="20"/>
          <w:szCs w:val="20"/>
          <w:color w:val="auto"/>
        </w:rPr>
      </w:pPr>
    </w:p>
    <w:p>
      <w:pPr>
        <w:ind w:left="260"/>
        <w:spacing w:after="0" w:line="256" w:lineRule="auto"/>
        <w:rPr>
          <w:sz w:val="20"/>
          <w:szCs w:val="20"/>
          <w:color w:val="auto"/>
        </w:rPr>
      </w:pPr>
      <w:r>
        <w:rPr>
          <w:rFonts w:ascii="Arial" w:cs="Arial" w:eastAsia="Arial" w:hAnsi="Arial"/>
          <w:sz w:val="13"/>
          <w:szCs w:val="13"/>
          <w:color w:val="auto"/>
        </w:rPr>
        <w:t>Primary areas of expertise: operations, international business, strategy and technology</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99.73%</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Steve Hasker</w:t>
      </w:r>
    </w:p>
    <w:p>
      <w:pPr>
        <w:spacing w:after="0" w:line="43" w:lineRule="exact"/>
        <w:rPr>
          <w:sz w:val="20"/>
          <w:szCs w:val="20"/>
          <w:color w:val="auto"/>
        </w:rPr>
      </w:pPr>
    </w:p>
    <w:p>
      <w:pPr>
        <w:ind w:left="60" w:right="20"/>
        <w:spacing w:after="0" w:line="243" w:lineRule="auto"/>
        <w:rPr>
          <w:sz w:val="20"/>
          <w:szCs w:val="20"/>
          <w:color w:val="auto"/>
        </w:rPr>
      </w:pPr>
      <w:r>
        <w:rPr>
          <w:rFonts w:ascii="Arial" w:cs="Arial" w:eastAsia="Arial" w:hAnsi="Arial"/>
          <w:sz w:val="14"/>
          <w:szCs w:val="14"/>
          <w:color w:val="auto"/>
        </w:rPr>
        <w:t>Steve Hasker has been President and Chief Executive Officer and a director of Thomson Reuters since March 2020. Prior to joining Thomson Reuters in February 2020, he was Senior Advisor to TPG Capital, a private equity firm, from August 2019 to February 2020. Prior to that, he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He is a member of the Australia and New Zealand Institute of Chartered Accountants. Steve has an undergraduate economics degree from the University of Melbourne and received an MBA and master’s in international affairs from Columbia University.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208"/>
        </w:trPr>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membership</w:t>
            </w:r>
          </w:p>
        </w:tc>
        <w:tc>
          <w:tcPr>
            <w:tcW w:w="2080" w:type="dxa"/>
            <w:vAlign w:val="bottom"/>
            <w:gridSpan w:val="2"/>
          </w:tcPr>
          <w:p>
            <w:pPr>
              <w:ind w:left="780"/>
              <w:spacing w:after="0"/>
              <w:rPr>
                <w:sz w:val="20"/>
                <w:szCs w:val="20"/>
                <w:color w:val="auto"/>
              </w:rPr>
            </w:pPr>
            <w:r>
              <w:rPr>
                <w:rFonts w:ascii="Arial" w:cs="Arial" w:eastAsia="Arial" w:hAnsi="Arial"/>
                <w:sz w:val="14"/>
                <w:szCs w:val="14"/>
                <w:b w:val="1"/>
                <w:bCs w:val="1"/>
                <w:color w:val="auto"/>
              </w:rPr>
              <w:t>2023 attendance</w:t>
            </w:r>
          </w:p>
        </w:tc>
        <w:tc>
          <w:tcPr>
            <w:tcW w:w="4280" w:type="dxa"/>
            <w:vAlign w:val="bottom"/>
          </w:tcPr>
          <w:p>
            <w:pPr>
              <w:ind w:left="20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1980" w:type="dxa"/>
            <w:vAlign w:val="bottom"/>
            <w:tcBorders>
              <w:bottom w:val="single" w:sz="8" w:color="AFAFAF"/>
            </w:tcBorders>
          </w:tcPr>
          <w:p>
            <w:pPr>
              <w:spacing w:after="0"/>
              <w:rPr>
                <w:sz w:val="7"/>
                <w:szCs w:val="7"/>
                <w:color w:val="auto"/>
              </w:rPr>
            </w:pPr>
          </w:p>
        </w:tc>
        <w:tc>
          <w:tcPr>
            <w:tcW w:w="1300" w:type="dxa"/>
            <w:vAlign w:val="bottom"/>
            <w:tcBorders>
              <w:bottom w:val="single" w:sz="8" w:color="AFAFAF"/>
            </w:tcBorders>
          </w:tcPr>
          <w:p>
            <w:pPr>
              <w:spacing w:after="0"/>
              <w:rPr>
                <w:sz w:val="7"/>
                <w:szCs w:val="7"/>
                <w:color w:val="auto"/>
              </w:rPr>
            </w:pPr>
          </w:p>
        </w:tc>
        <w:tc>
          <w:tcPr>
            <w:tcW w:w="780" w:type="dxa"/>
            <w:vAlign w:val="bottom"/>
            <w:tcBorders>
              <w:bottom w:val="single" w:sz="8" w:color="AFAFAF"/>
            </w:tcBorders>
          </w:tcPr>
          <w:p>
            <w:pPr>
              <w:spacing w:after="0"/>
              <w:rPr>
                <w:sz w:val="7"/>
                <w:szCs w:val="7"/>
                <w:color w:val="auto"/>
              </w:rPr>
            </w:pPr>
          </w:p>
        </w:tc>
        <w:tc>
          <w:tcPr>
            <w:tcW w:w="4280" w:type="dxa"/>
            <w:vAlign w:val="bottom"/>
            <w:tcBorders>
              <w:bottom w:val="single" w:sz="8" w:color="AFAFAF"/>
            </w:tcBorders>
          </w:tcPr>
          <w:p>
            <w:pPr>
              <w:spacing w:after="0"/>
              <w:rPr>
                <w:sz w:val="7"/>
                <w:szCs w:val="7"/>
                <w:color w:val="auto"/>
              </w:rPr>
            </w:pPr>
          </w:p>
        </w:tc>
      </w:tr>
      <w:tr>
        <w:trPr>
          <w:trHeight w:val="182"/>
        </w:trPr>
        <w:tc>
          <w:tcPr>
            <w:tcW w:w="1980" w:type="dxa"/>
            <w:vAlign w:val="bottom"/>
          </w:tcPr>
          <w:p>
            <w:pPr>
              <w:ind w:left="60"/>
              <w:spacing w:after="0"/>
              <w:rPr>
                <w:sz w:val="20"/>
                <w:szCs w:val="20"/>
                <w:color w:val="auto"/>
              </w:rPr>
            </w:pPr>
            <w:r>
              <w:rPr>
                <w:rFonts w:ascii="Arial" w:cs="Arial" w:eastAsia="Arial" w:hAnsi="Arial"/>
                <w:sz w:val="14"/>
                <w:szCs w:val="14"/>
                <w:color w:val="auto"/>
              </w:rPr>
              <w:t>Board</w:t>
            </w:r>
          </w:p>
        </w:tc>
        <w:tc>
          <w:tcPr>
            <w:tcW w:w="1300" w:type="dxa"/>
            <w:vAlign w:val="bottom"/>
          </w:tcPr>
          <w:p>
            <w:pPr>
              <w:ind w:left="780"/>
              <w:spacing w:after="0"/>
              <w:rPr>
                <w:sz w:val="20"/>
                <w:szCs w:val="20"/>
                <w:color w:val="auto"/>
              </w:rPr>
            </w:pPr>
            <w:r>
              <w:rPr>
                <w:rFonts w:ascii="Arial" w:cs="Arial" w:eastAsia="Arial" w:hAnsi="Arial"/>
                <w:sz w:val="14"/>
                <w:szCs w:val="14"/>
                <w:color w:val="auto"/>
              </w:rPr>
              <w:t>9 of 9</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rPr>
              <w:t>100%</w:t>
            </w:r>
          </w:p>
        </w:tc>
        <w:tc>
          <w:tcPr>
            <w:tcW w:w="4280" w:type="dxa"/>
            <w:vAlign w:val="bottom"/>
          </w:tcPr>
          <w:p>
            <w:pPr>
              <w:ind w:left="200"/>
              <w:spacing w:after="0"/>
              <w:rPr>
                <w:sz w:val="20"/>
                <w:szCs w:val="20"/>
                <w:color w:val="auto"/>
              </w:rPr>
            </w:pPr>
            <w:r>
              <w:rPr>
                <w:rFonts w:ascii="Arial" w:cs="Arial" w:eastAsia="Arial" w:hAnsi="Arial"/>
                <w:sz w:val="14"/>
                <w:szCs w:val="14"/>
                <w:color w:val="auto"/>
              </w:rPr>
              <w:t>Appen Limited</w:t>
            </w:r>
          </w:p>
        </w:tc>
      </w:tr>
      <w:tr>
        <w:trPr>
          <w:trHeight w:val="38"/>
        </w:trPr>
        <w:tc>
          <w:tcPr>
            <w:tcW w:w="1980" w:type="dxa"/>
            <w:vAlign w:val="bottom"/>
            <w:tcBorders>
              <w:bottom w:val="single" w:sz="8" w:color="AFAFAF"/>
            </w:tcBorders>
          </w:tcPr>
          <w:p>
            <w:pPr>
              <w:spacing w:after="0"/>
              <w:rPr>
                <w:sz w:val="3"/>
                <w:szCs w:val="3"/>
                <w:color w:val="auto"/>
              </w:rPr>
            </w:pPr>
          </w:p>
        </w:tc>
        <w:tc>
          <w:tcPr>
            <w:tcW w:w="1300" w:type="dxa"/>
            <w:vAlign w:val="bottom"/>
            <w:tcBorders>
              <w:bottom w:val="single" w:sz="8" w:color="AFAFAF"/>
            </w:tcBorders>
          </w:tcPr>
          <w:p>
            <w:pPr>
              <w:spacing w:after="0"/>
              <w:rPr>
                <w:sz w:val="3"/>
                <w:szCs w:val="3"/>
                <w:color w:val="auto"/>
              </w:rPr>
            </w:pPr>
          </w:p>
        </w:tc>
        <w:tc>
          <w:tcPr>
            <w:tcW w:w="780" w:type="dxa"/>
            <w:vAlign w:val="bottom"/>
            <w:tcBorders>
              <w:bottom w:val="single" w:sz="8" w:color="AFAFAF"/>
            </w:tcBorders>
          </w:tcPr>
          <w:p>
            <w:pPr>
              <w:spacing w:after="0"/>
              <w:rPr>
                <w:sz w:val="3"/>
                <w:szCs w:val="3"/>
                <w:color w:val="auto"/>
              </w:rPr>
            </w:pPr>
          </w:p>
        </w:tc>
        <w:tc>
          <w:tcPr>
            <w:tcW w:w="4280" w:type="dxa"/>
            <w:vAlign w:val="bottom"/>
            <w:tcBorders>
              <w:bottom w:val="single" w:sz="8" w:color="AFAFAF"/>
            </w:tcBorders>
          </w:tcPr>
          <w:p>
            <w:pPr>
              <w:spacing w:after="0"/>
              <w:rPr>
                <w:sz w:val="3"/>
                <w:szCs w:val="3"/>
                <w:color w:val="auto"/>
              </w:rPr>
            </w:pPr>
          </w:p>
        </w:tc>
      </w:tr>
      <w:tr>
        <w:trPr>
          <w:trHeight w:val="188"/>
        </w:trPr>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ind w:left="780"/>
              <w:spacing w:after="0"/>
              <w:rPr>
                <w:sz w:val="20"/>
                <w:szCs w:val="20"/>
                <w:color w:val="auto"/>
              </w:rPr>
            </w:pPr>
            <w:r>
              <w:rPr>
                <w:rFonts w:ascii="Arial" w:cs="Arial" w:eastAsia="Arial" w:hAnsi="Arial"/>
                <w:sz w:val="14"/>
                <w:szCs w:val="14"/>
                <w:b w:val="1"/>
                <w:bCs w:val="1"/>
                <w:color w:val="auto"/>
              </w:rPr>
              <w:t>9 of 9</w:t>
            </w:r>
          </w:p>
        </w:tc>
        <w:tc>
          <w:tcPr>
            <w:tcW w:w="780" w:type="dxa"/>
            <w:vAlign w:val="bottom"/>
          </w:tcPr>
          <w:p>
            <w:pPr>
              <w:jc w:val="right"/>
              <w:ind w:right="189"/>
              <w:spacing w:after="0"/>
              <w:rPr>
                <w:sz w:val="20"/>
                <w:szCs w:val="20"/>
                <w:color w:val="auto"/>
              </w:rPr>
            </w:pPr>
            <w:r>
              <w:rPr>
                <w:rFonts w:ascii="Arial" w:cs="Arial" w:eastAsia="Arial" w:hAnsi="Arial"/>
                <w:sz w:val="14"/>
                <w:szCs w:val="14"/>
                <w:b w:val="1"/>
                <w:bCs w:val="1"/>
                <w:color w:val="auto"/>
              </w:rPr>
              <w:t>100%</w:t>
            </w:r>
          </w:p>
        </w:tc>
        <w:tc>
          <w:tcPr>
            <w:tcW w:w="4280" w:type="dxa"/>
            <w:vAlign w:val="bottom"/>
          </w:tcPr>
          <w:p>
            <w:pPr>
              <w:spacing w:after="0"/>
              <w:rPr>
                <w:sz w:val="16"/>
                <w:szCs w:val="16"/>
                <w:color w:val="auto"/>
              </w:rPr>
            </w:pPr>
          </w:p>
        </w:tc>
      </w:tr>
      <w:tr>
        <w:trPr>
          <w:trHeight w:val="72"/>
        </w:trPr>
        <w:tc>
          <w:tcPr>
            <w:tcW w:w="1980" w:type="dxa"/>
            <w:vAlign w:val="bottom"/>
            <w:tcBorders>
              <w:bottom w:val="single" w:sz="8" w:color="AFAFAF"/>
            </w:tcBorders>
          </w:tcPr>
          <w:p>
            <w:pPr>
              <w:spacing w:after="0"/>
              <w:rPr>
                <w:sz w:val="6"/>
                <w:szCs w:val="6"/>
                <w:color w:val="auto"/>
              </w:rPr>
            </w:pPr>
          </w:p>
        </w:tc>
        <w:tc>
          <w:tcPr>
            <w:tcW w:w="1300" w:type="dxa"/>
            <w:vAlign w:val="bottom"/>
            <w:tcBorders>
              <w:bottom w:val="single" w:sz="8" w:color="AFAFAF"/>
            </w:tcBorders>
          </w:tcPr>
          <w:p>
            <w:pPr>
              <w:spacing w:after="0"/>
              <w:rPr>
                <w:sz w:val="6"/>
                <w:szCs w:val="6"/>
                <w:color w:val="auto"/>
              </w:rPr>
            </w:pPr>
          </w:p>
        </w:tc>
        <w:tc>
          <w:tcPr>
            <w:tcW w:w="780" w:type="dxa"/>
            <w:vAlign w:val="bottom"/>
            <w:tcBorders>
              <w:bottom w:val="single" w:sz="8" w:color="AFAFAF"/>
            </w:tcBorders>
          </w:tcPr>
          <w:p>
            <w:pPr>
              <w:spacing w:after="0"/>
              <w:rPr>
                <w:sz w:val="6"/>
                <w:szCs w:val="6"/>
                <w:color w:val="auto"/>
              </w:rPr>
            </w:pPr>
          </w:p>
        </w:tc>
        <w:tc>
          <w:tcPr>
            <w:tcW w:w="4280" w:type="dxa"/>
            <w:vAlign w:val="bottom"/>
            <w:tcBorders>
              <w:bottom w:val="single" w:sz="8" w:color="AFAFAF"/>
            </w:tcBorders>
          </w:tcPr>
          <w:p>
            <w:pPr>
              <w:spacing w:after="0"/>
              <w:rPr>
                <w:sz w:val="6"/>
                <w:szCs w:val="6"/>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ind w:left="60"/>
              <w:spacing w:after="0"/>
              <w:rPr>
                <w:sz w:val="20"/>
                <w:szCs w:val="20"/>
                <w:color w:val="auto"/>
              </w:rPr>
            </w:pPr>
            <w:r>
              <w:rPr>
                <w:rFonts w:ascii="Arial" w:cs="Arial" w:eastAsia="Arial" w:hAnsi="Arial"/>
                <w:sz w:val="14"/>
                <w:szCs w:val="14"/>
                <w:b w:val="1"/>
                <w:bCs w:val="1"/>
                <w:color w:val="auto"/>
              </w:rPr>
              <w:t>Securities held</w:t>
            </w: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ind w:left="960"/>
              <w:spacing w:after="0"/>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Ownership multiple</w:t>
            </w:r>
          </w:p>
        </w:tc>
      </w:tr>
      <w:tr>
        <w:trPr>
          <w:trHeight w:val="293"/>
        </w:trPr>
        <w:tc>
          <w:tcPr>
            <w:tcW w:w="210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(number and value)</w:t>
            </w:r>
          </w:p>
        </w:tc>
        <w:tc>
          <w:tcPr>
            <w:tcW w:w="1360" w:type="dxa"/>
            <w:vAlign w:val="bottom"/>
            <w:tcBorders>
              <w:bottom w:val="single" w:sz="8" w:color="AFAFAF"/>
            </w:tcBorders>
          </w:tcPr>
          <w:p>
            <w:pPr>
              <w:spacing w:after="0"/>
              <w:rPr>
                <w:sz w:val="24"/>
                <w:szCs w:val="24"/>
                <w:color w:val="auto"/>
              </w:rPr>
            </w:pPr>
          </w:p>
        </w:tc>
        <w:tc>
          <w:tcPr>
            <w:tcW w:w="720" w:type="dxa"/>
            <w:vAlign w:val="bottom"/>
            <w:tcBorders>
              <w:bottom w:val="single" w:sz="8" w:color="AFAFAF"/>
            </w:tcBorders>
          </w:tcPr>
          <w:p>
            <w:pPr>
              <w:spacing w:after="0"/>
              <w:rPr>
                <w:sz w:val="24"/>
                <w:szCs w:val="24"/>
                <w:color w:val="auto"/>
              </w:rPr>
            </w:pPr>
          </w:p>
        </w:tc>
        <w:tc>
          <w:tcPr>
            <w:tcW w:w="1840" w:type="dxa"/>
            <w:vAlign w:val="bottom"/>
            <w:tcBorders>
              <w:bottom w:val="single" w:sz="8" w:color="AFAFAF"/>
            </w:tcBorders>
          </w:tcPr>
          <w:p>
            <w:pPr>
              <w:ind w:left="960"/>
              <w:spacing w:after="0"/>
              <w:rPr>
                <w:sz w:val="20"/>
                <w:szCs w:val="20"/>
                <w:color w:val="auto"/>
              </w:rPr>
            </w:pPr>
            <w:r>
              <w:rPr>
                <w:rFonts w:ascii="Arial" w:cs="Arial" w:eastAsia="Arial" w:hAnsi="Arial"/>
                <w:sz w:val="14"/>
                <w:szCs w:val="14"/>
                <w:b w:val="1"/>
                <w:bCs w:val="1"/>
                <w:color w:val="auto"/>
              </w:rPr>
              <w:t>and DSUs</w:t>
            </w:r>
          </w:p>
        </w:tc>
        <w:tc>
          <w:tcPr>
            <w:tcW w:w="94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1"/>
                <w:szCs w:val="21"/>
                <w:b w:val="1"/>
                <w:bCs w:val="1"/>
                <w:color w:val="auto"/>
                <w:vertAlign w:val="superscript"/>
              </w:rPr>
              <w:t>1</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base salary</w:t>
            </w:r>
            <w:r>
              <w:rPr>
                <w:rFonts w:ascii="Arial" w:cs="Arial" w:eastAsia="Arial" w:hAnsi="Arial"/>
                <w:sz w:val="21"/>
                <w:szCs w:val="21"/>
                <w:b w:val="1"/>
                <w:bCs w:val="1"/>
                <w:color w:val="auto"/>
                <w:vertAlign w:val="superscript"/>
              </w:rPr>
              <w:t>2</w:t>
            </w:r>
          </w:p>
        </w:tc>
      </w:tr>
      <w:tr>
        <w:trPr>
          <w:trHeight w:val="186"/>
        </w:trPr>
        <w:tc>
          <w:tcPr>
            <w:tcW w:w="2100" w:type="dxa"/>
            <w:vAlign w:val="bottom"/>
          </w:tcPr>
          <w:p>
            <w:pPr>
              <w:ind w:left="60"/>
              <w:spacing w:after="0"/>
              <w:rPr>
                <w:sz w:val="20"/>
                <w:szCs w:val="20"/>
                <w:color w:val="auto"/>
              </w:rPr>
            </w:pPr>
            <w:r>
              <w:rPr>
                <w:rFonts w:ascii="Arial" w:cs="Arial" w:eastAsia="Arial" w:hAnsi="Arial"/>
                <w:sz w:val="14"/>
                <w:szCs w:val="14"/>
                <w:color w:val="auto"/>
              </w:rPr>
              <w:t>Common shares</w:t>
            </w:r>
          </w:p>
        </w:tc>
        <w:tc>
          <w:tcPr>
            <w:tcW w:w="1360" w:type="dxa"/>
            <w:vAlign w:val="bottom"/>
          </w:tcPr>
          <w:p>
            <w:pPr>
              <w:ind w:left="780"/>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spacing w:after="0"/>
              <w:rPr>
                <w:sz w:val="20"/>
                <w:szCs w:val="20"/>
                <w:color w:val="auto"/>
              </w:rPr>
            </w:pPr>
            <w:r>
              <w:rPr>
                <w:rFonts w:ascii="Arial" w:cs="Arial" w:eastAsia="Arial" w:hAnsi="Arial"/>
                <w:sz w:val="14"/>
                <w:szCs w:val="14"/>
                <w:color w:val="auto"/>
              </w:rPr>
              <w:t>DSUs</w:t>
            </w:r>
          </w:p>
        </w:tc>
        <w:tc>
          <w:tcPr>
            <w:tcW w:w="1840" w:type="dxa"/>
            <w:vAlign w:val="bottom"/>
          </w:tcPr>
          <w:p>
            <w:pPr>
              <w:ind w:left="220"/>
              <w:spacing w:after="0"/>
              <w:rPr>
                <w:sz w:val="20"/>
                <w:szCs w:val="20"/>
                <w:color w:val="auto"/>
              </w:rPr>
            </w:pPr>
            <w:r>
              <w:rPr>
                <w:rFonts w:ascii="Arial" w:cs="Arial" w:eastAsia="Arial" w:hAnsi="Arial"/>
                <w:sz w:val="14"/>
                <w:szCs w:val="14"/>
                <w:color w:val="auto"/>
              </w:rPr>
              <w:t>Options</w:t>
            </w: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2"/>
        </w:trPr>
        <w:tc>
          <w:tcPr>
            <w:tcW w:w="2100" w:type="dxa"/>
            <w:vAlign w:val="bottom"/>
          </w:tcPr>
          <w:p>
            <w:pPr>
              <w:ind w:left="60"/>
              <w:spacing w:after="0"/>
              <w:rPr>
                <w:sz w:val="20"/>
                <w:szCs w:val="20"/>
                <w:color w:val="auto"/>
              </w:rPr>
            </w:pPr>
            <w:r>
              <w:rPr>
                <w:rFonts w:ascii="Arial" w:cs="Arial" w:eastAsia="Arial" w:hAnsi="Arial"/>
                <w:sz w:val="14"/>
                <w:szCs w:val="14"/>
                <w:color w:val="auto"/>
              </w:rPr>
              <w:t>70,291</w:t>
            </w: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127,563</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840" w:type="dxa"/>
            <w:vAlign w:val="bottom"/>
          </w:tcPr>
          <w:p>
            <w:pPr>
              <w:ind w:left="200"/>
              <w:spacing w:after="0"/>
              <w:rPr>
                <w:sz w:val="20"/>
                <w:szCs w:val="20"/>
                <w:color w:val="auto"/>
              </w:rPr>
            </w:pPr>
            <w:r>
              <w:rPr>
                <w:rFonts w:ascii="Arial" w:cs="Arial" w:eastAsia="Arial" w:hAnsi="Arial"/>
                <w:sz w:val="14"/>
                <w:szCs w:val="14"/>
                <w:color w:val="auto"/>
              </w:rPr>
              <w:t>597,598   70,291</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100" w:type="dxa"/>
            <w:vAlign w:val="bottom"/>
            <w:tcBorders>
              <w:bottom w:val="single" w:sz="8" w:color="AFAFAF"/>
            </w:tcBorders>
          </w:tcPr>
          <w:p>
            <w:pPr>
              <w:spacing w:after="0"/>
              <w:rPr>
                <w:sz w:val="4"/>
                <w:szCs w:val="4"/>
                <w:color w:val="auto"/>
              </w:rPr>
            </w:pPr>
          </w:p>
        </w:tc>
        <w:tc>
          <w:tcPr>
            <w:tcW w:w="1360" w:type="dxa"/>
            <w:vAlign w:val="bottom"/>
            <w:tcBorders>
              <w:bottom w:val="single" w:sz="8" w:color="AFAFAF"/>
            </w:tcBorders>
          </w:tcPr>
          <w:p>
            <w:pPr>
              <w:spacing w:after="0"/>
              <w:rPr>
                <w:sz w:val="4"/>
                <w:szCs w:val="4"/>
                <w:color w:val="auto"/>
              </w:rPr>
            </w:pPr>
          </w:p>
        </w:tc>
        <w:tc>
          <w:tcPr>
            <w:tcW w:w="720" w:type="dxa"/>
            <w:vAlign w:val="bottom"/>
            <w:tcBorders>
              <w:bottom w:val="single" w:sz="8" w:color="AFAFAF"/>
            </w:tcBorders>
          </w:tcPr>
          <w:p>
            <w:pPr>
              <w:spacing w:after="0"/>
              <w:rPr>
                <w:sz w:val="4"/>
                <w:szCs w:val="4"/>
                <w:color w:val="auto"/>
              </w:rPr>
            </w:pPr>
          </w:p>
        </w:tc>
        <w:tc>
          <w:tcPr>
            <w:tcW w:w="1840" w:type="dxa"/>
            <w:vAlign w:val="bottom"/>
            <w:tcBorders>
              <w:bottom w:val="single" w:sz="8" w:color="AFAFAF"/>
            </w:tcBorders>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r>
      <w:tr>
        <w:trPr>
          <w:trHeight w:val="180"/>
        </w:trPr>
        <w:tc>
          <w:tcPr>
            <w:tcW w:w="2100" w:type="dxa"/>
            <w:vAlign w:val="bottom"/>
          </w:tcPr>
          <w:p>
            <w:pPr>
              <w:ind w:left="60"/>
              <w:spacing w:after="0"/>
              <w:rPr>
                <w:sz w:val="20"/>
                <w:szCs w:val="20"/>
                <w:color w:val="auto"/>
              </w:rPr>
            </w:pPr>
            <w:r>
              <w:rPr>
                <w:rFonts w:ascii="Arial" w:cs="Arial" w:eastAsia="Arial" w:hAnsi="Arial"/>
                <w:sz w:val="14"/>
                <w:szCs w:val="14"/>
                <w:i w:val="1"/>
                <w:iCs w:val="1"/>
                <w:color w:val="auto"/>
              </w:rPr>
              <w:t>$10,710,943</w:t>
            </w:r>
          </w:p>
        </w:tc>
        <w:tc>
          <w:tcPr>
            <w:tcW w:w="1360" w:type="dxa"/>
            <w:vAlign w:val="bottom"/>
          </w:tcPr>
          <w:p>
            <w:pPr>
              <w:jc w:val="center"/>
              <w:ind w:left="529"/>
              <w:spacing w:after="0"/>
              <w:rPr>
                <w:sz w:val="20"/>
                <w:szCs w:val="20"/>
                <w:color w:val="auto"/>
              </w:rPr>
            </w:pPr>
            <w:r>
              <w:rPr>
                <w:rFonts w:ascii="Arial" w:cs="Arial" w:eastAsia="Arial" w:hAnsi="Arial"/>
                <w:sz w:val="14"/>
                <w:szCs w:val="14"/>
                <w:i w:val="1"/>
                <w:i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840" w:type="dxa"/>
            <w:vAlign w:val="bottom"/>
          </w:tcPr>
          <w:p>
            <w:pPr>
              <w:ind w:left="420"/>
              <w:spacing w:after="0"/>
              <w:rPr>
                <w:sz w:val="20"/>
                <w:szCs w:val="20"/>
                <w:color w:val="auto"/>
              </w:rPr>
            </w:pPr>
            <w:r>
              <w:rPr>
                <w:rFonts w:ascii="Arial" w:cs="Arial" w:eastAsia="Arial" w:hAnsi="Arial"/>
                <w:sz w:val="14"/>
                <w:szCs w:val="14"/>
                <w:i w:val="1"/>
                <w:iCs w:val="1"/>
                <w:color w:val="auto"/>
              </w:rPr>
              <w:t>–</w:t>
            </w: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10,710,943</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9.7x</w:t>
            </w:r>
          </w:p>
        </w:tc>
      </w:tr>
    </w:tbl>
    <w:p>
      <w:pPr>
        <w:spacing w:after="0" w:line="81" w:lineRule="exact"/>
        <w:rPr>
          <w:sz w:val="20"/>
          <w:szCs w:val="20"/>
          <w:color w:val="auto"/>
        </w:rPr>
      </w:pPr>
    </w:p>
    <w:p>
      <w:pPr>
        <w:ind w:left="160" w:right="120"/>
        <w:spacing w:after="0" w:line="245" w:lineRule="auto"/>
        <w:rPr>
          <w:sz w:val="20"/>
          <w:szCs w:val="20"/>
          <w:color w:val="auto"/>
        </w:rPr>
      </w:pPr>
      <w:r>
        <w:rPr>
          <w:rFonts w:ascii="Arial" w:cs="Arial" w:eastAsia="Arial" w:hAnsi="Arial"/>
          <w:sz w:val="13"/>
          <w:szCs w:val="13"/>
          <w:color w:val="auto"/>
        </w:rPr>
        <w:t>1  42,521 of Steve’s 127,563 RSUs are time-based restricted share units (TRSUs). As of April 12, 2024, the value of Steve’s TRSUs was $6,479,350.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2  Reflects Steve’s ratio under his executive ownership guidelines, which is based on a multiple of his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7620</wp:posOffset>
            </wp:positionV>
            <wp:extent cx="6929755" cy="3227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3227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60"/>
            <w:col w:w="8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Kirk E. Arnold</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64</w:t>
      </w:r>
    </w:p>
    <w:p>
      <w:pPr>
        <w:spacing w:after="0" w:line="64" w:lineRule="exact"/>
        <w:rPr>
          <w:sz w:val="20"/>
          <w:szCs w:val="20"/>
          <w:color w:val="auto"/>
        </w:rPr>
      </w:pPr>
    </w:p>
    <w:p>
      <w:pPr>
        <w:ind w:left="260"/>
        <w:spacing w:after="0" w:line="405" w:lineRule="auto"/>
        <w:rPr>
          <w:sz w:val="20"/>
          <w:szCs w:val="20"/>
          <w:color w:val="auto"/>
        </w:rPr>
      </w:pPr>
      <w:r>
        <w:rPr>
          <w:rFonts w:ascii="Arial" w:cs="Arial" w:eastAsia="Arial" w:hAnsi="Arial"/>
          <w:sz w:val="13"/>
          <w:szCs w:val="13"/>
          <w:color w:val="auto"/>
        </w:rPr>
        <w:t>Kennebunk, Maine, United States Director since 2020 Independent</w:t>
      </w:r>
    </w:p>
    <w:p>
      <w:pPr>
        <w:spacing w:after="0" w:line="137" w:lineRule="exact"/>
        <w:rPr>
          <w:sz w:val="20"/>
          <w:szCs w:val="20"/>
          <w:color w:val="auto"/>
        </w:rPr>
      </w:pPr>
    </w:p>
    <w:p>
      <w:pPr>
        <w:ind w:left="260" w:right="300"/>
        <w:spacing w:after="0" w:line="249" w:lineRule="auto"/>
        <w:rPr>
          <w:sz w:val="20"/>
          <w:szCs w:val="20"/>
          <w:color w:val="auto"/>
        </w:rPr>
      </w:pPr>
      <w:r>
        <w:rPr>
          <w:rFonts w:ascii="Arial" w:cs="Arial" w:eastAsia="Arial" w:hAnsi="Arial"/>
          <w:sz w:val="13"/>
          <w:szCs w:val="13"/>
          <w:color w:val="auto"/>
        </w:rPr>
        <w:t>Primary areas of expertise: technology, strategy, sales &amp; marketing, human capital management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99.63%</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b w:val="1"/>
          <w:bCs w:val="1"/>
          <w:color w:val="auto"/>
        </w:rPr>
        <w:t>Kirk E. Arnold</w:t>
      </w:r>
    </w:p>
    <w:p>
      <w:pPr>
        <w:spacing w:after="0" w:line="43" w:lineRule="exact"/>
        <w:rPr>
          <w:sz w:val="20"/>
          <w:szCs w:val="20"/>
          <w:color w:val="auto"/>
        </w:rPr>
      </w:pPr>
    </w:p>
    <w:p>
      <w:pPr>
        <w:ind w:left="60"/>
        <w:spacing w:after="0" w:line="244" w:lineRule="auto"/>
        <w:rPr>
          <w:sz w:val="20"/>
          <w:szCs w:val="20"/>
          <w:color w:val="auto"/>
        </w:rPr>
      </w:pPr>
      <w:r>
        <w:rPr>
          <w:rFonts w:ascii="Arial" w:cs="Arial" w:eastAsia="Arial" w:hAnsi="Arial"/>
          <w:sz w:val="14"/>
          <w:szCs w:val="14"/>
          <w:color w:val="auto"/>
        </w:rPr>
        <w:t>Kirk E. Arnold has been an advisor to General Catalyst growth companies since 2018, where she works with management teams to help scale and drive growth by providing mentorship, operational and strategic support. She was previously Chief Executive Officer of Data Intensity, LLC, a cloud-based data, applications and analytics managed service provider, from 2013 to 2017. Prior to that, Kirk was Chief Operating Officer of Avid, a technology provider in the media industry, and Chief Executive Officer and President of Keane, Inc., then a publicly traded global services provider. She has also held senior leadership roles at Computer Sciences Corp., Fidelity Investments and IBM. In addition, she was founder and Chief Executive Officer of NerveWire, a management consulting and systems integration provider. Kirk serves on the boards of several private companies. In addition, she is a Senior Lecturer at MIT Sloan School of Management and an advisor to the Center for MIT Entrepreneurship. Kirk received a bachelor’s degree from Dartmouth College.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4"/>
          </w:tcPr>
          <w:p>
            <w:pPr>
              <w:ind w:left="60"/>
              <w:spacing w:after="0"/>
              <w:rPr>
                <w:sz w:val="20"/>
                <w:szCs w:val="20"/>
                <w:color w:val="auto"/>
              </w:rPr>
            </w:pPr>
            <w:r>
              <w:rPr>
                <w:rFonts w:ascii="Arial" w:cs="Arial" w:eastAsia="Arial" w:hAnsi="Arial"/>
                <w:sz w:val="14"/>
                <w:szCs w:val="14"/>
                <w:b w:val="1"/>
                <w:bCs w:val="1"/>
                <w:color w:val="auto"/>
              </w:rPr>
              <w:t>Board/committee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membership</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gridSpan w:val="3"/>
          </w:tcPr>
          <w:p>
            <w:pPr>
              <w:ind w:left="32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4"/>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78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520" w:type="dxa"/>
            <w:vAlign w:val="bottom"/>
            <w:tcBorders>
              <w:bottom w:val="single" w:sz="8" w:color="AFAFAF"/>
            </w:tcBorders>
          </w:tcPr>
          <w:p>
            <w:pPr>
              <w:spacing w:after="0"/>
              <w:rPr>
                <w:sz w:val="7"/>
                <w:szCs w:val="7"/>
                <w:color w:val="auto"/>
              </w:rPr>
            </w:pPr>
          </w:p>
        </w:tc>
        <w:tc>
          <w:tcPr>
            <w:tcW w:w="680" w:type="dxa"/>
            <w:vAlign w:val="bottom"/>
            <w:tcBorders>
              <w:bottom w:val="single" w:sz="8" w:color="AFAFAF"/>
            </w:tcBorders>
          </w:tcPr>
          <w:p>
            <w:pPr>
              <w:spacing w:after="0"/>
              <w:rPr>
                <w:sz w:val="7"/>
                <w:szCs w:val="7"/>
                <w:color w:val="auto"/>
              </w:rPr>
            </w:pPr>
          </w:p>
        </w:tc>
        <w:tc>
          <w:tcPr>
            <w:tcW w:w="24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20" w:type="dxa"/>
            <w:vAlign w:val="bottom"/>
            <w:tcBorders>
              <w:bottom w:val="single" w:sz="8" w:color="AFAFAF"/>
            </w:tcBorders>
            <w:gridSpan w:val="2"/>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780" w:type="dxa"/>
            <w:vAlign w:val="bottom"/>
          </w:tcPr>
          <w:p>
            <w:pPr>
              <w:ind w:left="60"/>
              <w:spacing w:after="0"/>
              <w:rPr>
                <w:sz w:val="20"/>
                <w:szCs w:val="20"/>
                <w:color w:val="auto"/>
              </w:rPr>
            </w:pPr>
            <w:r>
              <w:rPr>
                <w:rFonts w:ascii="Arial" w:cs="Arial" w:eastAsia="Arial" w:hAnsi="Arial"/>
                <w:sz w:val="14"/>
                <w:szCs w:val="14"/>
                <w:color w:val="auto"/>
              </w:rPr>
              <w:t>Board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auto"/>
                <w:w w:val="96"/>
              </w:rPr>
              <w:t>9 of 9</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820" w:type="dxa"/>
            <w:vAlign w:val="bottom"/>
            <w:gridSpan w:val="2"/>
          </w:tcPr>
          <w:p>
            <w:pPr>
              <w:ind w:left="60"/>
              <w:spacing w:after="0"/>
              <w:rPr>
                <w:sz w:val="20"/>
                <w:szCs w:val="20"/>
                <w:color w:val="auto"/>
              </w:rPr>
            </w:pPr>
            <w:r>
              <w:rPr>
                <w:rFonts w:ascii="Arial" w:cs="Arial" w:eastAsia="Arial" w:hAnsi="Arial"/>
                <w:sz w:val="14"/>
                <w:szCs w:val="14"/>
                <w:color w:val="auto"/>
              </w:rPr>
              <w:t>Ingersoll-Rand plc</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1520" w:type="dxa"/>
            <w:vAlign w:val="bottom"/>
            <w:gridSpan w:val="6"/>
          </w:tcPr>
          <w:p>
            <w:pPr>
              <w:ind w:left="60"/>
              <w:spacing w:after="0"/>
              <w:rPr>
                <w:sz w:val="20"/>
                <w:szCs w:val="20"/>
                <w:color w:val="auto"/>
              </w:rPr>
            </w:pPr>
            <w:r>
              <w:rPr>
                <w:rFonts w:ascii="Arial" w:cs="Arial" w:eastAsia="Arial" w:hAnsi="Arial"/>
                <w:sz w:val="14"/>
                <w:szCs w:val="14"/>
                <w:color w:val="auto"/>
              </w:rPr>
              <w:t>Corporate Governance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auto"/>
                <w:w w:val="96"/>
              </w:rPr>
              <w:t>5 of 5</w:t>
            </w:r>
          </w:p>
        </w:tc>
        <w:tc>
          <w:tcPr>
            <w:tcW w:w="24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820" w:type="dxa"/>
            <w:vAlign w:val="bottom"/>
            <w:gridSpan w:val="2"/>
          </w:tcPr>
          <w:p>
            <w:pPr>
              <w:ind w:left="60"/>
              <w:spacing w:after="0"/>
              <w:rPr>
                <w:sz w:val="20"/>
                <w:szCs w:val="20"/>
                <w:color w:val="auto"/>
              </w:rPr>
            </w:pPr>
            <w:r>
              <w:rPr>
                <w:rFonts w:ascii="Arial" w:cs="Arial" w:eastAsia="Arial" w:hAnsi="Arial"/>
                <w:sz w:val="14"/>
                <w:szCs w:val="14"/>
                <w:color w:val="auto"/>
              </w:rPr>
              <w:t>Trane Technologies</w:t>
            </w: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80" w:type="dxa"/>
            <w:vAlign w:val="bottom"/>
          </w:tcPr>
          <w:p>
            <w:pPr>
              <w:ind w:left="60"/>
              <w:spacing w:after="0"/>
              <w:rPr>
                <w:sz w:val="20"/>
                <w:szCs w:val="20"/>
                <w:color w:val="auto"/>
              </w:rPr>
            </w:pPr>
            <w:r>
              <w:rPr>
                <w:rFonts w:ascii="Arial" w:cs="Arial" w:eastAsia="Arial" w:hAnsi="Arial"/>
                <w:sz w:val="14"/>
                <w:szCs w:val="14"/>
                <w:color w:val="auto"/>
              </w:rPr>
              <w:t>HR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auto"/>
                <w:w w:val="96"/>
              </w:rPr>
              <w:t>6 of 6</w:t>
            </w:r>
          </w:p>
        </w:tc>
        <w:tc>
          <w:tcPr>
            <w:tcW w:w="24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7"/>
        </w:trPr>
        <w:tc>
          <w:tcPr>
            <w:tcW w:w="780" w:type="dxa"/>
            <w:vAlign w:val="bottom"/>
          </w:tcPr>
          <w:p>
            <w:pPr>
              <w:ind w:left="60"/>
              <w:spacing w:after="0"/>
              <w:rPr>
                <w:sz w:val="20"/>
                <w:szCs w:val="20"/>
                <w:color w:val="auto"/>
              </w:rPr>
            </w:pPr>
            <w:r>
              <w:rPr>
                <w:rFonts w:ascii="Arial" w:cs="Arial" w:eastAsia="Arial" w:hAnsi="Arial"/>
                <w:sz w:val="14"/>
                <w:szCs w:val="14"/>
                <w:color w:val="auto"/>
              </w:rPr>
              <w:t>Risk</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ind w:left="320"/>
              <w:spacing w:after="0"/>
              <w:rPr>
                <w:sz w:val="20"/>
                <w:szCs w:val="20"/>
                <w:color w:val="auto"/>
              </w:rPr>
            </w:pPr>
            <w:r>
              <w:rPr>
                <w:rFonts w:ascii="Arial" w:cs="Arial" w:eastAsia="Arial" w:hAnsi="Arial"/>
                <w:sz w:val="14"/>
                <w:szCs w:val="14"/>
                <w:color w:val="auto"/>
                <w:w w:val="96"/>
              </w:rPr>
              <w:t>4 of 4</w:t>
            </w:r>
          </w:p>
        </w:tc>
        <w:tc>
          <w:tcPr>
            <w:tcW w:w="240" w:type="dxa"/>
            <w:vAlign w:val="bottom"/>
          </w:tcPr>
          <w:p>
            <w:pPr>
              <w:spacing w:after="0"/>
              <w:rPr>
                <w:sz w:val="23"/>
                <w:szCs w:val="23"/>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88"/>
        </w:trPr>
        <w:tc>
          <w:tcPr>
            <w:tcW w:w="78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520" w:type="dxa"/>
            <w:vAlign w:val="bottom"/>
            <w:tcBorders>
              <w:bottom w:val="single" w:sz="8" w:color="AFAFAF"/>
            </w:tcBorders>
          </w:tcPr>
          <w:p>
            <w:pPr>
              <w:spacing w:after="0"/>
              <w:rPr>
                <w:sz w:val="7"/>
                <w:szCs w:val="7"/>
                <w:color w:val="auto"/>
              </w:rPr>
            </w:pPr>
          </w:p>
        </w:tc>
        <w:tc>
          <w:tcPr>
            <w:tcW w:w="680" w:type="dxa"/>
            <w:vAlign w:val="bottom"/>
            <w:tcBorders>
              <w:bottom w:val="single" w:sz="8" w:color="AFAFAF"/>
            </w:tcBorders>
          </w:tcPr>
          <w:p>
            <w:pPr>
              <w:spacing w:after="0"/>
              <w:rPr>
                <w:sz w:val="7"/>
                <w:szCs w:val="7"/>
                <w:color w:val="auto"/>
              </w:rPr>
            </w:pPr>
          </w:p>
        </w:tc>
        <w:tc>
          <w:tcPr>
            <w:tcW w:w="24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800" w:type="dxa"/>
            <w:vAlign w:val="bottom"/>
            <w:tcBorders>
              <w:bottom w:val="single" w:sz="8" w:color="AFAFAF"/>
            </w:tcBorders>
          </w:tcPr>
          <w:p>
            <w:pPr>
              <w:spacing w:after="0"/>
              <w:rPr>
                <w:sz w:val="7"/>
                <w:szCs w:val="7"/>
                <w:color w:val="auto"/>
              </w:rPr>
            </w:pPr>
          </w:p>
        </w:tc>
        <w:tc>
          <w:tcPr>
            <w:tcW w:w="10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4"/>
                <w:szCs w:val="14"/>
                <w:b w:val="1"/>
                <w:bCs w:val="1"/>
                <w:color w:val="auto"/>
              </w:rPr>
              <w:t>24 of</w:t>
            </w:r>
          </w:p>
        </w:tc>
        <w:tc>
          <w:tcPr>
            <w:tcW w:w="240" w:type="dxa"/>
            <w:vAlign w:val="bottom"/>
          </w:tcPr>
          <w:p>
            <w:pPr>
              <w:spacing w:after="0"/>
              <w:rPr>
                <w:sz w:val="20"/>
                <w:szCs w:val="20"/>
                <w:color w:val="auto"/>
              </w:rPr>
            </w:pPr>
            <w:r>
              <w:rPr>
                <w:rFonts w:ascii="Arial" w:cs="Arial" w:eastAsia="Arial" w:hAnsi="Arial"/>
                <w:sz w:val="14"/>
                <w:szCs w:val="14"/>
                <w:b w:val="1"/>
                <w:bCs w:val="1"/>
                <w:color w:val="auto"/>
              </w:rPr>
              <w:t>24</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100%</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2"/>
        </w:trPr>
        <w:tc>
          <w:tcPr>
            <w:tcW w:w="1120" w:type="dxa"/>
            <w:vAlign w:val="bottom"/>
            <w:tcBorders>
              <w:bottom w:val="single" w:sz="8" w:color="AFAFAF"/>
            </w:tcBorders>
            <w:gridSpan w:val="3"/>
          </w:tcPr>
          <w:p>
            <w:pPr>
              <w:spacing w:after="0"/>
              <w:rPr>
                <w:sz w:val="6"/>
                <w:szCs w:val="6"/>
                <w:color w:val="auto"/>
              </w:rPr>
            </w:pPr>
          </w:p>
        </w:tc>
        <w:tc>
          <w:tcPr>
            <w:tcW w:w="120" w:type="dxa"/>
            <w:vAlign w:val="bottom"/>
            <w:tcBorders>
              <w:bottom w:val="single" w:sz="8" w:color="AFAFAF"/>
            </w:tcBorders>
          </w:tcPr>
          <w:p>
            <w:pPr>
              <w:spacing w:after="0"/>
              <w:rPr>
                <w:sz w:val="6"/>
                <w:szCs w:val="6"/>
                <w:color w:val="auto"/>
              </w:rPr>
            </w:pPr>
          </w:p>
        </w:tc>
        <w:tc>
          <w:tcPr>
            <w:tcW w:w="140" w:type="dxa"/>
            <w:vAlign w:val="bottom"/>
            <w:tcBorders>
              <w:bottom w:val="single" w:sz="8" w:color="AFAFAF"/>
            </w:tcBorders>
          </w:tcPr>
          <w:p>
            <w:pPr>
              <w:spacing w:after="0"/>
              <w:rPr>
                <w:sz w:val="6"/>
                <w:szCs w:val="6"/>
                <w:color w:val="auto"/>
              </w:rPr>
            </w:pPr>
          </w:p>
        </w:tc>
        <w:tc>
          <w:tcPr>
            <w:tcW w:w="140" w:type="dxa"/>
            <w:vAlign w:val="bottom"/>
            <w:tcBorders>
              <w:bottom w:val="single" w:sz="8" w:color="AFAFAF"/>
            </w:tcBorders>
          </w:tcPr>
          <w:p>
            <w:pPr>
              <w:spacing w:after="0"/>
              <w:rPr>
                <w:sz w:val="6"/>
                <w:szCs w:val="6"/>
                <w:color w:val="auto"/>
              </w:rPr>
            </w:pPr>
          </w:p>
        </w:tc>
        <w:tc>
          <w:tcPr>
            <w:tcW w:w="120" w:type="dxa"/>
            <w:vAlign w:val="bottom"/>
            <w:tcBorders>
              <w:bottom w:val="single" w:sz="8" w:color="AFAFAF"/>
            </w:tcBorders>
          </w:tcPr>
          <w:p>
            <w:pPr>
              <w:spacing w:after="0"/>
              <w:rPr>
                <w:sz w:val="6"/>
                <w:szCs w:val="6"/>
                <w:color w:val="auto"/>
              </w:rPr>
            </w:pPr>
          </w:p>
        </w:tc>
        <w:tc>
          <w:tcPr>
            <w:tcW w:w="140" w:type="dxa"/>
            <w:vAlign w:val="bottom"/>
            <w:tcBorders>
              <w:bottom w:val="single" w:sz="8" w:color="AFAFAF"/>
            </w:tcBorders>
          </w:tcPr>
          <w:p>
            <w:pPr>
              <w:spacing w:after="0"/>
              <w:rPr>
                <w:sz w:val="6"/>
                <w:szCs w:val="6"/>
                <w:color w:val="auto"/>
              </w:rPr>
            </w:pPr>
          </w:p>
        </w:tc>
        <w:tc>
          <w:tcPr>
            <w:tcW w:w="140" w:type="dxa"/>
            <w:vAlign w:val="bottom"/>
            <w:tcBorders>
              <w:bottom w:val="single" w:sz="8" w:color="AFAFAF"/>
            </w:tcBorders>
          </w:tcPr>
          <w:p>
            <w:pPr>
              <w:spacing w:after="0"/>
              <w:rPr>
                <w:sz w:val="6"/>
                <w:szCs w:val="6"/>
                <w:color w:val="auto"/>
              </w:rPr>
            </w:pPr>
          </w:p>
        </w:tc>
        <w:tc>
          <w:tcPr>
            <w:tcW w:w="520" w:type="dxa"/>
            <w:vAlign w:val="bottom"/>
            <w:tcBorders>
              <w:bottom w:val="single" w:sz="8" w:color="AFAFAF"/>
            </w:tcBorders>
          </w:tcPr>
          <w:p>
            <w:pPr>
              <w:spacing w:after="0"/>
              <w:rPr>
                <w:sz w:val="6"/>
                <w:szCs w:val="6"/>
                <w:color w:val="auto"/>
              </w:rPr>
            </w:pPr>
          </w:p>
        </w:tc>
        <w:tc>
          <w:tcPr>
            <w:tcW w:w="680" w:type="dxa"/>
            <w:vAlign w:val="bottom"/>
            <w:tcBorders>
              <w:bottom w:val="single" w:sz="8" w:color="AFAFAF"/>
            </w:tcBorders>
          </w:tcPr>
          <w:p>
            <w:pPr>
              <w:spacing w:after="0"/>
              <w:rPr>
                <w:sz w:val="6"/>
                <w:szCs w:val="6"/>
                <w:color w:val="auto"/>
              </w:rPr>
            </w:pPr>
          </w:p>
        </w:tc>
        <w:tc>
          <w:tcPr>
            <w:tcW w:w="240" w:type="dxa"/>
            <w:vAlign w:val="bottom"/>
            <w:tcBorders>
              <w:bottom w:val="single" w:sz="8" w:color="AFAFAF"/>
            </w:tcBorders>
          </w:tcPr>
          <w:p>
            <w:pPr>
              <w:spacing w:after="0"/>
              <w:rPr>
                <w:sz w:val="6"/>
                <w:szCs w:val="6"/>
                <w:color w:val="auto"/>
              </w:rPr>
            </w:pPr>
          </w:p>
        </w:tc>
        <w:tc>
          <w:tcPr>
            <w:tcW w:w="840" w:type="dxa"/>
            <w:vAlign w:val="bottom"/>
            <w:tcBorders>
              <w:bottom w:val="single" w:sz="8" w:color="AFAFAF"/>
            </w:tcBorders>
          </w:tcPr>
          <w:p>
            <w:pPr>
              <w:spacing w:after="0"/>
              <w:rPr>
                <w:sz w:val="6"/>
                <w:szCs w:val="6"/>
                <w:color w:val="auto"/>
              </w:rPr>
            </w:pPr>
          </w:p>
        </w:tc>
        <w:tc>
          <w:tcPr>
            <w:tcW w:w="800" w:type="dxa"/>
            <w:vAlign w:val="bottom"/>
            <w:tcBorders>
              <w:bottom w:val="single" w:sz="8" w:color="AFAFAF"/>
            </w:tcBorders>
          </w:tcPr>
          <w:p>
            <w:pPr>
              <w:spacing w:after="0"/>
              <w:rPr>
                <w:sz w:val="6"/>
                <w:szCs w:val="6"/>
                <w:color w:val="auto"/>
              </w:rPr>
            </w:pPr>
          </w:p>
        </w:tc>
        <w:tc>
          <w:tcPr>
            <w:tcW w:w="102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1380" w:type="dxa"/>
            <w:vAlign w:val="bottom"/>
            <w:tcBorders>
              <w:bottom w:val="single" w:sz="8" w:color="AFAFAF"/>
            </w:tcBorders>
          </w:tcPr>
          <w:p>
            <w:pPr>
              <w:spacing w:after="0"/>
              <w:rPr>
                <w:sz w:val="6"/>
                <w:szCs w:val="6"/>
                <w:color w:val="auto"/>
              </w:rPr>
            </w:pPr>
          </w:p>
        </w:tc>
      </w:tr>
      <w:tr>
        <w:trPr>
          <w:trHeight w:val="265"/>
        </w:trPr>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Securities held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Ownership multiple</w:t>
            </w:r>
          </w:p>
        </w:tc>
      </w:tr>
      <w:tr>
        <w:trPr>
          <w:trHeight w:val="195"/>
        </w:trPr>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(number and value)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1120" w:type="dxa"/>
            <w:vAlign w:val="bottom"/>
            <w:tcBorders>
              <w:bottom w:val="single" w:sz="8" w:color="AFAFAF"/>
            </w:tcBorders>
            <w:gridSpan w:val="3"/>
          </w:tcPr>
          <w:p>
            <w:pPr>
              <w:spacing w:after="0"/>
              <w:rPr>
                <w:sz w:val="8"/>
                <w:szCs w:val="8"/>
                <w:color w:val="auto"/>
              </w:rPr>
            </w:pPr>
          </w:p>
        </w:tc>
        <w:tc>
          <w:tcPr>
            <w:tcW w:w="120" w:type="dxa"/>
            <w:vAlign w:val="bottom"/>
            <w:tcBorders>
              <w:bottom w:val="single" w:sz="8" w:color="AFAFAF"/>
            </w:tcBorders>
          </w:tcPr>
          <w:p>
            <w:pPr>
              <w:spacing w:after="0"/>
              <w:rPr>
                <w:sz w:val="8"/>
                <w:szCs w:val="8"/>
                <w:color w:val="auto"/>
              </w:rPr>
            </w:pPr>
          </w:p>
        </w:tc>
        <w:tc>
          <w:tcPr>
            <w:tcW w:w="140" w:type="dxa"/>
            <w:vAlign w:val="bottom"/>
            <w:tcBorders>
              <w:bottom w:val="single" w:sz="8" w:color="AFAFAF"/>
            </w:tcBorders>
          </w:tcPr>
          <w:p>
            <w:pPr>
              <w:spacing w:after="0"/>
              <w:rPr>
                <w:sz w:val="8"/>
                <w:szCs w:val="8"/>
                <w:color w:val="auto"/>
              </w:rPr>
            </w:pPr>
          </w:p>
        </w:tc>
        <w:tc>
          <w:tcPr>
            <w:tcW w:w="140" w:type="dxa"/>
            <w:vAlign w:val="bottom"/>
            <w:tcBorders>
              <w:bottom w:val="single" w:sz="8" w:color="AFAFAF"/>
            </w:tcBorders>
          </w:tcPr>
          <w:p>
            <w:pPr>
              <w:spacing w:after="0"/>
              <w:rPr>
                <w:sz w:val="8"/>
                <w:szCs w:val="8"/>
                <w:color w:val="auto"/>
              </w:rPr>
            </w:pPr>
          </w:p>
        </w:tc>
        <w:tc>
          <w:tcPr>
            <w:tcW w:w="120" w:type="dxa"/>
            <w:vAlign w:val="bottom"/>
            <w:tcBorders>
              <w:bottom w:val="single" w:sz="8" w:color="AFAFAF"/>
            </w:tcBorders>
          </w:tcPr>
          <w:p>
            <w:pPr>
              <w:spacing w:after="0"/>
              <w:rPr>
                <w:sz w:val="8"/>
                <w:szCs w:val="8"/>
                <w:color w:val="auto"/>
              </w:rPr>
            </w:pPr>
          </w:p>
        </w:tc>
        <w:tc>
          <w:tcPr>
            <w:tcW w:w="140" w:type="dxa"/>
            <w:vAlign w:val="bottom"/>
            <w:tcBorders>
              <w:bottom w:val="single" w:sz="8" w:color="AFAFAF"/>
            </w:tcBorders>
          </w:tcPr>
          <w:p>
            <w:pPr>
              <w:spacing w:after="0"/>
              <w:rPr>
                <w:sz w:val="8"/>
                <w:szCs w:val="8"/>
                <w:color w:val="auto"/>
              </w:rPr>
            </w:pPr>
          </w:p>
        </w:tc>
        <w:tc>
          <w:tcPr>
            <w:tcW w:w="140" w:type="dxa"/>
            <w:vAlign w:val="bottom"/>
            <w:tcBorders>
              <w:bottom w:val="single" w:sz="8" w:color="AFAFAF"/>
            </w:tcBorders>
          </w:tcPr>
          <w:p>
            <w:pPr>
              <w:spacing w:after="0"/>
              <w:rPr>
                <w:sz w:val="8"/>
                <w:szCs w:val="8"/>
                <w:color w:val="auto"/>
              </w:rPr>
            </w:pPr>
          </w:p>
        </w:tc>
        <w:tc>
          <w:tcPr>
            <w:tcW w:w="520" w:type="dxa"/>
            <w:vAlign w:val="bottom"/>
            <w:tcBorders>
              <w:bottom w:val="single" w:sz="8" w:color="AFAFAF"/>
            </w:tcBorders>
          </w:tcPr>
          <w:p>
            <w:pPr>
              <w:spacing w:after="0"/>
              <w:rPr>
                <w:sz w:val="8"/>
                <w:szCs w:val="8"/>
                <w:color w:val="auto"/>
              </w:rPr>
            </w:pPr>
          </w:p>
        </w:tc>
        <w:tc>
          <w:tcPr>
            <w:tcW w:w="680" w:type="dxa"/>
            <w:vAlign w:val="bottom"/>
            <w:tcBorders>
              <w:bottom w:val="single" w:sz="8" w:color="AFAFAF"/>
            </w:tcBorders>
          </w:tcPr>
          <w:p>
            <w:pPr>
              <w:spacing w:after="0"/>
              <w:rPr>
                <w:sz w:val="8"/>
                <w:szCs w:val="8"/>
                <w:color w:val="auto"/>
              </w:rPr>
            </w:pPr>
          </w:p>
        </w:tc>
        <w:tc>
          <w:tcPr>
            <w:tcW w:w="240" w:type="dxa"/>
            <w:vAlign w:val="bottom"/>
            <w:tcBorders>
              <w:bottom w:val="single" w:sz="8" w:color="AFAFAF"/>
            </w:tcBorders>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800" w:type="dxa"/>
            <w:vAlign w:val="bottom"/>
            <w:tcBorders>
              <w:bottom w:val="single" w:sz="8" w:color="AFAFAF"/>
            </w:tcBorders>
          </w:tcPr>
          <w:p>
            <w:pPr>
              <w:spacing w:after="0"/>
              <w:rPr>
                <w:sz w:val="8"/>
                <w:szCs w:val="8"/>
                <w:color w:val="auto"/>
              </w:rPr>
            </w:pPr>
          </w:p>
        </w:tc>
        <w:tc>
          <w:tcPr>
            <w:tcW w:w="102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1120" w:type="dxa"/>
            <w:vAlign w:val="bottom"/>
            <w:gridSpan w:val="3"/>
          </w:tcPr>
          <w:p>
            <w:pPr>
              <w:ind w:left="60"/>
              <w:spacing w:after="0" w:line="145" w:lineRule="exact"/>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4"/>
                <w:szCs w:val="14"/>
                <w:color w:val="auto"/>
                <w:w w:val="92"/>
              </w:rPr>
              <w:t>RSUs</w:t>
            </w:r>
          </w:p>
        </w:tc>
        <w:tc>
          <w:tcPr>
            <w:tcW w:w="24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800" w:type="dxa"/>
            <w:vAlign w:val="bottom"/>
          </w:tcPr>
          <w:p>
            <w:pPr>
              <w:jc w:val="center"/>
              <w:ind w:left="9"/>
              <w:spacing w:after="0" w:line="145" w:lineRule="exact"/>
              <w:rPr>
                <w:sz w:val="20"/>
                <w:szCs w:val="20"/>
                <w:color w:val="auto"/>
              </w:rPr>
            </w:pPr>
            <w:r>
              <w:rPr>
                <w:rFonts w:ascii="Arial" w:cs="Arial" w:eastAsia="Arial" w:hAnsi="Arial"/>
                <w:sz w:val="14"/>
                <w:szCs w:val="14"/>
                <w:color w:val="auto"/>
                <w:w w:val="99"/>
              </w:rPr>
              <w:t>Options</w:t>
            </w: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780" w:type="dxa"/>
            <w:vAlign w:val="bottom"/>
          </w:tcPr>
          <w:p>
            <w:pPr>
              <w:ind w:left="600"/>
              <w:spacing w:after="0"/>
              <w:rPr>
                <w:sz w:val="20"/>
                <w:szCs w:val="20"/>
                <w:color w:val="auto"/>
              </w:rPr>
            </w:pPr>
            <w:r>
              <w:rPr>
                <w:rFonts w:ascii="Arial" w:cs="Arial" w:eastAsia="Arial" w:hAnsi="Arial"/>
                <w:sz w:val="14"/>
                <w:szCs w:val="14"/>
                <w:color w:val="auto"/>
                <w:w w:val="73"/>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80" w:type="dxa"/>
            <w:vAlign w:val="bottom"/>
          </w:tcPr>
          <w:p>
            <w:pPr>
              <w:ind w:left="40"/>
              <w:spacing w:after="0"/>
              <w:rPr>
                <w:sz w:val="20"/>
                <w:szCs w:val="20"/>
                <w:color w:val="auto"/>
              </w:rPr>
            </w:pPr>
            <w:r>
              <w:rPr>
                <w:rFonts w:ascii="Arial" w:cs="Arial" w:eastAsia="Arial" w:hAnsi="Arial"/>
                <w:sz w:val="14"/>
                <w:szCs w:val="14"/>
                <w:color w:val="auto"/>
                <w:w w:val="85"/>
              </w:rPr>
              <w:t> </w:t>
            </w: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20" w:type="dxa"/>
            <w:vAlign w:val="bottom"/>
          </w:tcPr>
          <w:p>
            <w:pPr>
              <w:ind w:left="60"/>
              <w:spacing w:after="0"/>
              <w:rPr>
                <w:sz w:val="20"/>
                <w:szCs w:val="20"/>
                <w:color w:val="auto"/>
              </w:rPr>
            </w:pPr>
            <w:r>
              <w:rPr>
                <w:rFonts w:ascii="Arial" w:cs="Arial" w:eastAsia="Arial" w:hAnsi="Arial"/>
                <w:sz w:val="14"/>
                <w:szCs w:val="14"/>
                <w:color w:val="auto"/>
              </w:rPr>
              <w:t>    </w:t>
            </w:r>
          </w:p>
        </w:tc>
        <w:tc>
          <w:tcPr>
            <w:tcW w:w="680" w:type="dxa"/>
            <w:vAlign w:val="bottom"/>
          </w:tcPr>
          <w:p>
            <w:pPr>
              <w:ind w:left="460"/>
              <w:spacing w:after="0"/>
              <w:rPr>
                <w:sz w:val="20"/>
                <w:szCs w:val="20"/>
                <w:color w:val="auto"/>
              </w:rPr>
            </w:pPr>
            <w:r>
              <w:rPr>
                <w:rFonts w:ascii="Arial" w:cs="Arial" w:eastAsia="Arial" w:hAnsi="Arial"/>
                <w:sz w:val="14"/>
                <w:szCs w:val="14"/>
                <w:color w:val="auto"/>
                <w:w w:val="91"/>
              </w:rPr>
              <w:t>– </w:t>
            </w:r>
          </w:p>
        </w:tc>
        <w:tc>
          <w:tcPr>
            <w:tcW w:w="240" w:type="dxa"/>
            <w:vAlign w:val="bottom"/>
          </w:tcPr>
          <w:p>
            <w:pPr>
              <w:spacing w:after="0"/>
              <w:rPr>
                <w:sz w:val="20"/>
                <w:szCs w:val="20"/>
                <w:color w:val="auto"/>
              </w:rPr>
            </w:pPr>
            <w:r>
              <w:rPr>
                <w:rFonts w:ascii="Arial" w:cs="Arial" w:eastAsia="Arial" w:hAnsi="Arial"/>
                <w:sz w:val="14"/>
                <w:szCs w:val="14"/>
                <w:color w:val="auto"/>
              </w:rPr>
              <w:t xml:space="preserve">   </w:t>
            </w:r>
          </w:p>
        </w:tc>
        <w:tc>
          <w:tcPr>
            <w:tcW w:w="840" w:type="dxa"/>
            <w:vAlign w:val="bottom"/>
          </w:tcPr>
          <w:p>
            <w:pPr>
              <w:ind w:left="80"/>
              <w:spacing w:after="0"/>
              <w:rPr>
                <w:sz w:val="20"/>
                <w:szCs w:val="20"/>
                <w:color w:val="auto"/>
              </w:rPr>
            </w:pPr>
            <w:r>
              <w:rPr>
                <w:rFonts w:ascii="Arial" w:cs="Arial" w:eastAsia="Arial" w:hAnsi="Arial"/>
                <w:sz w:val="14"/>
                <w:szCs w:val="14"/>
                <w:color w:val="auto"/>
              </w:rPr>
              <w:t>10,540</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1020" w:type="dxa"/>
            <w:vAlign w:val="bottom"/>
          </w:tcPr>
          <w:p>
            <w:pPr>
              <w:ind w:left="140"/>
              <w:spacing w:after="0"/>
              <w:rPr>
                <w:sz w:val="20"/>
                <w:szCs w:val="20"/>
                <w:color w:val="auto"/>
              </w:rPr>
            </w:pPr>
            <w:r>
              <w:rPr>
                <w:rFonts w:ascii="Arial" w:cs="Arial" w:eastAsia="Arial" w:hAnsi="Arial"/>
                <w:sz w:val="14"/>
                <w:szCs w:val="14"/>
                <w:color w:val="auto"/>
              </w:rPr>
              <w:t>10,540</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78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520" w:type="dxa"/>
            <w:vAlign w:val="bottom"/>
            <w:tcBorders>
              <w:bottom w:val="single" w:sz="8" w:color="AFAFAF"/>
            </w:tcBorders>
          </w:tcPr>
          <w:p>
            <w:pPr>
              <w:spacing w:after="0"/>
              <w:rPr>
                <w:sz w:val="7"/>
                <w:szCs w:val="7"/>
                <w:color w:val="auto"/>
              </w:rPr>
            </w:pPr>
          </w:p>
        </w:tc>
        <w:tc>
          <w:tcPr>
            <w:tcW w:w="680" w:type="dxa"/>
            <w:vAlign w:val="bottom"/>
            <w:tcBorders>
              <w:bottom w:val="single" w:sz="8" w:color="AFAFAF"/>
            </w:tcBorders>
          </w:tcPr>
          <w:p>
            <w:pPr>
              <w:spacing w:after="0"/>
              <w:rPr>
                <w:sz w:val="7"/>
                <w:szCs w:val="7"/>
                <w:color w:val="auto"/>
              </w:rPr>
            </w:pPr>
          </w:p>
        </w:tc>
        <w:tc>
          <w:tcPr>
            <w:tcW w:w="24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800" w:type="dxa"/>
            <w:vAlign w:val="bottom"/>
            <w:tcBorders>
              <w:bottom w:val="single" w:sz="8" w:color="AFAFAF"/>
            </w:tcBorders>
          </w:tcPr>
          <w:p>
            <w:pPr>
              <w:spacing w:after="0"/>
              <w:rPr>
                <w:sz w:val="7"/>
                <w:szCs w:val="7"/>
                <w:color w:val="auto"/>
              </w:rPr>
            </w:pPr>
          </w:p>
        </w:tc>
        <w:tc>
          <w:tcPr>
            <w:tcW w:w="10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0"/>
        </w:trPr>
        <w:tc>
          <w:tcPr>
            <w:tcW w:w="780" w:type="dxa"/>
            <w:vAlign w:val="bottom"/>
          </w:tcPr>
          <w:p>
            <w:pPr>
              <w:ind w:left="600"/>
              <w:spacing w:after="0"/>
              <w:rPr>
                <w:sz w:val="20"/>
                <w:szCs w:val="20"/>
                <w:color w:val="auto"/>
              </w:rPr>
            </w:pPr>
            <w:r>
              <w:rPr>
                <w:rFonts w:ascii="Arial" w:cs="Arial" w:eastAsia="Arial" w:hAnsi="Arial"/>
                <w:sz w:val="14"/>
                <w:szCs w:val="14"/>
                <w:i w:val="1"/>
                <w:iCs w:val="1"/>
                <w:color w:val="auto"/>
                <w:w w:val="73"/>
              </w:rPr>
              <w:t>– </w:t>
            </w:r>
          </w:p>
        </w:tc>
        <w:tc>
          <w:tcPr>
            <w:tcW w:w="160" w:type="dxa"/>
            <w:vAlign w:val="bottom"/>
          </w:tcPr>
          <w:p>
            <w:pPr>
              <w:ind w:left="40"/>
              <w:spacing w:after="0"/>
              <w:rPr>
                <w:sz w:val="20"/>
                <w:szCs w:val="20"/>
                <w:color w:val="auto"/>
              </w:rPr>
            </w:pPr>
            <w:r>
              <w:rPr>
                <w:rFonts w:ascii="Arial" w:cs="Arial" w:eastAsia="Arial" w:hAnsi="Arial"/>
                <w:sz w:val="14"/>
                <w:szCs w:val="14"/>
                <w:i w:val="1"/>
                <w:iCs w:val="1"/>
                <w:color w:val="auto"/>
                <w:w w:val="71"/>
              </w:rPr>
              <w:t> </w:t>
            </w:r>
          </w:p>
        </w:tc>
        <w:tc>
          <w:tcPr>
            <w:tcW w:w="180" w:type="dxa"/>
            <w:vAlign w:val="bottom"/>
          </w:tcPr>
          <w:p>
            <w:pPr>
              <w:ind w:left="40"/>
              <w:spacing w:after="0"/>
              <w:rPr>
                <w:sz w:val="20"/>
                <w:szCs w:val="20"/>
                <w:color w:val="auto"/>
              </w:rPr>
            </w:pPr>
            <w:r>
              <w:rPr>
                <w:rFonts w:ascii="Arial" w:cs="Arial" w:eastAsia="Arial" w:hAnsi="Arial"/>
                <w:sz w:val="14"/>
                <w:szCs w:val="14"/>
                <w:i w:val="1"/>
                <w:iCs w:val="1"/>
                <w:color w:val="auto"/>
                <w:w w:val="85"/>
              </w:rPr>
              <w:t> </w:t>
            </w:r>
          </w:p>
        </w:tc>
        <w:tc>
          <w:tcPr>
            <w:tcW w:w="120" w:type="dxa"/>
            <w:vAlign w:val="bottom"/>
          </w:tcPr>
          <w:p>
            <w:pPr>
              <w:spacing w:after="0"/>
              <w:rPr>
                <w:sz w:val="20"/>
                <w:szCs w:val="20"/>
                <w:color w:val="auto"/>
              </w:rPr>
            </w:pPr>
            <w:r>
              <w:rPr>
                <w:rFonts w:ascii="Arial" w:cs="Arial" w:eastAsia="Arial" w:hAnsi="Arial"/>
                <w:sz w:val="14"/>
                <w:szCs w:val="14"/>
                <w:i w:val="1"/>
                <w:iCs w:val="1"/>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i w:val="1"/>
                <w:iCs w:val="1"/>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i w:val="1"/>
                <w:iCs w:val="1"/>
                <w:color w:val="auto"/>
                <w:w w:val="71"/>
              </w:rPr>
              <w:t> </w:t>
            </w:r>
          </w:p>
        </w:tc>
        <w:tc>
          <w:tcPr>
            <w:tcW w:w="120" w:type="dxa"/>
            <w:vAlign w:val="bottom"/>
          </w:tcPr>
          <w:p>
            <w:pPr>
              <w:ind w:left="20"/>
              <w:spacing w:after="0"/>
              <w:rPr>
                <w:sz w:val="20"/>
                <w:szCs w:val="20"/>
                <w:color w:val="auto"/>
              </w:rPr>
            </w:pPr>
            <w:r>
              <w:rPr>
                <w:rFonts w:ascii="Arial" w:cs="Arial" w:eastAsia="Arial" w:hAnsi="Arial"/>
                <w:sz w:val="11"/>
                <w:szCs w:val="11"/>
                <w:i w:val="1"/>
                <w:iCs w:val="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52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680" w:type="dxa"/>
            <w:vAlign w:val="bottom"/>
          </w:tcPr>
          <w:p>
            <w:pPr>
              <w:ind w:left="460"/>
              <w:spacing w:after="0"/>
              <w:rPr>
                <w:sz w:val="20"/>
                <w:szCs w:val="20"/>
                <w:color w:val="auto"/>
              </w:rPr>
            </w:pPr>
            <w:r>
              <w:rPr>
                <w:rFonts w:ascii="Arial" w:cs="Arial" w:eastAsia="Arial" w:hAnsi="Arial"/>
                <w:sz w:val="14"/>
                <w:szCs w:val="14"/>
                <w:i w:val="1"/>
                <w:iCs w:val="1"/>
                <w:color w:val="auto"/>
                <w:w w:val="91"/>
              </w:rPr>
              <w:t>– </w:t>
            </w:r>
          </w:p>
        </w:tc>
        <w:tc>
          <w:tcPr>
            <w:tcW w:w="240" w:type="dxa"/>
            <w:vAlign w:val="bottom"/>
          </w:tcPr>
          <w:p>
            <w:pPr>
              <w:spacing w:after="0"/>
              <w:rPr>
                <w:sz w:val="20"/>
                <w:szCs w:val="20"/>
                <w:color w:val="auto"/>
              </w:rPr>
            </w:pPr>
            <w:r>
              <w:rPr>
                <w:rFonts w:ascii="Arial" w:cs="Arial" w:eastAsia="Arial" w:hAnsi="Arial"/>
                <w:sz w:val="14"/>
                <w:szCs w:val="14"/>
                <w:i w:val="1"/>
                <w:iCs w:val="1"/>
                <w:color w:val="auto"/>
              </w:rPr>
              <w:t xml:space="preserve">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$1,606,085</w:t>
            </w:r>
          </w:p>
        </w:tc>
        <w:tc>
          <w:tcPr>
            <w:tcW w:w="800" w:type="dxa"/>
            <w:vAlign w:val="bottom"/>
          </w:tcPr>
          <w:p>
            <w:pPr>
              <w:jc w:val="center"/>
              <w:ind w:left="9"/>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$1,606,085</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6.4x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186690</wp:posOffset>
            </wp:positionV>
            <wp:extent cx="692975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500"/>
            <w:col w:w="8340"/>
          </w:cols>
          <w:pgMar w:left="320" w:top="454" w:right="499" w:bottom="1440" w:gutter="0" w:footer="0" w:header="0"/>
          <w:type w:val="continuous"/>
        </w:sectPr>
      </w:pP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21</w:t>
      </w:r>
    </w:p>
    <w:p>
      <w:pPr>
        <w:sectPr>
          <w:pgSz w:w="11900" w:h="16838" w:orient="portrait"/>
          <w:cols w:equalWidth="0" w:num="1">
            <w:col w:w="11080"/>
          </w:cols>
          <w:pgMar w:left="320" w:top="454"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26155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261556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W. Edmund Clark, C.M.</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76</w:t>
      </w:r>
    </w:p>
    <w:p>
      <w:pPr>
        <w:spacing w:after="0" w:line="64" w:lineRule="exact"/>
        <w:rPr>
          <w:sz w:val="20"/>
          <w:szCs w:val="20"/>
          <w:color w:val="auto"/>
        </w:rPr>
      </w:pPr>
    </w:p>
    <w:p>
      <w:pPr>
        <w:ind w:left="260" w:right="700"/>
        <w:spacing w:after="0" w:line="343" w:lineRule="auto"/>
        <w:rPr>
          <w:sz w:val="20"/>
          <w:szCs w:val="20"/>
          <w:color w:val="auto"/>
        </w:rPr>
      </w:pPr>
      <w:r>
        <w:rPr>
          <w:rFonts w:ascii="Arial" w:cs="Arial" w:eastAsia="Arial" w:hAnsi="Arial"/>
          <w:sz w:val="13"/>
          <w:szCs w:val="13"/>
          <w:color w:val="auto"/>
        </w:rPr>
        <w:t>Toronto, Ontario, Canada Director since 2015 Non-independent</w:t>
      </w:r>
    </w:p>
    <w:p>
      <w:pPr>
        <w:spacing w:after="0" w:line="1" w:lineRule="exact"/>
        <w:rPr>
          <w:sz w:val="20"/>
          <w:szCs w:val="20"/>
          <w:color w:val="auto"/>
        </w:rPr>
      </w:pPr>
    </w:p>
    <w:p>
      <w:pPr>
        <w:ind w:left="260"/>
        <w:spacing w:after="0" w:line="256" w:lineRule="auto"/>
        <w:rPr>
          <w:sz w:val="20"/>
          <w:szCs w:val="20"/>
          <w:color w:val="auto"/>
        </w:rPr>
      </w:pPr>
      <w:r>
        <w:rPr>
          <w:rFonts w:ascii="Arial" w:cs="Arial" w:eastAsia="Arial" w:hAnsi="Arial"/>
          <w:sz w:val="13"/>
          <w:szCs w:val="13"/>
          <w:color w:val="auto"/>
        </w:rPr>
        <w:t>Primary areas of expertise: executive leadership, finance, human resources, strategy</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96.69%</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 Edmund Clark, C.M.</w:t>
      </w:r>
    </w:p>
    <w:p>
      <w:pPr>
        <w:spacing w:after="0" w:line="43" w:lineRule="exact"/>
        <w:rPr>
          <w:sz w:val="20"/>
          <w:szCs w:val="20"/>
          <w:color w:val="auto"/>
        </w:rPr>
      </w:pPr>
    </w:p>
    <w:p>
      <w:pPr>
        <w:ind w:left="60" w:right="140"/>
        <w:spacing w:after="0" w:line="247" w:lineRule="auto"/>
        <w:rPr>
          <w:sz w:val="20"/>
          <w:szCs w:val="20"/>
          <w:color w:val="auto"/>
        </w:rPr>
      </w:pPr>
      <w:r>
        <w:rPr>
          <w:rFonts w:ascii="Arial" w:cs="Arial" w:eastAsia="Arial" w:hAnsi="Arial"/>
          <w:sz w:val="14"/>
          <w:szCs w:val="14"/>
          <w:color w:val="auto"/>
        </w:rPr>
        <w:t>W. Edmund Clark is a corporate director. Ed served as Group President and Chief Executive Officer of TD Bank Group from 2002 until his retirement in 2014. Ed was inducted as a Companion of the Canadian Order of the Business Hall of Fame in 2016. In 2014, Ed was elected to the Board of Trustees of the Brookings Institute. He is also Chair of the Vector Institute for Artificial Intelligence. Ed has a BA from the University of Toronto, and an MA and Doctorate in Economics from Harvard University. Ed has also received honorary degrees from Mount Allison University, Queen’s University, Western University and the University of Toronto. In 2010, he was made an Officer of the Order of Canada, one of the country’s highest distinctions.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membership</w:t>
            </w:r>
          </w:p>
        </w:tc>
        <w:tc>
          <w:tcPr>
            <w:tcW w:w="2060" w:type="dxa"/>
            <w:vAlign w:val="bottom"/>
            <w:gridSpan w:val="3"/>
          </w:tcPr>
          <w:p>
            <w:pPr>
              <w:ind w:left="62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5"/>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214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440" w:type="dxa"/>
            <w:vAlign w:val="bottom"/>
            <w:tcBorders>
              <w:bottom w:val="single" w:sz="8" w:color="AFAFAF"/>
            </w:tcBorders>
          </w:tcPr>
          <w:p>
            <w:pPr>
              <w:spacing w:after="0"/>
              <w:rPr>
                <w:sz w:val="7"/>
                <w:szCs w:val="7"/>
                <w:color w:val="auto"/>
              </w:rPr>
            </w:pPr>
          </w:p>
        </w:tc>
        <w:tc>
          <w:tcPr>
            <w:tcW w:w="260" w:type="dxa"/>
            <w:vAlign w:val="bottom"/>
            <w:tcBorders>
              <w:bottom w:val="single" w:sz="8" w:color="AFAFAF"/>
            </w:tcBorders>
          </w:tcPr>
          <w:p>
            <w:pPr>
              <w:spacing w:after="0"/>
              <w:rPr>
                <w:sz w:val="7"/>
                <w:szCs w:val="7"/>
                <w:color w:val="auto"/>
              </w:rPr>
            </w:pPr>
          </w:p>
        </w:tc>
        <w:tc>
          <w:tcPr>
            <w:tcW w:w="2060" w:type="dxa"/>
            <w:vAlign w:val="bottom"/>
            <w:tcBorders>
              <w:bottom w:val="single" w:sz="8" w:color="AFAFAF"/>
            </w:tcBorders>
            <w:gridSpan w:val="2"/>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2140" w:type="dxa"/>
            <w:vAlign w:val="bottom"/>
          </w:tcPr>
          <w:p>
            <w:pPr>
              <w:ind w:left="60"/>
              <w:spacing w:after="0"/>
              <w:rPr>
                <w:sz w:val="20"/>
                <w:szCs w:val="20"/>
                <w:color w:val="auto"/>
              </w:rPr>
            </w:pPr>
            <w:r>
              <w:rPr>
                <w:rFonts w:ascii="Arial" w:cs="Arial" w:eastAsia="Arial" w:hAnsi="Arial"/>
                <w:sz w:val="14"/>
                <w:szCs w:val="14"/>
                <w:color w:val="auto"/>
              </w:rPr>
              <w:t>Board</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8 of 9</w:t>
            </w:r>
          </w:p>
        </w:tc>
        <w:tc>
          <w:tcPr>
            <w:tcW w:w="840" w:type="dxa"/>
            <w:vAlign w:val="bottom"/>
          </w:tcPr>
          <w:p>
            <w:pPr>
              <w:ind w:left="80"/>
              <w:spacing w:after="0"/>
              <w:rPr>
                <w:sz w:val="20"/>
                <w:szCs w:val="20"/>
                <w:color w:val="auto"/>
              </w:rPr>
            </w:pPr>
            <w:r>
              <w:rPr>
                <w:rFonts w:ascii="Arial" w:cs="Arial" w:eastAsia="Arial" w:hAnsi="Arial"/>
                <w:sz w:val="14"/>
                <w:szCs w:val="14"/>
                <w:color w:val="auto"/>
              </w:rPr>
              <w:t>89%</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2"/>
          </w:tcPr>
          <w:p>
            <w:pPr>
              <w:ind w:left="120"/>
              <w:spacing w:after="0"/>
              <w:rPr>
                <w:sz w:val="20"/>
                <w:szCs w:val="20"/>
                <w:color w:val="auto"/>
              </w:rPr>
            </w:pPr>
            <w:r>
              <w:rPr>
                <w:rFonts w:ascii="Arial" w:cs="Arial" w:eastAsia="Arial" w:hAnsi="Arial"/>
                <w:sz w:val="14"/>
                <w:szCs w:val="14"/>
                <w:color w:val="auto"/>
              </w:rPr>
              <w:t>Spin Master Corp.</w:t>
            </w:r>
          </w:p>
        </w:tc>
        <w:tc>
          <w:tcPr>
            <w:tcW w:w="1380" w:type="dxa"/>
            <w:vAlign w:val="bottom"/>
          </w:tcPr>
          <w:p>
            <w:pPr>
              <w:spacing w:after="0"/>
              <w:rPr>
                <w:sz w:val="15"/>
                <w:szCs w:val="15"/>
                <w:color w:val="auto"/>
              </w:rPr>
            </w:pPr>
          </w:p>
        </w:tc>
      </w:tr>
      <w:tr>
        <w:trPr>
          <w:trHeight w:val="218"/>
        </w:trPr>
        <w:tc>
          <w:tcPr>
            <w:tcW w:w="2140" w:type="dxa"/>
            <w:vAlign w:val="bottom"/>
          </w:tcPr>
          <w:p>
            <w:pPr>
              <w:ind w:left="60"/>
              <w:spacing w:after="0"/>
              <w:rPr>
                <w:sz w:val="20"/>
                <w:szCs w:val="20"/>
                <w:color w:val="auto"/>
              </w:rPr>
            </w:pPr>
            <w:r>
              <w:rPr>
                <w:rFonts w:ascii="Arial" w:cs="Arial" w:eastAsia="Arial" w:hAnsi="Arial"/>
                <w:sz w:val="14"/>
                <w:szCs w:val="14"/>
                <w:color w:val="auto"/>
              </w:rPr>
              <w:t>Corporate Governance</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4 of 5</w:t>
            </w:r>
          </w:p>
        </w:tc>
        <w:tc>
          <w:tcPr>
            <w:tcW w:w="840" w:type="dxa"/>
            <w:vAlign w:val="bottom"/>
          </w:tcPr>
          <w:p>
            <w:pPr>
              <w:ind w:left="80"/>
              <w:spacing w:after="0"/>
              <w:rPr>
                <w:sz w:val="20"/>
                <w:szCs w:val="20"/>
                <w:color w:val="auto"/>
              </w:rPr>
            </w:pPr>
            <w:r>
              <w:rPr>
                <w:rFonts w:ascii="Arial" w:cs="Arial" w:eastAsia="Arial" w:hAnsi="Arial"/>
                <w:sz w:val="14"/>
                <w:szCs w:val="14"/>
                <w:color w:val="auto"/>
              </w:rPr>
              <w:t>80%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4"/>
                <w:szCs w:val="14"/>
                <w:color w:val="auto"/>
              </w:rPr>
              <w:t>HR</w:t>
            </w:r>
          </w:p>
        </w:tc>
        <w:tc>
          <w:tcPr>
            <w:tcW w:w="1220" w:type="dxa"/>
            <w:vAlign w:val="bottom"/>
            <w:gridSpan w:val="2"/>
          </w:tcPr>
          <w:p>
            <w:pPr>
              <w:ind w:left="620"/>
              <w:spacing w:after="0"/>
              <w:rPr>
                <w:sz w:val="20"/>
                <w:szCs w:val="20"/>
                <w:color w:val="auto"/>
              </w:rPr>
            </w:pPr>
            <w:r>
              <w:rPr>
                <w:rFonts w:ascii="Arial" w:cs="Arial" w:eastAsia="Arial" w:hAnsi="Arial"/>
                <w:sz w:val="14"/>
                <w:szCs w:val="14"/>
                <w:color w:val="auto"/>
              </w:rPr>
              <w:t>6 of 6</w:t>
            </w: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88"/>
        </w:trPr>
        <w:tc>
          <w:tcPr>
            <w:tcW w:w="214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440" w:type="dxa"/>
            <w:vAlign w:val="bottom"/>
            <w:tcBorders>
              <w:bottom w:val="single" w:sz="8" w:color="AFAFAF"/>
            </w:tcBorders>
          </w:tcPr>
          <w:p>
            <w:pPr>
              <w:spacing w:after="0"/>
              <w:rPr>
                <w:sz w:val="7"/>
                <w:szCs w:val="7"/>
                <w:color w:val="auto"/>
              </w:rPr>
            </w:pPr>
          </w:p>
        </w:tc>
        <w:tc>
          <w:tcPr>
            <w:tcW w:w="260" w:type="dxa"/>
            <w:vAlign w:val="bottom"/>
            <w:tcBorders>
              <w:bottom w:val="single" w:sz="8" w:color="AFAFAF"/>
            </w:tcBorders>
          </w:tcPr>
          <w:p>
            <w:pPr>
              <w:spacing w:after="0"/>
              <w:rPr>
                <w:sz w:val="7"/>
                <w:szCs w:val="7"/>
                <w:color w:val="auto"/>
              </w:rPr>
            </w:pPr>
          </w:p>
        </w:tc>
        <w:tc>
          <w:tcPr>
            <w:tcW w:w="11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ind w:left="620"/>
              <w:spacing w:after="0"/>
              <w:rPr>
                <w:sz w:val="20"/>
                <w:szCs w:val="20"/>
                <w:color w:val="auto"/>
              </w:rPr>
            </w:pPr>
            <w:r>
              <w:rPr>
                <w:rFonts w:ascii="Arial" w:cs="Arial" w:eastAsia="Arial" w:hAnsi="Arial"/>
                <w:sz w:val="14"/>
                <w:szCs w:val="14"/>
                <w:b w:val="1"/>
                <w:bCs w:val="1"/>
                <w:color w:val="auto"/>
              </w:rPr>
              <w:t>18 of 20</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90%</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2"/>
        </w:trPr>
        <w:tc>
          <w:tcPr>
            <w:tcW w:w="2140" w:type="dxa"/>
            <w:vAlign w:val="bottom"/>
            <w:tcBorders>
              <w:bottom w:val="single" w:sz="8" w:color="AFAFAF"/>
            </w:tcBorders>
          </w:tcPr>
          <w:p>
            <w:pPr>
              <w:spacing w:after="0"/>
              <w:rPr>
                <w:sz w:val="6"/>
                <w:szCs w:val="6"/>
                <w:color w:val="auto"/>
              </w:rPr>
            </w:pPr>
          </w:p>
        </w:tc>
        <w:tc>
          <w:tcPr>
            <w:tcW w:w="900" w:type="dxa"/>
            <w:vAlign w:val="bottom"/>
            <w:tcBorders>
              <w:bottom w:val="single" w:sz="8" w:color="AFAFAF"/>
            </w:tcBorders>
          </w:tcPr>
          <w:p>
            <w:pPr>
              <w:spacing w:after="0"/>
              <w:rPr>
                <w:sz w:val="6"/>
                <w:szCs w:val="6"/>
                <w:color w:val="auto"/>
              </w:rPr>
            </w:pPr>
          </w:p>
        </w:tc>
        <w:tc>
          <w:tcPr>
            <w:tcW w:w="320" w:type="dxa"/>
            <w:vAlign w:val="bottom"/>
            <w:tcBorders>
              <w:bottom w:val="single" w:sz="8" w:color="AFAFAF"/>
            </w:tcBorders>
          </w:tcPr>
          <w:p>
            <w:pPr>
              <w:spacing w:after="0"/>
              <w:rPr>
                <w:sz w:val="6"/>
                <w:szCs w:val="6"/>
                <w:color w:val="auto"/>
              </w:rPr>
            </w:pPr>
          </w:p>
        </w:tc>
        <w:tc>
          <w:tcPr>
            <w:tcW w:w="840" w:type="dxa"/>
            <w:vAlign w:val="bottom"/>
            <w:tcBorders>
              <w:bottom w:val="single" w:sz="8" w:color="AFAFAF"/>
            </w:tcBorders>
          </w:tcPr>
          <w:p>
            <w:pPr>
              <w:spacing w:after="0"/>
              <w:rPr>
                <w:sz w:val="6"/>
                <w:szCs w:val="6"/>
                <w:color w:val="auto"/>
              </w:rPr>
            </w:pPr>
          </w:p>
        </w:tc>
        <w:tc>
          <w:tcPr>
            <w:tcW w:w="440" w:type="dxa"/>
            <w:vAlign w:val="bottom"/>
            <w:tcBorders>
              <w:bottom w:val="single" w:sz="8" w:color="AFAFAF"/>
            </w:tcBorders>
          </w:tcPr>
          <w:p>
            <w:pPr>
              <w:spacing w:after="0"/>
              <w:rPr>
                <w:sz w:val="6"/>
                <w:szCs w:val="6"/>
                <w:color w:val="auto"/>
              </w:rPr>
            </w:pPr>
          </w:p>
        </w:tc>
        <w:tc>
          <w:tcPr>
            <w:tcW w:w="260" w:type="dxa"/>
            <w:vAlign w:val="bottom"/>
            <w:tcBorders>
              <w:bottom w:val="single" w:sz="8" w:color="AFAFAF"/>
            </w:tcBorders>
          </w:tcPr>
          <w:p>
            <w:pPr>
              <w:spacing w:after="0"/>
              <w:rPr>
                <w:sz w:val="6"/>
                <w:szCs w:val="6"/>
                <w:color w:val="auto"/>
              </w:rPr>
            </w:pPr>
          </w:p>
        </w:tc>
        <w:tc>
          <w:tcPr>
            <w:tcW w:w="112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1380" w:type="dxa"/>
            <w:vAlign w:val="bottom"/>
            <w:tcBorders>
              <w:bottom w:val="single" w:sz="8" w:color="AFAFAF"/>
            </w:tcBorders>
          </w:tcPr>
          <w:p>
            <w:pPr>
              <w:spacing w:after="0"/>
              <w:rPr>
                <w:sz w:val="6"/>
                <w:szCs w:val="6"/>
                <w:color w:val="auto"/>
              </w:rPr>
            </w:pPr>
          </w:p>
        </w:tc>
      </w:tr>
      <w:tr>
        <w:trPr>
          <w:trHeight w:val="265"/>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Securities held</w:t>
            </w: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Ownership multiple</w:t>
            </w:r>
          </w:p>
        </w:tc>
      </w:tr>
      <w:tr>
        <w:trPr>
          <w:trHeight w:val="195"/>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(number and value)</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2140" w:type="dxa"/>
            <w:vAlign w:val="bottom"/>
            <w:tcBorders>
              <w:bottom w:val="single" w:sz="8" w:color="AFAFAF"/>
            </w:tcBorders>
          </w:tcPr>
          <w:p>
            <w:pPr>
              <w:spacing w:after="0"/>
              <w:rPr>
                <w:sz w:val="8"/>
                <w:szCs w:val="8"/>
                <w:color w:val="auto"/>
              </w:rPr>
            </w:pPr>
          </w:p>
        </w:tc>
        <w:tc>
          <w:tcPr>
            <w:tcW w:w="1220" w:type="dxa"/>
            <w:vAlign w:val="bottom"/>
            <w:tcBorders>
              <w:bottom w:val="single" w:sz="8" w:color="AFAFAF"/>
            </w:tcBorders>
            <w:gridSpan w:val="2"/>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700" w:type="dxa"/>
            <w:vAlign w:val="bottom"/>
            <w:tcBorders>
              <w:bottom w:val="single" w:sz="8" w:color="AFAFAF"/>
            </w:tcBorders>
            <w:gridSpan w:val="2"/>
          </w:tcPr>
          <w:p>
            <w:pPr>
              <w:spacing w:after="0"/>
              <w:rPr>
                <w:sz w:val="8"/>
                <w:szCs w:val="8"/>
                <w:color w:val="auto"/>
              </w:rPr>
            </w:pPr>
          </w:p>
        </w:tc>
        <w:tc>
          <w:tcPr>
            <w:tcW w:w="112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2140" w:type="dxa"/>
            <w:vAlign w:val="bottom"/>
          </w:tcPr>
          <w:p>
            <w:pPr>
              <w:ind w:left="60"/>
              <w:spacing w:after="0" w:line="145" w:lineRule="exact"/>
              <w:rPr>
                <w:sz w:val="20"/>
                <w:szCs w:val="20"/>
                <w:color w:val="auto"/>
              </w:rPr>
            </w:pPr>
            <w:r>
              <w:rPr>
                <w:rFonts w:ascii="Arial" w:cs="Arial" w:eastAsia="Arial" w:hAnsi="Arial"/>
                <w:sz w:val="14"/>
                <w:szCs w:val="14"/>
                <w:color w:val="auto"/>
              </w:rPr>
              <w:t>Common shares</w:t>
            </w:r>
          </w:p>
        </w:tc>
        <w:tc>
          <w:tcPr>
            <w:tcW w:w="1220" w:type="dxa"/>
            <w:vAlign w:val="bottom"/>
            <w:gridSpan w:val="2"/>
          </w:tcPr>
          <w:p>
            <w:pPr>
              <w:ind w:left="620"/>
              <w:spacing w:after="0" w:line="145" w:lineRule="exact"/>
              <w:rPr>
                <w:sz w:val="20"/>
                <w:szCs w:val="20"/>
                <w:color w:val="auto"/>
              </w:rPr>
            </w:pPr>
            <w:r>
              <w:rPr>
                <w:rFonts w:ascii="Arial" w:cs="Arial" w:eastAsia="Arial" w:hAnsi="Arial"/>
                <w:sz w:val="14"/>
                <w:szCs w:val="14"/>
                <w:color w:val="auto"/>
              </w:rPr>
              <w:t>RSUs</w:t>
            </w: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70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Options</w:t>
            </w: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9"/>
        </w:trPr>
        <w:tc>
          <w:tcPr>
            <w:tcW w:w="2140" w:type="dxa"/>
            <w:vAlign w:val="bottom"/>
          </w:tcPr>
          <w:p>
            <w:pPr>
              <w:ind w:left="60"/>
              <w:spacing w:after="0"/>
              <w:rPr>
                <w:sz w:val="20"/>
                <w:szCs w:val="20"/>
                <w:color w:val="auto"/>
              </w:rPr>
            </w:pPr>
            <w:r>
              <w:rPr>
                <w:rFonts w:ascii="Arial" w:cs="Arial" w:eastAsia="Arial" w:hAnsi="Arial"/>
                <w:sz w:val="14"/>
                <w:szCs w:val="14"/>
                <w:color w:val="auto"/>
              </w:rPr>
              <w:t>35,007</w:t>
            </w:r>
          </w:p>
        </w:tc>
        <w:tc>
          <w:tcPr>
            <w:tcW w:w="900" w:type="dxa"/>
            <w:vAlign w:val="bottom"/>
          </w:tcPr>
          <w:p>
            <w:pPr>
              <w:ind w:left="700"/>
              <w:spacing w:after="0"/>
              <w:rPr>
                <w:sz w:val="20"/>
                <w:szCs w:val="20"/>
                <w:color w:val="auto"/>
              </w:rPr>
            </w:pPr>
            <w:r>
              <w:rPr>
                <w:rFonts w:ascii="Arial" w:cs="Arial" w:eastAsia="Arial" w:hAnsi="Arial"/>
                <w:sz w:val="10"/>
                <w:szCs w:val="10"/>
                <w:color w:val="auto"/>
                <w:w w:val="74"/>
              </w:rPr>
              <w:t>–    </w:t>
            </w:r>
          </w:p>
        </w:tc>
        <w:tc>
          <w:tcPr>
            <w:tcW w:w="320" w:type="dxa"/>
            <w:vAlign w:val="bottom"/>
          </w:tcPr>
          <w:p>
            <w:pPr>
              <w:jc w:val="right"/>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color w:val="auto"/>
              </w:rPr>
              <w:t>37,573</w:t>
            </w:r>
          </w:p>
        </w:tc>
        <w:tc>
          <w:tcPr>
            <w:tcW w:w="440" w:type="dxa"/>
            <w:vAlign w:val="bottom"/>
          </w:tcPr>
          <w:p>
            <w:pPr>
              <w:ind w:left="280"/>
              <w:spacing w:after="0"/>
              <w:rPr>
                <w:sz w:val="20"/>
                <w:szCs w:val="20"/>
                <w:color w:val="auto"/>
              </w:rPr>
            </w:pPr>
            <w:r>
              <w:rPr>
                <w:rFonts w:ascii="Arial" w:cs="Arial" w:eastAsia="Arial" w:hAnsi="Arial"/>
                <w:sz w:val="12"/>
                <w:szCs w:val="12"/>
                <w:color w:val="auto"/>
                <w:w w:val="74"/>
              </w:rPr>
              <w:t>– </w:t>
            </w:r>
          </w:p>
        </w:tc>
        <w:tc>
          <w:tcPr>
            <w:tcW w:w="26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120" w:type="dxa"/>
            <w:vAlign w:val="bottom"/>
          </w:tcPr>
          <w:p>
            <w:pPr>
              <w:ind w:left="240"/>
              <w:spacing w:after="0"/>
              <w:rPr>
                <w:sz w:val="20"/>
                <w:szCs w:val="20"/>
                <w:color w:val="auto"/>
              </w:rPr>
            </w:pPr>
            <w:r>
              <w:rPr>
                <w:rFonts w:ascii="Arial" w:cs="Arial" w:eastAsia="Arial" w:hAnsi="Arial"/>
                <w:sz w:val="14"/>
                <w:szCs w:val="14"/>
                <w:color w:val="auto"/>
              </w:rPr>
              <w:t>72,580</w:t>
            </w: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1"/>
        </w:trPr>
        <w:tc>
          <w:tcPr>
            <w:tcW w:w="2140" w:type="dxa"/>
            <w:vAlign w:val="bottom"/>
            <w:tcBorders>
              <w:bottom w:val="single" w:sz="8" w:color="AFAFAF"/>
            </w:tcBorders>
          </w:tcPr>
          <w:p>
            <w:pPr>
              <w:spacing w:after="0"/>
              <w:rPr>
                <w:sz w:val="5"/>
                <w:szCs w:val="5"/>
                <w:color w:val="auto"/>
              </w:rPr>
            </w:pPr>
          </w:p>
        </w:tc>
        <w:tc>
          <w:tcPr>
            <w:tcW w:w="900" w:type="dxa"/>
            <w:vAlign w:val="bottom"/>
            <w:tcBorders>
              <w:bottom w:val="single" w:sz="8" w:color="AFAFAF"/>
            </w:tcBorders>
          </w:tcPr>
          <w:p>
            <w:pPr>
              <w:spacing w:after="0"/>
              <w:rPr>
                <w:sz w:val="5"/>
                <w:szCs w:val="5"/>
                <w:color w:val="auto"/>
              </w:rPr>
            </w:pPr>
          </w:p>
        </w:tc>
        <w:tc>
          <w:tcPr>
            <w:tcW w:w="320" w:type="dxa"/>
            <w:vAlign w:val="bottom"/>
            <w:tcBorders>
              <w:bottom w:val="single" w:sz="8" w:color="AFAFAF"/>
            </w:tcBorders>
          </w:tcPr>
          <w:p>
            <w:pPr>
              <w:spacing w:after="0"/>
              <w:rPr>
                <w:sz w:val="5"/>
                <w:szCs w:val="5"/>
                <w:color w:val="auto"/>
              </w:rPr>
            </w:pPr>
          </w:p>
        </w:tc>
        <w:tc>
          <w:tcPr>
            <w:tcW w:w="840" w:type="dxa"/>
            <w:vAlign w:val="bottom"/>
            <w:tcBorders>
              <w:bottom w:val="single" w:sz="8" w:color="AFAFAF"/>
            </w:tcBorders>
          </w:tcPr>
          <w:p>
            <w:pPr>
              <w:spacing w:after="0"/>
              <w:rPr>
                <w:sz w:val="5"/>
                <w:szCs w:val="5"/>
                <w:color w:val="auto"/>
              </w:rPr>
            </w:pPr>
          </w:p>
        </w:tc>
        <w:tc>
          <w:tcPr>
            <w:tcW w:w="440" w:type="dxa"/>
            <w:vAlign w:val="bottom"/>
            <w:tcBorders>
              <w:bottom w:val="single" w:sz="8" w:color="AFAFAF"/>
            </w:tcBorders>
          </w:tcPr>
          <w:p>
            <w:pPr>
              <w:spacing w:after="0"/>
              <w:rPr>
                <w:sz w:val="5"/>
                <w:szCs w:val="5"/>
                <w:color w:val="auto"/>
              </w:rPr>
            </w:pPr>
          </w:p>
        </w:tc>
        <w:tc>
          <w:tcPr>
            <w:tcW w:w="260" w:type="dxa"/>
            <w:vAlign w:val="bottom"/>
            <w:tcBorders>
              <w:bottom w:val="single" w:sz="8" w:color="AFAFAF"/>
            </w:tcBorders>
          </w:tcPr>
          <w:p>
            <w:pPr>
              <w:spacing w:after="0"/>
              <w:rPr>
                <w:sz w:val="5"/>
                <w:szCs w:val="5"/>
                <w:color w:val="auto"/>
              </w:rPr>
            </w:pPr>
          </w:p>
        </w:tc>
        <w:tc>
          <w:tcPr>
            <w:tcW w:w="1120" w:type="dxa"/>
            <w:vAlign w:val="bottom"/>
            <w:tcBorders>
              <w:bottom w:val="single" w:sz="8" w:color="AFAFAF"/>
            </w:tcBorders>
          </w:tcPr>
          <w:p>
            <w:pPr>
              <w:spacing w:after="0"/>
              <w:rPr>
                <w:sz w:val="5"/>
                <w:szCs w:val="5"/>
                <w:color w:val="auto"/>
              </w:rPr>
            </w:pPr>
          </w:p>
        </w:tc>
        <w:tc>
          <w:tcPr>
            <w:tcW w:w="940" w:type="dxa"/>
            <w:vAlign w:val="bottom"/>
            <w:tcBorders>
              <w:bottom w:val="single" w:sz="8" w:color="AFAFAF"/>
            </w:tcBorders>
          </w:tcPr>
          <w:p>
            <w:pPr>
              <w:spacing w:after="0"/>
              <w:rPr>
                <w:sz w:val="5"/>
                <w:szCs w:val="5"/>
                <w:color w:val="auto"/>
              </w:rPr>
            </w:pPr>
          </w:p>
        </w:tc>
        <w:tc>
          <w:tcPr>
            <w:tcW w:w="1380" w:type="dxa"/>
            <w:vAlign w:val="bottom"/>
            <w:tcBorders>
              <w:bottom w:val="single" w:sz="8" w:color="AFAFAF"/>
            </w:tcBorders>
          </w:tcPr>
          <w:p>
            <w:pPr>
              <w:spacing w:after="0"/>
              <w:rPr>
                <w:sz w:val="5"/>
                <w:szCs w:val="5"/>
                <w:color w:val="auto"/>
              </w:rPr>
            </w:pPr>
          </w:p>
        </w:tc>
      </w:tr>
      <w:tr>
        <w:trPr>
          <w:trHeight w:val="180"/>
        </w:trPr>
        <w:tc>
          <w:tcPr>
            <w:tcW w:w="2140" w:type="dxa"/>
            <w:vAlign w:val="bottom"/>
          </w:tcPr>
          <w:p>
            <w:pPr>
              <w:ind w:left="60"/>
              <w:spacing w:after="0"/>
              <w:rPr>
                <w:sz w:val="20"/>
                <w:szCs w:val="20"/>
                <w:color w:val="auto"/>
              </w:rPr>
            </w:pPr>
            <w:r>
              <w:rPr>
                <w:rFonts w:ascii="Arial" w:cs="Arial" w:eastAsia="Arial" w:hAnsi="Arial"/>
                <w:sz w:val="14"/>
                <w:szCs w:val="14"/>
                <w:i w:val="1"/>
                <w:iCs w:val="1"/>
                <w:color w:val="auto"/>
              </w:rPr>
              <w:t>$5,334,367</w:t>
            </w:r>
          </w:p>
        </w:tc>
        <w:tc>
          <w:tcPr>
            <w:tcW w:w="900" w:type="dxa"/>
            <w:vAlign w:val="bottom"/>
          </w:tcPr>
          <w:p>
            <w:pPr>
              <w:ind w:left="700"/>
              <w:spacing w:after="0"/>
              <w:rPr>
                <w:sz w:val="20"/>
                <w:szCs w:val="20"/>
                <w:color w:val="auto"/>
              </w:rPr>
            </w:pPr>
            <w:r>
              <w:rPr>
                <w:rFonts w:ascii="Arial" w:cs="Arial" w:eastAsia="Arial" w:hAnsi="Arial"/>
                <w:sz w:val="14"/>
                <w:szCs w:val="14"/>
                <w:i w:val="1"/>
                <w:iCs w:val="1"/>
                <w:color w:val="auto"/>
                <w:w w:val="82"/>
              </w:rPr>
              <w:t>– </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w w:val="74"/>
              </w:rPr>
              <w:t>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$5,725,374</w:t>
            </w:r>
          </w:p>
        </w:tc>
        <w:tc>
          <w:tcPr>
            <w:tcW w:w="440" w:type="dxa"/>
            <w:vAlign w:val="bottom"/>
          </w:tcPr>
          <w:p>
            <w:pPr>
              <w:ind w:left="280"/>
              <w:spacing w:after="0"/>
              <w:rPr>
                <w:sz w:val="20"/>
                <w:szCs w:val="20"/>
                <w:color w:val="auto"/>
              </w:rPr>
            </w:pPr>
            <w:r>
              <w:rPr>
                <w:rFonts w:ascii="Arial" w:cs="Arial" w:eastAsia="Arial" w:hAnsi="Arial"/>
                <w:sz w:val="12"/>
                <w:szCs w:val="12"/>
                <w:i w:val="1"/>
                <w:iCs w:val="1"/>
                <w:color w:val="auto"/>
                <w:w w:val="74"/>
              </w:rPr>
              <w:t>– </w:t>
            </w:r>
          </w:p>
        </w:tc>
        <w:tc>
          <w:tcPr>
            <w:tcW w:w="260" w:type="dxa"/>
            <w:vAlign w:val="bottom"/>
          </w:tcPr>
          <w:p>
            <w:pPr>
              <w:ind w:left="60"/>
              <w:spacing w:after="0"/>
              <w:rPr>
                <w:sz w:val="20"/>
                <w:szCs w:val="20"/>
                <w:color w:val="auto"/>
              </w:rPr>
            </w:pPr>
            <w:r>
              <w:rPr>
                <w:rFonts w:ascii="Arial" w:cs="Arial" w:eastAsia="Arial" w:hAnsi="Arial"/>
                <w:sz w:val="14"/>
                <w:szCs w:val="14"/>
                <w:i w:val="1"/>
                <w:iCs w:val="1"/>
                <w:color w:val="auto"/>
              </w:rPr>
              <w:t xml:space="preserve">   </w:t>
            </w:r>
          </w:p>
        </w:tc>
        <w:tc>
          <w:tcPr>
            <w:tcW w:w="11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$11,059,740</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44.2x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280"/>
            <w:col w:w="8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LaVerne Council</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62</w:t>
      </w:r>
    </w:p>
    <w:p>
      <w:pPr>
        <w:spacing w:after="0" w:line="64" w:lineRule="exact"/>
        <w:rPr>
          <w:sz w:val="20"/>
          <w:szCs w:val="20"/>
          <w:color w:val="auto"/>
        </w:rPr>
      </w:pPr>
    </w:p>
    <w:p>
      <w:pPr>
        <w:ind w:left="260"/>
        <w:spacing w:after="0" w:line="343" w:lineRule="auto"/>
        <w:rPr>
          <w:sz w:val="20"/>
          <w:szCs w:val="20"/>
          <w:color w:val="auto"/>
        </w:rPr>
      </w:pPr>
      <w:r>
        <w:rPr>
          <w:rFonts w:ascii="Arial" w:cs="Arial" w:eastAsia="Arial" w:hAnsi="Arial"/>
          <w:sz w:val="13"/>
          <w:szCs w:val="13"/>
          <w:color w:val="auto"/>
        </w:rPr>
        <w:t>Great Falls, Virginia, United States Director since January 2022 Independent</w:t>
      </w:r>
    </w:p>
    <w:p>
      <w:pPr>
        <w:spacing w:after="0" w:line="1" w:lineRule="exact"/>
        <w:rPr>
          <w:sz w:val="20"/>
          <w:szCs w:val="20"/>
          <w:color w:val="auto"/>
        </w:rPr>
      </w:pPr>
    </w:p>
    <w:p>
      <w:pPr>
        <w:ind w:left="260" w:right="440"/>
        <w:spacing w:after="0" w:line="256" w:lineRule="auto"/>
        <w:rPr>
          <w:sz w:val="20"/>
          <w:szCs w:val="20"/>
          <w:color w:val="auto"/>
        </w:rPr>
      </w:pPr>
      <w:r>
        <w:rPr>
          <w:rFonts w:ascii="Arial" w:cs="Arial" w:eastAsia="Arial" w:hAnsi="Arial"/>
          <w:sz w:val="13"/>
          <w:szCs w:val="13"/>
          <w:color w:val="auto"/>
        </w:rPr>
        <w:t>Primary areas of expertise: technology, operations, transformational change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99.92%</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LaVerne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-127635</wp:posOffset>
            </wp:positionV>
            <wp:extent cx="6929755" cy="32270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3227070"/>
                    </a:xfrm>
                    <a:prstGeom prst="rect">
                      <a:avLst/>
                    </a:prstGeom>
                    <a:noFill/>
                  </pic:spPr>
                </pic:pic>
              </a:graphicData>
            </a:graphic>
          </wp:anchor>
        </w:drawing>
      </w:r>
    </w:p>
    <w:p>
      <w:pPr>
        <w:spacing w:after="0" w:line="23" w:lineRule="exact"/>
        <w:rPr>
          <w:sz w:val="20"/>
          <w:szCs w:val="20"/>
          <w:color w:val="auto"/>
        </w:rPr>
      </w:pPr>
    </w:p>
    <w:p>
      <w:pPr>
        <w:ind w:left="40" w:right="20"/>
        <w:spacing w:after="0" w:line="243" w:lineRule="auto"/>
        <w:rPr>
          <w:sz w:val="20"/>
          <w:szCs w:val="20"/>
          <w:color w:val="auto"/>
        </w:rPr>
      </w:pPr>
      <w:r>
        <w:rPr>
          <w:rFonts w:ascii="Arial" w:cs="Arial" w:eastAsia="Arial" w:hAnsi="Arial"/>
          <w:sz w:val="14"/>
          <w:szCs w:val="14"/>
          <w:color w:val="auto"/>
        </w:rPr>
        <w:t>LaVerne Council is the Chief Executive Officer of Emerald One, LLC, an information technology consulting company focused on helping businesses develop innovative methodologies for driving change and transformation. She was the National Managing Principal, Enterprise Technology Strategy &amp; Innovation, for Grant Thornton LLP from 2017 to 2019 and served as the Senior Vice President and General Manager for MITRE Corporation in 2017. LaVerne was Assistant Secretary for the Office of Information &amp; Technology and Chief Information Officer for the United States Department of Veterans Affairs from 2015 to 2017. She was the Chief Executive Officer of Council Advisory Services, LLC from 2012 through 2015. LaVerne has also held significant corporate leadership roles focused on supply chain, IT centralization and integration. She served as the Corporate Vice President and Global Chief Information Officer for Johnson &amp; Johnson from 2006 through 2011. Before that, she served in several roles of increasing responsibility at DELL, Inc. from 2000 to 2006, including as the Global Vice President, Information Technology, Global Business Solutions, and Development Services. She received her Master of Business Administration from Illinois State University and her Bachelor of Business Administration in Computer Science from Western Illinois University. LaVerne also holds an honorary Doctorate of Business Administration from Drexel University.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1240" w:type="dxa"/>
            <w:vAlign w:val="bottom"/>
          </w:tcPr>
          <w:p>
            <w:pPr>
              <w:ind w:left="40"/>
              <w:spacing w:after="0"/>
              <w:rPr>
                <w:sz w:val="20"/>
                <w:szCs w:val="20"/>
                <w:color w:val="auto"/>
              </w:rPr>
            </w:pPr>
            <w:r>
              <w:rPr>
                <w:rFonts w:ascii="Arial" w:cs="Arial" w:eastAsia="Arial" w:hAnsi="Arial"/>
                <w:sz w:val="14"/>
                <w:szCs w:val="14"/>
                <w:b w:val="1"/>
                <w:bCs w:val="1"/>
                <w:color w:val="auto"/>
              </w:rPr>
              <w:t>membership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gridSpan w:val="3"/>
          </w:tcPr>
          <w:p>
            <w:pPr>
              <w:ind w:left="600"/>
              <w:spacing w:after="0"/>
              <w:rPr>
                <w:sz w:val="20"/>
                <w:szCs w:val="20"/>
                <w:color w:val="auto"/>
              </w:rPr>
            </w:pPr>
            <w:r>
              <w:rPr>
                <w:rFonts w:ascii="Arial" w:cs="Arial" w:eastAsia="Arial" w:hAnsi="Arial"/>
                <w:sz w:val="14"/>
                <w:szCs w:val="14"/>
                <w:b w:val="1"/>
                <w:bCs w:val="1"/>
                <w:color w:val="auto"/>
              </w:rPr>
              <w:t>2023 attendance</w:t>
            </w:r>
          </w:p>
        </w:tc>
        <w:tc>
          <w:tcPr>
            <w:tcW w:w="4160" w:type="dxa"/>
            <w:vAlign w:val="bottom"/>
            <w:gridSpan w:val="4"/>
          </w:tcPr>
          <w:p>
            <w:pPr>
              <w:ind w:left="8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12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00" w:type="dxa"/>
            <w:vAlign w:val="bottom"/>
            <w:tcBorders>
              <w:bottom w:val="single" w:sz="8" w:color="AFAFAF"/>
            </w:tcBorders>
          </w:tcPr>
          <w:p>
            <w:pPr>
              <w:spacing w:after="0"/>
              <w:rPr>
                <w:sz w:val="7"/>
                <w:szCs w:val="7"/>
                <w:color w:val="auto"/>
              </w:rPr>
            </w:pPr>
          </w:p>
        </w:tc>
        <w:tc>
          <w:tcPr>
            <w:tcW w:w="68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760" w:type="dxa"/>
            <w:vAlign w:val="bottom"/>
            <w:tcBorders>
              <w:bottom w:val="single" w:sz="8" w:color="AFAFAF"/>
            </w:tcBorders>
          </w:tcPr>
          <w:p>
            <w:pPr>
              <w:spacing w:after="0"/>
              <w:rPr>
                <w:sz w:val="7"/>
                <w:szCs w:val="7"/>
                <w:color w:val="auto"/>
              </w:rPr>
            </w:pPr>
          </w:p>
        </w:tc>
        <w:tc>
          <w:tcPr>
            <w:tcW w:w="1840" w:type="dxa"/>
            <w:vAlign w:val="bottom"/>
            <w:tcBorders>
              <w:bottom w:val="single" w:sz="8" w:color="AFAFAF"/>
            </w:tcBorders>
            <w:gridSpan w:val="2"/>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1240" w:type="dxa"/>
            <w:vAlign w:val="bottom"/>
          </w:tcPr>
          <w:p>
            <w:pPr>
              <w:ind w:left="40"/>
              <w:spacing w:after="0"/>
              <w:rPr>
                <w:sz w:val="20"/>
                <w:szCs w:val="20"/>
                <w:color w:val="auto"/>
              </w:rPr>
            </w:pPr>
            <w:r>
              <w:rPr>
                <w:rFonts w:ascii="Arial" w:cs="Arial" w:eastAsia="Arial" w:hAnsi="Arial"/>
                <w:sz w:val="14"/>
                <w:szCs w:val="14"/>
                <w:color w:val="auto"/>
              </w:rPr>
              <w:t>Board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9 of 9</w:t>
            </w:r>
          </w:p>
        </w:tc>
        <w:tc>
          <w:tcPr>
            <w:tcW w:w="760" w:type="dxa"/>
            <w:vAlign w:val="bottom"/>
          </w:tcPr>
          <w:p>
            <w:pPr>
              <w:ind w:left="100"/>
              <w:spacing w:after="0"/>
              <w:rPr>
                <w:sz w:val="20"/>
                <w:szCs w:val="20"/>
                <w:color w:val="auto"/>
              </w:rPr>
            </w:pPr>
            <w:r>
              <w:rPr>
                <w:rFonts w:ascii="Arial" w:cs="Arial" w:eastAsia="Arial" w:hAnsi="Arial"/>
                <w:sz w:val="14"/>
                <w:szCs w:val="14"/>
                <w:color w:val="auto"/>
              </w:rPr>
              <w:t>100%</w:t>
            </w:r>
          </w:p>
        </w:tc>
        <w:tc>
          <w:tcPr>
            <w:tcW w:w="1840" w:type="dxa"/>
            <w:vAlign w:val="bottom"/>
            <w:gridSpan w:val="2"/>
          </w:tcPr>
          <w:p>
            <w:pPr>
              <w:ind w:left="80"/>
              <w:spacing w:after="0"/>
              <w:rPr>
                <w:sz w:val="20"/>
                <w:szCs w:val="20"/>
                <w:color w:val="auto"/>
              </w:rPr>
            </w:pPr>
            <w:r>
              <w:rPr>
                <w:rFonts w:ascii="Arial" w:cs="Arial" w:eastAsia="Arial" w:hAnsi="Arial"/>
                <w:sz w:val="14"/>
                <w:szCs w:val="14"/>
                <w:color w:val="auto"/>
              </w:rPr>
              <w:t>CONMED Corporation</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1240" w:type="dxa"/>
            <w:vAlign w:val="bottom"/>
          </w:tcPr>
          <w:p>
            <w:pPr>
              <w:ind w:left="40"/>
              <w:spacing w:after="0"/>
              <w:rPr>
                <w:sz w:val="20"/>
                <w:szCs w:val="20"/>
                <w:color w:val="auto"/>
              </w:rPr>
            </w:pPr>
            <w:r>
              <w:rPr>
                <w:rFonts w:ascii="Arial" w:cs="Arial" w:eastAsia="Arial" w:hAnsi="Arial"/>
                <w:sz w:val="14"/>
                <w:szCs w:val="14"/>
                <w:color w:val="auto"/>
              </w:rPr>
              <w:t>Audit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7 of 7</w:t>
            </w:r>
          </w:p>
        </w:tc>
        <w:tc>
          <w:tcPr>
            <w:tcW w:w="760" w:type="dxa"/>
            <w:vAlign w:val="bottom"/>
          </w:tcPr>
          <w:p>
            <w:pPr>
              <w:ind w:left="100"/>
              <w:spacing w:after="0"/>
              <w:rPr>
                <w:sz w:val="20"/>
                <w:szCs w:val="20"/>
                <w:color w:val="auto"/>
              </w:rPr>
            </w:pPr>
            <w:r>
              <w:rPr>
                <w:rFonts w:ascii="Arial" w:cs="Arial" w:eastAsia="Arial" w:hAnsi="Arial"/>
                <w:sz w:val="14"/>
                <w:szCs w:val="14"/>
                <w:color w:val="auto"/>
              </w:rPr>
              <w:t>100%</w:t>
            </w:r>
          </w:p>
        </w:tc>
        <w:tc>
          <w:tcPr>
            <w:tcW w:w="1840" w:type="dxa"/>
            <w:vAlign w:val="bottom"/>
            <w:gridSpan w:val="2"/>
          </w:tcPr>
          <w:p>
            <w:pPr>
              <w:ind w:left="80"/>
              <w:spacing w:after="0"/>
              <w:rPr>
                <w:sz w:val="20"/>
                <w:szCs w:val="20"/>
                <w:color w:val="auto"/>
              </w:rPr>
            </w:pPr>
            <w:r>
              <w:rPr>
                <w:rFonts w:ascii="Arial" w:cs="Arial" w:eastAsia="Arial" w:hAnsi="Arial"/>
                <w:sz w:val="14"/>
                <w:szCs w:val="14"/>
                <w:color w:val="auto"/>
              </w:rPr>
              <w:t>Concentrix Corporation</w:t>
            </w: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1240" w:type="dxa"/>
            <w:vAlign w:val="bottom"/>
          </w:tcPr>
          <w:p>
            <w:pPr>
              <w:ind w:left="40"/>
              <w:spacing w:after="0"/>
              <w:rPr>
                <w:sz w:val="20"/>
                <w:szCs w:val="20"/>
                <w:color w:val="auto"/>
              </w:rPr>
            </w:pPr>
            <w:r>
              <w:rPr>
                <w:rFonts w:ascii="Arial" w:cs="Arial" w:eastAsia="Arial" w:hAnsi="Arial"/>
                <w:sz w:val="14"/>
                <w:szCs w:val="14"/>
                <w:color w:val="auto"/>
              </w:rPr>
              <w:t>Risk</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4 of 4</w:t>
            </w:r>
          </w:p>
        </w:tc>
        <w:tc>
          <w:tcPr>
            <w:tcW w:w="760" w:type="dxa"/>
            <w:vAlign w:val="bottom"/>
          </w:tcPr>
          <w:p>
            <w:pPr>
              <w:ind w:left="100"/>
              <w:spacing w:after="0"/>
              <w:rPr>
                <w:sz w:val="20"/>
                <w:szCs w:val="20"/>
                <w:color w:val="auto"/>
              </w:rPr>
            </w:pPr>
            <w:r>
              <w:rPr>
                <w:rFonts w:ascii="Arial" w:cs="Arial" w:eastAsia="Arial" w:hAnsi="Arial"/>
                <w:sz w:val="14"/>
                <w:szCs w:val="14"/>
                <w:color w:val="auto"/>
              </w:rPr>
              <w:t>100%</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88"/>
        </w:trPr>
        <w:tc>
          <w:tcPr>
            <w:tcW w:w="12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00" w:type="dxa"/>
            <w:vAlign w:val="bottom"/>
            <w:tcBorders>
              <w:bottom w:val="single" w:sz="8" w:color="AFAFAF"/>
            </w:tcBorders>
          </w:tcPr>
          <w:p>
            <w:pPr>
              <w:spacing w:after="0"/>
              <w:rPr>
                <w:sz w:val="7"/>
                <w:szCs w:val="7"/>
                <w:color w:val="auto"/>
              </w:rPr>
            </w:pPr>
          </w:p>
        </w:tc>
        <w:tc>
          <w:tcPr>
            <w:tcW w:w="68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760" w:type="dxa"/>
            <w:vAlign w:val="bottom"/>
            <w:tcBorders>
              <w:bottom w:val="single" w:sz="8" w:color="AFAFAF"/>
            </w:tcBorders>
          </w:tcPr>
          <w:p>
            <w:pPr>
              <w:spacing w:after="0"/>
              <w:rPr>
                <w:sz w:val="7"/>
                <w:szCs w:val="7"/>
                <w:color w:val="auto"/>
              </w:rPr>
            </w:pPr>
          </w:p>
        </w:tc>
        <w:tc>
          <w:tcPr>
            <w:tcW w:w="820" w:type="dxa"/>
            <w:vAlign w:val="bottom"/>
            <w:tcBorders>
              <w:bottom w:val="single" w:sz="8" w:color="AFAFAF"/>
            </w:tcBorders>
          </w:tcPr>
          <w:p>
            <w:pPr>
              <w:spacing w:after="0"/>
              <w:rPr>
                <w:sz w:val="7"/>
                <w:szCs w:val="7"/>
                <w:color w:val="auto"/>
              </w:rPr>
            </w:pPr>
          </w:p>
        </w:tc>
        <w:tc>
          <w:tcPr>
            <w:tcW w:w="10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12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b w:val="1"/>
                <w:bCs w:val="1"/>
                <w:color w:val="auto"/>
              </w:rPr>
              <w:t>20 of 20</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100%</w:t>
            </w: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2"/>
        </w:trPr>
        <w:tc>
          <w:tcPr>
            <w:tcW w:w="1240" w:type="dxa"/>
            <w:vAlign w:val="bottom"/>
            <w:tcBorders>
              <w:bottom w:val="single" w:sz="8" w:color="AFAFAF"/>
            </w:tcBorders>
          </w:tcPr>
          <w:p>
            <w:pPr>
              <w:spacing w:after="0"/>
              <w:rPr>
                <w:sz w:val="6"/>
                <w:szCs w:val="6"/>
                <w:color w:val="auto"/>
              </w:rPr>
            </w:pPr>
          </w:p>
        </w:tc>
        <w:tc>
          <w:tcPr>
            <w:tcW w:w="140" w:type="dxa"/>
            <w:vAlign w:val="bottom"/>
            <w:tcBorders>
              <w:bottom w:val="single" w:sz="8" w:color="AFAFAF"/>
            </w:tcBorders>
          </w:tcPr>
          <w:p>
            <w:pPr>
              <w:spacing w:after="0"/>
              <w:rPr>
                <w:sz w:val="6"/>
                <w:szCs w:val="6"/>
                <w:color w:val="auto"/>
              </w:rPr>
            </w:pPr>
          </w:p>
        </w:tc>
        <w:tc>
          <w:tcPr>
            <w:tcW w:w="100" w:type="dxa"/>
            <w:vAlign w:val="bottom"/>
            <w:tcBorders>
              <w:bottom w:val="single" w:sz="8" w:color="AFAFAF"/>
            </w:tcBorders>
          </w:tcPr>
          <w:p>
            <w:pPr>
              <w:spacing w:after="0"/>
              <w:rPr>
                <w:sz w:val="6"/>
                <w:szCs w:val="6"/>
                <w:color w:val="auto"/>
              </w:rPr>
            </w:pPr>
          </w:p>
        </w:tc>
        <w:tc>
          <w:tcPr>
            <w:tcW w:w="680" w:type="dxa"/>
            <w:vAlign w:val="bottom"/>
            <w:tcBorders>
              <w:bottom w:val="single" w:sz="8" w:color="AFAFAF"/>
            </w:tcBorders>
          </w:tcPr>
          <w:p>
            <w:pPr>
              <w:spacing w:after="0"/>
              <w:rPr>
                <w:sz w:val="6"/>
                <w:szCs w:val="6"/>
                <w:color w:val="auto"/>
              </w:rPr>
            </w:pPr>
          </w:p>
        </w:tc>
        <w:tc>
          <w:tcPr>
            <w:tcW w:w="780" w:type="dxa"/>
            <w:vAlign w:val="bottom"/>
            <w:tcBorders>
              <w:bottom w:val="single" w:sz="8" w:color="AFAFAF"/>
            </w:tcBorders>
          </w:tcPr>
          <w:p>
            <w:pPr>
              <w:spacing w:after="0"/>
              <w:rPr>
                <w:sz w:val="6"/>
                <w:szCs w:val="6"/>
                <w:color w:val="auto"/>
              </w:rPr>
            </w:pPr>
          </w:p>
        </w:tc>
        <w:tc>
          <w:tcPr>
            <w:tcW w:w="440" w:type="dxa"/>
            <w:vAlign w:val="bottom"/>
            <w:tcBorders>
              <w:bottom w:val="single" w:sz="8" w:color="AFAFAF"/>
            </w:tcBorders>
          </w:tcPr>
          <w:p>
            <w:pPr>
              <w:spacing w:after="0"/>
              <w:rPr>
                <w:sz w:val="6"/>
                <w:szCs w:val="6"/>
                <w:color w:val="auto"/>
              </w:rPr>
            </w:pPr>
          </w:p>
        </w:tc>
        <w:tc>
          <w:tcPr>
            <w:tcW w:w="760" w:type="dxa"/>
            <w:vAlign w:val="bottom"/>
            <w:tcBorders>
              <w:bottom w:val="single" w:sz="8" w:color="AFAFAF"/>
            </w:tcBorders>
          </w:tcPr>
          <w:p>
            <w:pPr>
              <w:spacing w:after="0"/>
              <w:rPr>
                <w:sz w:val="6"/>
                <w:szCs w:val="6"/>
                <w:color w:val="auto"/>
              </w:rPr>
            </w:pPr>
          </w:p>
        </w:tc>
        <w:tc>
          <w:tcPr>
            <w:tcW w:w="820" w:type="dxa"/>
            <w:vAlign w:val="bottom"/>
            <w:tcBorders>
              <w:bottom w:val="single" w:sz="8" w:color="AFAFAF"/>
            </w:tcBorders>
          </w:tcPr>
          <w:p>
            <w:pPr>
              <w:spacing w:after="0"/>
              <w:rPr>
                <w:sz w:val="6"/>
                <w:szCs w:val="6"/>
                <w:color w:val="auto"/>
              </w:rPr>
            </w:pPr>
          </w:p>
        </w:tc>
        <w:tc>
          <w:tcPr>
            <w:tcW w:w="102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1380" w:type="dxa"/>
            <w:vAlign w:val="bottom"/>
            <w:tcBorders>
              <w:bottom w:val="single" w:sz="8" w:color="AFAFAF"/>
            </w:tcBorders>
          </w:tcPr>
          <w:p>
            <w:pPr>
              <w:spacing w:after="0"/>
              <w:rPr>
                <w:sz w:val="6"/>
                <w:szCs w:val="6"/>
                <w:color w:val="auto"/>
              </w:rPr>
            </w:pPr>
          </w:p>
        </w:tc>
      </w:tr>
      <w:tr>
        <w:trPr>
          <w:trHeight w:val="265"/>
        </w:trPr>
        <w:tc>
          <w:tcPr>
            <w:tcW w:w="124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Ownership multiple</w:t>
            </w:r>
          </w:p>
        </w:tc>
      </w:tr>
      <w:tr>
        <w:trPr>
          <w:trHeight w:val="195"/>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and value)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1240" w:type="dxa"/>
            <w:vAlign w:val="bottom"/>
            <w:tcBorders>
              <w:bottom w:val="single" w:sz="8" w:color="AFAFAF"/>
            </w:tcBorders>
          </w:tcPr>
          <w:p>
            <w:pPr>
              <w:spacing w:after="0"/>
              <w:rPr>
                <w:sz w:val="8"/>
                <w:szCs w:val="8"/>
                <w:color w:val="auto"/>
              </w:rPr>
            </w:pPr>
          </w:p>
        </w:tc>
        <w:tc>
          <w:tcPr>
            <w:tcW w:w="140" w:type="dxa"/>
            <w:vAlign w:val="bottom"/>
            <w:tcBorders>
              <w:bottom w:val="single" w:sz="8" w:color="AFAFAF"/>
            </w:tcBorders>
          </w:tcPr>
          <w:p>
            <w:pPr>
              <w:spacing w:after="0"/>
              <w:rPr>
                <w:sz w:val="8"/>
                <w:szCs w:val="8"/>
                <w:color w:val="auto"/>
              </w:rPr>
            </w:pPr>
          </w:p>
        </w:tc>
        <w:tc>
          <w:tcPr>
            <w:tcW w:w="100" w:type="dxa"/>
            <w:vAlign w:val="bottom"/>
            <w:tcBorders>
              <w:bottom w:val="single" w:sz="8" w:color="AFAFAF"/>
            </w:tcBorders>
          </w:tcPr>
          <w:p>
            <w:pPr>
              <w:spacing w:after="0"/>
              <w:rPr>
                <w:sz w:val="8"/>
                <w:szCs w:val="8"/>
                <w:color w:val="auto"/>
              </w:rPr>
            </w:pPr>
          </w:p>
        </w:tc>
        <w:tc>
          <w:tcPr>
            <w:tcW w:w="680" w:type="dxa"/>
            <w:vAlign w:val="bottom"/>
            <w:tcBorders>
              <w:bottom w:val="single" w:sz="8" w:color="AFAFAF"/>
            </w:tcBorders>
          </w:tcPr>
          <w:p>
            <w:pPr>
              <w:spacing w:after="0"/>
              <w:rPr>
                <w:sz w:val="8"/>
                <w:szCs w:val="8"/>
                <w:color w:val="auto"/>
              </w:rPr>
            </w:pPr>
          </w:p>
        </w:tc>
        <w:tc>
          <w:tcPr>
            <w:tcW w:w="1220" w:type="dxa"/>
            <w:vAlign w:val="bottom"/>
            <w:tcBorders>
              <w:bottom w:val="single" w:sz="8" w:color="AFAFAF"/>
            </w:tcBorders>
            <w:gridSpan w:val="2"/>
          </w:tcPr>
          <w:p>
            <w:pPr>
              <w:spacing w:after="0"/>
              <w:rPr>
                <w:sz w:val="8"/>
                <w:szCs w:val="8"/>
                <w:color w:val="auto"/>
              </w:rPr>
            </w:pPr>
          </w:p>
        </w:tc>
        <w:tc>
          <w:tcPr>
            <w:tcW w:w="760" w:type="dxa"/>
            <w:vAlign w:val="bottom"/>
            <w:tcBorders>
              <w:bottom w:val="single" w:sz="8" w:color="AFAFAF"/>
            </w:tcBorders>
          </w:tcPr>
          <w:p>
            <w:pPr>
              <w:spacing w:after="0"/>
              <w:rPr>
                <w:sz w:val="8"/>
                <w:szCs w:val="8"/>
                <w:color w:val="auto"/>
              </w:rPr>
            </w:pPr>
          </w:p>
        </w:tc>
        <w:tc>
          <w:tcPr>
            <w:tcW w:w="820" w:type="dxa"/>
            <w:vAlign w:val="bottom"/>
            <w:tcBorders>
              <w:bottom w:val="single" w:sz="8" w:color="AFAFAF"/>
            </w:tcBorders>
          </w:tcPr>
          <w:p>
            <w:pPr>
              <w:spacing w:after="0"/>
              <w:rPr>
                <w:sz w:val="8"/>
                <w:szCs w:val="8"/>
                <w:color w:val="auto"/>
              </w:rPr>
            </w:pPr>
          </w:p>
        </w:tc>
        <w:tc>
          <w:tcPr>
            <w:tcW w:w="102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1240" w:type="dxa"/>
            <w:vAlign w:val="bottom"/>
          </w:tcPr>
          <w:p>
            <w:pPr>
              <w:ind w:left="40"/>
              <w:spacing w:after="0" w:line="145" w:lineRule="exact"/>
              <w:rPr>
                <w:sz w:val="20"/>
                <w:szCs w:val="20"/>
                <w:color w:val="auto"/>
              </w:rPr>
            </w:pPr>
            <w:r>
              <w:rPr>
                <w:rFonts w:ascii="Arial" w:cs="Arial" w:eastAsia="Arial" w:hAnsi="Arial"/>
                <w:sz w:val="14"/>
                <w:szCs w:val="14"/>
                <w:color w:val="auto"/>
              </w:rPr>
              <w:t>Common 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gridSpan w:val="2"/>
          </w:tcPr>
          <w:p>
            <w:pPr>
              <w:ind w:left="600"/>
              <w:spacing w:after="0" w:line="145" w:lineRule="exact"/>
              <w:rPr>
                <w:sz w:val="20"/>
                <w:szCs w:val="20"/>
                <w:color w:val="auto"/>
              </w:rPr>
            </w:pPr>
            <w:r>
              <w:rPr>
                <w:rFonts w:ascii="Arial" w:cs="Arial" w:eastAsia="Arial" w:hAnsi="Arial"/>
                <w:sz w:val="14"/>
                <w:szCs w:val="14"/>
                <w:color w:val="auto"/>
              </w:rPr>
              <w:t>RSUs</w:t>
            </w:r>
          </w:p>
        </w:tc>
        <w:tc>
          <w:tcPr>
            <w:tcW w:w="760" w:type="dxa"/>
            <w:vAlign w:val="bottom"/>
          </w:tcPr>
          <w:p>
            <w:pPr>
              <w:ind w:left="100"/>
              <w:spacing w:after="0" w:line="145" w:lineRule="exact"/>
              <w:rPr>
                <w:sz w:val="20"/>
                <w:szCs w:val="20"/>
                <w:color w:val="auto"/>
              </w:rPr>
            </w:pPr>
            <w:r>
              <w:rPr>
                <w:rFonts w:ascii="Arial" w:cs="Arial" w:eastAsia="Arial" w:hAnsi="Arial"/>
                <w:sz w:val="14"/>
                <w:szCs w:val="14"/>
                <w:color w:val="auto"/>
              </w:rPr>
              <w:t>DSUs</w:t>
            </w:r>
          </w:p>
        </w:tc>
        <w:tc>
          <w:tcPr>
            <w:tcW w:w="820" w:type="dxa"/>
            <w:vAlign w:val="bottom"/>
          </w:tcPr>
          <w:p>
            <w:pPr>
              <w:jc w:val="center"/>
              <w:ind w:left="29"/>
              <w:spacing w:after="0" w:line="145" w:lineRule="exact"/>
              <w:rPr>
                <w:sz w:val="20"/>
                <w:szCs w:val="20"/>
                <w:color w:val="auto"/>
              </w:rPr>
            </w:pPr>
            <w:r>
              <w:rPr>
                <w:rFonts w:ascii="Arial" w:cs="Arial" w:eastAsia="Arial" w:hAnsi="Arial"/>
                <w:sz w:val="14"/>
                <w:szCs w:val="14"/>
                <w:color w:val="auto"/>
                <w:w w:val="99"/>
              </w:rPr>
              <w:t>Options</w:t>
            </w: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240" w:type="dxa"/>
            <w:vAlign w:val="bottom"/>
          </w:tcPr>
          <w:p>
            <w:pPr>
              <w:ind w:left="1020"/>
              <w:spacing w:after="0"/>
              <w:rPr>
                <w:sz w:val="20"/>
                <w:szCs w:val="20"/>
                <w:color w:val="auto"/>
              </w:rPr>
            </w:pPr>
            <w:r>
              <w:rPr>
                <w:rFonts w:ascii="Arial" w:cs="Arial" w:eastAsia="Arial" w:hAnsi="Arial"/>
                <w:sz w:val="14"/>
                <w:szCs w:val="14"/>
                <w:color w:val="auto"/>
                <w:w w:val="91"/>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00" w:type="dxa"/>
            <w:vAlign w:val="bottom"/>
          </w:tcPr>
          <w:p>
            <w:pPr>
              <w:ind w:left="20"/>
              <w:spacing w:after="0"/>
              <w:rPr>
                <w:sz w:val="20"/>
                <w:szCs w:val="20"/>
                <w:color w:val="auto"/>
              </w:rPr>
            </w:pPr>
            <w:r>
              <w:rPr>
                <w:rFonts w:ascii="Arial" w:cs="Arial" w:eastAsia="Arial" w:hAnsi="Arial"/>
                <w:sz w:val="8"/>
                <w:szCs w:val="8"/>
                <w:color w:val="auto"/>
                <w:w w:val="74"/>
              </w:rPr>
              <w:t> </w:t>
            </w:r>
          </w:p>
        </w:tc>
        <w:tc>
          <w:tcPr>
            <w:tcW w:w="68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tcPr>
          <w:p>
            <w:pPr>
              <w:ind w:left="600"/>
              <w:spacing w:after="0"/>
              <w:rPr>
                <w:sz w:val="20"/>
                <w:szCs w:val="20"/>
                <w:color w:val="auto"/>
              </w:rPr>
            </w:pPr>
            <w:r>
              <w:rPr>
                <w:rFonts w:ascii="Arial" w:cs="Arial" w:eastAsia="Arial" w:hAnsi="Arial"/>
                <w:sz w:val="14"/>
                <w:szCs w:val="14"/>
                <w:color w:val="auto"/>
                <w:w w:val="73"/>
              </w:rPr>
              <w:t>– </w:t>
            </w:r>
          </w:p>
        </w:tc>
        <w:tc>
          <w:tcPr>
            <w:tcW w:w="440" w:type="dxa"/>
            <w:vAlign w:val="bottom"/>
          </w:tcPr>
          <w:p>
            <w:pPr>
              <w:ind w:left="40"/>
              <w:spacing w:after="0"/>
              <w:rPr>
                <w:sz w:val="20"/>
                <w:szCs w:val="20"/>
                <w:color w:val="auto"/>
              </w:rPr>
            </w:pPr>
            <w:r>
              <w:rPr>
                <w:rFonts w:ascii="Arial" w:cs="Arial" w:eastAsia="Arial" w:hAnsi="Arial"/>
                <w:sz w:val="14"/>
                <w:szCs w:val="14"/>
                <w:color w:val="auto"/>
              </w:rPr>
              <w:t> </w:t>
            </w:r>
          </w:p>
        </w:tc>
        <w:tc>
          <w:tcPr>
            <w:tcW w:w="760" w:type="dxa"/>
            <w:vAlign w:val="bottom"/>
          </w:tcPr>
          <w:p>
            <w:pPr>
              <w:ind w:left="100"/>
              <w:spacing w:after="0"/>
              <w:rPr>
                <w:sz w:val="20"/>
                <w:szCs w:val="20"/>
                <w:color w:val="auto"/>
              </w:rPr>
            </w:pPr>
            <w:r>
              <w:rPr>
                <w:rFonts w:ascii="Arial" w:cs="Arial" w:eastAsia="Arial" w:hAnsi="Arial"/>
                <w:sz w:val="14"/>
                <w:szCs w:val="14"/>
                <w:color w:val="auto"/>
              </w:rPr>
              <w:t>4,246</w:t>
            </w:r>
          </w:p>
        </w:tc>
        <w:tc>
          <w:tcPr>
            <w:tcW w:w="8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1020" w:type="dxa"/>
            <w:vAlign w:val="bottom"/>
          </w:tcPr>
          <w:p>
            <w:pPr>
              <w:ind w:left="140"/>
              <w:spacing w:after="0"/>
              <w:rPr>
                <w:sz w:val="20"/>
                <w:szCs w:val="20"/>
                <w:color w:val="auto"/>
              </w:rPr>
            </w:pPr>
            <w:r>
              <w:rPr>
                <w:rFonts w:ascii="Arial" w:cs="Arial" w:eastAsia="Arial" w:hAnsi="Arial"/>
                <w:sz w:val="14"/>
                <w:szCs w:val="14"/>
                <w:color w:val="auto"/>
              </w:rPr>
              <w:t>4,246</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124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00" w:type="dxa"/>
            <w:vAlign w:val="bottom"/>
            <w:tcBorders>
              <w:bottom w:val="single" w:sz="8" w:color="AFAFAF"/>
            </w:tcBorders>
          </w:tcPr>
          <w:p>
            <w:pPr>
              <w:spacing w:after="0"/>
              <w:rPr>
                <w:sz w:val="7"/>
                <w:szCs w:val="7"/>
                <w:color w:val="auto"/>
              </w:rPr>
            </w:pPr>
          </w:p>
        </w:tc>
        <w:tc>
          <w:tcPr>
            <w:tcW w:w="680" w:type="dxa"/>
            <w:vAlign w:val="bottom"/>
            <w:tcBorders>
              <w:bottom w:val="single" w:sz="8" w:color="AFAFAF"/>
            </w:tcBorders>
          </w:tcPr>
          <w:p>
            <w:pPr>
              <w:spacing w:after="0"/>
              <w:rPr>
                <w:sz w:val="7"/>
                <w:szCs w:val="7"/>
                <w:color w:val="auto"/>
              </w:rPr>
            </w:pPr>
          </w:p>
        </w:tc>
        <w:tc>
          <w:tcPr>
            <w:tcW w:w="780" w:type="dxa"/>
            <w:vAlign w:val="bottom"/>
            <w:tcBorders>
              <w:bottom w:val="single" w:sz="8" w:color="AFAFAF"/>
            </w:tcBorders>
          </w:tcPr>
          <w:p>
            <w:pPr>
              <w:spacing w:after="0"/>
              <w:rPr>
                <w:sz w:val="7"/>
                <w:szCs w:val="7"/>
                <w:color w:val="auto"/>
              </w:rPr>
            </w:pPr>
          </w:p>
        </w:tc>
        <w:tc>
          <w:tcPr>
            <w:tcW w:w="440" w:type="dxa"/>
            <w:vAlign w:val="bottom"/>
            <w:tcBorders>
              <w:bottom w:val="single" w:sz="8" w:color="AFAFAF"/>
            </w:tcBorders>
          </w:tcPr>
          <w:p>
            <w:pPr>
              <w:spacing w:after="0"/>
              <w:rPr>
                <w:sz w:val="7"/>
                <w:szCs w:val="7"/>
                <w:color w:val="auto"/>
              </w:rPr>
            </w:pPr>
          </w:p>
        </w:tc>
        <w:tc>
          <w:tcPr>
            <w:tcW w:w="760" w:type="dxa"/>
            <w:vAlign w:val="bottom"/>
            <w:tcBorders>
              <w:bottom w:val="single" w:sz="8" w:color="AFAFAF"/>
            </w:tcBorders>
          </w:tcPr>
          <w:p>
            <w:pPr>
              <w:spacing w:after="0"/>
              <w:rPr>
                <w:sz w:val="7"/>
                <w:szCs w:val="7"/>
                <w:color w:val="auto"/>
              </w:rPr>
            </w:pPr>
          </w:p>
        </w:tc>
        <w:tc>
          <w:tcPr>
            <w:tcW w:w="820" w:type="dxa"/>
            <w:vAlign w:val="bottom"/>
            <w:tcBorders>
              <w:bottom w:val="single" w:sz="8" w:color="AFAFAF"/>
            </w:tcBorders>
          </w:tcPr>
          <w:p>
            <w:pPr>
              <w:spacing w:after="0"/>
              <w:rPr>
                <w:sz w:val="7"/>
                <w:szCs w:val="7"/>
                <w:color w:val="auto"/>
              </w:rPr>
            </w:pPr>
          </w:p>
        </w:tc>
        <w:tc>
          <w:tcPr>
            <w:tcW w:w="10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0"/>
        </w:trPr>
        <w:tc>
          <w:tcPr>
            <w:tcW w:w="1240" w:type="dxa"/>
            <w:vAlign w:val="bottom"/>
          </w:tcPr>
          <w:p>
            <w:pPr>
              <w:ind w:left="1020"/>
              <w:spacing w:after="0"/>
              <w:rPr>
                <w:sz w:val="20"/>
                <w:szCs w:val="20"/>
                <w:color w:val="auto"/>
              </w:rPr>
            </w:pPr>
            <w:r>
              <w:rPr>
                <w:rFonts w:ascii="Arial" w:cs="Arial" w:eastAsia="Arial" w:hAnsi="Arial"/>
                <w:sz w:val="14"/>
                <w:szCs w:val="14"/>
                <w:i w:val="1"/>
                <w:iCs w:val="1"/>
                <w:color w:val="auto"/>
                <w:w w:val="91"/>
              </w:rPr>
              <w:t>– </w:t>
            </w:r>
          </w:p>
        </w:tc>
        <w:tc>
          <w:tcPr>
            <w:tcW w:w="140" w:type="dxa"/>
            <w:vAlign w:val="bottom"/>
          </w:tcPr>
          <w:p>
            <w:pPr>
              <w:ind w:left="20"/>
              <w:spacing w:after="0"/>
              <w:rPr>
                <w:sz w:val="20"/>
                <w:szCs w:val="20"/>
                <w:color w:val="auto"/>
              </w:rPr>
            </w:pPr>
            <w:r>
              <w:rPr>
                <w:rFonts w:ascii="Arial" w:cs="Arial" w:eastAsia="Arial" w:hAnsi="Arial"/>
                <w:sz w:val="14"/>
                <w:szCs w:val="14"/>
                <w:i w:val="1"/>
                <w:iCs w:val="1"/>
                <w:color w:val="auto"/>
                <w:w w:val="71"/>
              </w:rPr>
              <w:t> </w:t>
            </w:r>
          </w:p>
        </w:tc>
        <w:tc>
          <w:tcPr>
            <w:tcW w:w="100" w:type="dxa"/>
            <w:vAlign w:val="bottom"/>
          </w:tcPr>
          <w:p>
            <w:pPr>
              <w:ind w:left="20"/>
              <w:spacing w:after="0"/>
              <w:rPr>
                <w:sz w:val="20"/>
                <w:szCs w:val="20"/>
                <w:color w:val="auto"/>
              </w:rPr>
            </w:pPr>
            <w:r>
              <w:rPr>
                <w:rFonts w:ascii="Arial" w:cs="Arial" w:eastAsia="Arial" w:hAnsi="Arial"/>
                <w:sz w:val="8"/>
                <w:szCs w:val="8"/>
                <w:i w:val="1"/>
                <w:iCs w:val="1"/>
                <w:color w:val="auto"/>
                <w:w w:val="74"/>
              </w:rPr>
              <w:t> </w:t>
            </w:r>
          </w:p>
        </w:tc>
        <w:tc>
          <w:tcPr>
            <w:tcW w:w="68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780" w:type="dxa"/>
            <w:vAlign w:val="bottom"/>
          </w:tcPr>
          <w:p>
            <w:pPr>
              <w:ind w:left="600"/>
              <w:spacing w:after="0"/>
              <w:rPr>
                <w:sz w:val="20"/>
                <w:szCs w:val="20"/>
                <w:color w:val="auto"/>
              </w:rPr>
            </w:pPr>
            <w:r>
              <w:rPr>
                <w:rFonts w:ascii="Arial" w:cs="Arial" w:eastAsia="Arial" w:hAnsi="Arial"/>
                <w:sz w:val="14"/>
                <w:szCs w:val="14"/>
                <w:i w:val="1"/>
                <w:iCs w:val="1"/>
                <w:color w:val="auto"/>
                <w:w w:val="73"/>
              </w:rPr>
              <w:t>– </w:t>
            </w:r>
          </w:p>
        </w:tc>
        <w:tc>
          <w:tcPr>
            <w:tcW w:w="44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760" w:type="dxa"/>
            <w:vAlign w:val="bottom"/>
          </w:tcPr>
          <w:p>
            <w:pPr>
              <w:ind w:left="100"/>
              <w:spacing w:after="0"/>
              <w:rPr>
                <w:sz w:val="20"/>
                <w:szCs w:val="20"/>
                <w:color w:val="auto"/>
              </w:rPr>
            </w:pPr>
            <w:r>
              <w:rPr>
                <w:rFonts w:ascii="Arial" w:cs="Arial" w:eastAsia="Arial" w:hAnsi="Arial"/>
                <w:sz w:val="14"/>
                <w:szCs w:val="14"/>
                <w:i w:val="1"/>
                <w:iCs w:val="1"/>
                <w:color w:val="auto"/>
              </w:rPr>
              <w:t>$647,005</w:t>
            </w:r>
          </w:p>
        </w:tc>
        <w:tc>
          <w:tcPr>
            <w:tcW w:w="820" w:type="dxa"/>
            <w:vAlign w:val="bottom"/>
          </w:tcPr>
          <w:p>
            <w:pPr>
              <w:jc w:val="center"/>
              <w:ind w:left="29"/>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$647,005</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2.6x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50800</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186690</wp:posOffset>
            </wp:positionV>
            <wp:extent cx="6929755"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480"/>
            <w:col w:w="8300"/>
          </w:cols>
          <w:pgMar w:left="320" w:top="454" w:right="499" w:bottom="1440" w:gutter="0" w:footer="0" w:header="0"/>
          <w:type w:val="continuous"/>
        </w:sect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22 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Michael E. Daniels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69</w:t>
      </w:r>
    </w:p>
    <w:p>
      <w:pPr>
        <w:spacing w:after="0" w:line="64" w:lineRule="exact"/>
        <w:rPr>
          <w:sz w:val="20"/>
          <w:szCs w:val="20"/>
          <w:color w:val="auto"/>
        </w:rPr>
      </w:pPr>
    </w:p>
    <w:p>
      <w:pPr>
        <w:ind w:left="260"/>
        <w:spacing w:after="0" w:line="277" w:lineRule="auto"/>
        <w:rPr>
          <w:sz w:val="20"/>
          <w:szCs w:val="20"/>
          <w:color w:val="auto"/>
        </w:rPr>
      </w:pPr>
      <w:r>
        <w:rPr>
          <w:rFonts w:ascii="Arial" w:cs="Arial" w:eastAsia="Arial" w:hAnsi="Arial"/>
          <w:sz w:val="13"/>
          <w:szCs w:val="13"/>
          <w:color w:val="auto"/>
        </w:rPr>
        <w:t>Hilton Head Island, South Carolina, United States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Director since 2014</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Independent</w:t>
      </w:r>
    </w:p>
    <w:p>
      <w:pPr>
        <w:spacing w:after="0" w:line="64" w:lineRule="exact"/>
        <w:rPr>
          <w:sz w:val="20"/>
          <w:szCs w:val="20"/>
          <w:color w:val="auto"/>
        </w:rPr>
      </w:pPr>
    </w:p>
    <w:p>
      <w:pPr>
        <w:ind w:left="260" w:right="240"/>
        <w:spacing w:after="0" w:line="256" w:lineRule="auto"/>
        <w:rPr>
          <w:sz w:val="20"/>
          <w:szCs w:val="20"/>
          <w:color w:val="auto"/>
        </w:rPr>
      </w:pPr>
      <w:r>
        <w:rPr>
          <w:rFonts w:ascii="Arial" w:cs="Arial" w:eastAsia="Arial" w:hAnsi="Arial"/>
          <w:sz w:val="13"/>
          <w:szCs w:val="13"/>
          <w:color w:val="auto"/>
        </w:rPr>
        <w:t>Primary areas of expertise: international business, finance, operations, technology</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98.47%</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Michael E.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-127635</wp:posOffset>
            </wp:positionV>
            <wp:extent cx="6929755" cy="27768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2776855"/>
                    </a:xfrm>
                    <a:prstGeom prst="rect">
                      <a:avLst/>
                    </a:prstGeom>
                    <a:noFill/>
                  </pic:spPr>
                </pic:pic>
              </a:graphicData>
            </a:graphic>
          </wp:anchor>
        </w:drawing>
      </w:r>
    </w:p>
    <w:p>
      <w:pPr>
        <w:spacing w:after="0" w:line="23" w:lineRule="exact"/>
        <w:rPr>
          <w:sz w:val="20"/>
          <w:szCs w:val="20"/>
          <w:color w:val="auto"/>
        </w:rPr>
      </w:pPr>
    </w:p>
    <w:p>
      <w:pPr>
        <w:ind w:left="60"/>
        <w:spacing w:after="0" w:line="249" w:lineRule="auto"/>
        <w:rPr>
          <w:sz w:val="20"/>
          <w:szCs w:val="20"/>
          <w:color w:val="auto"/>
        </w:rPr>
      </w:pPr>
      <w:r>
        <w:rPr>
          <w:rFonts w:ascii="Arial" w:cs="Arial" w:eastAsia="Arial" w:hAnsi="Arial"/>
          <w:sz w:val="14"/>
          <w:szCs w:val="14"/>
          <w:color w:val="auto"/>
        </w:rPr>
        <w:t>Michael E. Daniels is a corporate director. In 2013, Mike retired as Senior Vice President and Group Executive IBM Services after 36 years with the company where he directed IBM’s consulting, systems integration, application management, cloud computing and outsourcing services around the globe. Mike also held a number of senior leadership positions in his career at IBM, including General Manager of Sales and Distribution Operations of the Americas as well as leading Global Services in the Asia Pacific region. Mike has a bachelor’s degree in political science from Holy Cross College.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Board/committee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membership</w:t>
            </w:r>
          </w:p>
        </w:tc>
        <w:tc>
          <w:tcPr>
            <w:tcW w:w="2060" w:type="dxa"/>
            <w:vAlign w:val="bottom"/>
            <w:gridSpan w:val="3"/>
          </w:tcPr>
          <w:p>
            <w:pPr>
              <w:ind w:left="62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4"/>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2140" w:type="dxa"/>
            <w:vAlign w:val="bottom"/>
            <w:tcBorders>
              <w:bottom w:val="single" w:sz="8" w:color="AFAFAF"/>
            </w:tcBorders>
          </w:tcPr>
          <w:p>
            <w:pPr>
              <w:spacing w:after="0"/>
              <w:rPr>
                <w:sz w:val="7"/>
                <w:szCs w:val="7"/>
                <w:color w:val="auto"/>
              </w:rPr>
            </w:pPr>
          </w:p>
        </w:tc>
        <w:tc>
          <w:tcPr>
            <w:tcW w:w="1000" w:type="dxa"/>
            <w:vAlign w:val="bottom"/>
            <w:tcBorders>
              <w:bottom w:val="single" w:sz="8" w:color="AFAFAF"/>
            </w:tcBorders>
          </w:tcPr>
          <w:p>
            <w:pPr>
              <w:spacing w:after="0"/>
              <w:rPr>
                <w:sz w:val="7"/>
                <w:szCs w:val="7"/>
                <w:color w:val="auto"/>
              </w:rPr>
            </w:pPr>
          </w:p>
        </w:tc>
        <w:tc>
          <w:tcPr>
            <w:tcW w:w="22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2760" w:type="dxa"/>
            <w:vAlign w:val="bottom"/>
            <w:tcBorders>
              <w:bottom w:val="single" w:sz="8" w:color="AFAFAF"/>
            </w:tcBorders>
            <w:gridSpan w:val="3"/>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2140" w:type="dxa"/>
            <w:vAlign w:val="bottom"/>
          </w:tcPr>
          <w:p>
            <w:pPr>
              <w:ind w:left="60"/>
              <w:spacing w:after="0"/>
              <w:rPr>
                <w:sz w:val="20"/>
                <w:szCs w:val="20"/>
                <w:color w:val="auto"/>
              </w:rPr>
            </w:pPr>
            <w:r>
              <w:rPr>
                <w:rFonts w:ascii="Arial" w:cs="Arial" w:eastAsia="Arial" w:hAnsi="Arial"/>
                <w:sz w:val="14"/>
                <w:szCs w:val="14"/>
                <w:color w:val="auto"/>
              </w:rPr>
              <w:t>Board</w:t>
            </w:r>
          </w:p>
        </w:tc>
        <w:tc>
          <w:tcPr>
            <w:tcW w:w="1000" w:type="dxa"/>
            <w:vAlign w:val="bottom"/>
          </w:tcPr>
          <w:p>
            <w:pPr>
              <w:ind w:left="620"/>
              <w:spacing w:after="0"/>
              <w:rPr>
                <w:sz w:val="20"/>
                <w:szCs w:val="20"/>
                <w:color w:val="auto"/>
              </w:rPr>
            </w:pPr>
            <w:r>
              <w:rPr>
                <w:rFonts w:ascii="Arial" w:cs="Arial" w:eastAsia="Arial" w:hAnsi="Arial"/>
                <w:sz w:val="14"/>
                <w:szCs w:val="14"/>
                <w:color w:val="auto"/>
              </w:rPr>
              <w:t>8 of 9</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89%</w:t>
            </w:r>
          </w:p>
        </w:tc>
        <w:tc>
          <w:tcPr>
            <w:tcW w:w="2760" w:type="dxa"/>
            <w:vAlign w:val="bottom"/>
            <w:gridSpan w:val="3"/>
          </w:tcPr>
          <w:p>
            <w:pPr>
              <w:ind w:left="60"/>
              <w:spacing w:after="0"/>
              <w:rPr>
                <w:sz w:val="20"/>
                <w:szCs w:val="20"/>
                <w:color w:val="auto"/>
              </w:rPr>
            </w:pPr>
            <w:r>
              <w:rPr>
                <w:rFonts w:ascii="Arial" w:cs="Arial" w:eastAsia="Arial" w:hAnsi="Arial"/>
                <w:sz w:val="14"/>
                <w:szCs w:val="14"/>
                <w:color w:val="auto"/>
              </w:rPr>
              <w:t>SS&amp;C Technologies Holdings, Inc.</w:t>
            </w:r>
          </w:p>
        </w:tc>
        <w:tc>
          <w:tcPr>
            <w:tcW w:w="1380" w:type="dxa"/>
            <w:vAlign w:val="bottom"/>
          </w:tcPr>
          <w:p>
            <w:pPr>
              <w:spacing w:after="0"/>
              <w:rPr>
                <w:sz w:val="15"/>
                <w:szCs w:val="15"/>
                <w:color w:val="auto"/>
              </w:rPr>
            </w:pPr>
          </w:p>
        </w:tc>
      </w:tr>
      <w:tr>
        <w:trPr>
          <w:trHeight w:val="218"/>
        </w:trPr>
        <w:tc>
          <w:tcPr>
            <w:tcW w:w="2140" w:type="dxa"/>
            <w:vAlign w:val="bottom"/>
          </w:tcPr>
          <w:p>
            <w:pPr>
              <w:ind w:left="60"/>
              <w:spacing w:after="0"/>
              <w:rPr>
                <w:sz w:val="20"/>
                <w:szCs w:val="20"/>
                <w:color w:val="auto"/>
              </w:rPr>
            </w:pPr>
            <w:r>
              <w:rPr>
                <w:rFonts w:ascii="Arial" w:cs="Arial" w:eastAsia="Arial" w:hAnsi="Arial"/>
                <w:sz w:val="14"/>
                <w:szCs w:val="14"/>
                <w:color w:val="auto"/>
              </w:rPr>
              <w:t>Audit</w:t>
            </w:r>
          </w:p>
        </w:tc>
        <w:tc>
          <w:tcPr>
            <w:tcW w:w="1000" w:type="dxa"/>
            <w:vAlign w:val="bottom"/>
          </w:tcPr>
          <w:p>
            <w:pPr>
              <w:ind w:left="620"/>
              <w:spacing w:after="0"/>
              <w:rPr>
                <w:sz w:val="20"/>
                <w:szCs w:val="20"/>
                <w:color w:val="auto"/>
              </w:rPr>
            </w:pPr>
            <w:r>
              <w:rPr>
                <w:rFonts w:ascii="Arial" w:cs="Arial" w:eastAsia="Arial" w:hAnsi="Arial"/>
                <w:sz w:val="14"/>
                <w:szCs w:val="14"/>
                <w:color w:val="auto"/>
              </w:rPr>
              <w:t>6 of 7</w:t>
            </w:r>
          </w:p>
        </w:tc>
        <w:tc>
          <w:tcPr>
            <w:tcW w:w="2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86%</w:t>
            </w:r>
          </w:p>
        </w:tc>
        <w:tc>
          <w:tcPr>
            <w:tcW w:w="2760" w:type="dxa"/>
            <w:vAlign w:val="bottom"/>
            <w:gridSpan w:val="3"/>
          </w:tcPr>
          <w:p>
            <w:pPr>
              <w:ind w:left="60"/>
              <w:spacing w:after="0"/>
              <w:rPr>
                <w:sz w:val="20"/>
                <w:szCs w:val="20"/>
                <w:color w:val="auto"/>
              </w:rPr>
            </w:pPr>
            <w:r>
              <w:rPr>
                <w:rFonts w:ascii="Arial" w:cs="Arial" w:eastAsia="Arial" w:hAnsi="Arial"/>
                <w:sz w:val="14"/>
                <w:szCs w:val="14"/>
                <w:color w:val="auto"/>
              </w:rPr>
              <w:t>Johnson Controls International plc</w:t>
            </w:r>
          </w:p>
        </w:tc>
        <w:tc>
          <w:tcPr>
            <w:tcW w:w="1380" w:type="dxa"/>
            <w:vAlign w:val="bottom"/>
          </w:tcPr>
          <w:p>
            <w:pPr>
              <w:spacing w:after="0"/>
              <w:rPr>
                <w:sz w:val="18"/>
                <w:szCs w:val="18"/>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4"/>
                <w:szCs w:val="14"/>
                <w:color w:val="auto"/>
              </w:rPr>
              <w:t>Corporate Governance</w:t>
            </w:r>
          </w:p>
        </w:tc>
        <w:tc>
          <w:tcPr>
            <w:tcW w:w="1000" w:type="dxa"/>
            <w:vAlign w:val="bottom"/>
          </w:tcPr>
          <w:p>
            <w:pPr>
              <w:ind w:left="620"/>
              <w:spacing w:after="0"/>
              <w:rPr>
                <w:sz w:val="20"/>
                <w:szCs w:val="20"/>
                <w:color w:val="auto"/>
              </w:rPr>
            </w:pPr>
            <w:r>
              <w:rPr>
                <w:rFonts w:ascii="Arial" w:cs="Arial" w:eastAsia="Arial" w:hAnsi="Arial"/>
                <w:sz w:val="14"/>
                <w:szCs w:val="14"/>
                <w:color w:val="auto"/>
              </w:rPr>
              <w:t>5 of 5</w:t>
            </w:r>
          </w:p>
        </w:tc>
        <w:tc>
          <w:tcPr>
            <w:tcW w:w="2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7"/>
        </w:trPr>
        <w:tc>
          <w:tcPr>
            <w:tcW w:w="2140" w:type="dxa"/>
            <w:vAlign w:val="bottom"/>
          </w:tcPr>
          <w:p>
            <w:pPr>
              <w:ind w:left="60"/>
              <w:spacing w:after="0"/>
              <w:rPr>
                <w:sz w:val="20"/>
                <w:szCs w:val="20"/>
                <w:color w:val="auto"/>
              </w:rPr>
            </w:pPr>
            <w:r>
              <w:rPr>
                <w:rFonts w:ascii="Arial" w:cs="Arial" w:eastAsia="Arial" w:hAnsi="Arial"/>
                <w:sz w:val="14"/>
                <w:szCs w:val="14"/>
                <w:color w:val="auto"/>
              </w:rPr>
              <w:t>HR</w:t>
            </w:r>
          </w:p>
        </w:tc>
        <w:tc>
          <w:tcPr>
            <w:tcW w:w="1000" w:type="dxa"/>
            <w:vAlign w:val="bottom"/>
          </w:tcPr>
          <w:p>
            <w:pPr>
              <w:ind w:left="620"/>
              <w:spacing w:after="0"/>
              <w:rPr>
                <w:sz w:val="20"/>
                <w:szCs w:val="20"/>
                <w:color w:val="auto"/>
              </w:rPr>
            </w:pPr>
            <w:r>
              <w:rPr>
                <w:rFonts w:ascii="Arial" w:cs="Arial" w:eastAsia="Arial" w:hAnsi="Arial"/>
                <w:sz w:val="14"/>
                <w:szCs w:val="14"/>
                <w:color w:val="auto"/>
              </w:rPr>
              <w:t>6 of 6</w:t>
            </w:r>
          </w:p>
        </w:tc>
        <w:tc>
          <w:tcPr>
            <w:tcW w:w="220" w:type="dxa"/>
            <w:vAlign w:val="bottom"/>
          </w:tcPr>
          <w:p>
            <w:pPr>
              <w:spacing w:after="0"/>
              <w:rPr>
                <w:sz w:val="23"/>
                <w:szCs w:val="23"/>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67"/>
        </w:trPr>
        <w:tc>
          <w:tcPr>
            <w:tcW w:w="2140" w:type="dxa"/>
            <w:vAlign w:val="bottom"/>
          </w:tcPr>
          <w:p>
            <w:pPr>
              <w:ind w:left="60"/>
              <w:spacing w:after="0"/>
              <w:rPr>
                <w:sz w:val="20"/>
                <w:szCs w:val="20"/>
                <w:color w:val="auto"/>
              </w:rPr>
            </w:pPr>
            <w:r>
              <w:rPr>
                <w:rFonts w:ascii="Arial" w:cs="Arial" w:eastAsia="Arial" w:hAnsi="Arial"/>
                <w:sz w:val="14"/>
                <w:szCs w:val="14"/>
                <w:color w:val="auto"/>
              </w:rPr>
              <w:t>Risk</w:t>
            </w:r>
          </w:p>
        </w:tc>
        <w:tc>
          <w:tcPr>
            <w:tcW w:w="1000" w:type="dxa"/>
            <w:vAlign w:val="bottom"/>
          </w:tcPr>
          <w:p>
            <w:pPr>
              <w:ind w:left="620"/>
              <w:spacing w:after="0"/>
              <w:rPr>
                <w:sz w:val="20"/>
                <w:szCs w:val="20"/>
                <w:color w:val="auto"/>
              </w:rPr>
            </w:pPr>
            <w:r>
              <w:rPr>
                <w:rFonts w:ascii="Arial" w:cs="Arial" w:eastAsia="Arial" w:hAnsi="Arial"/>
                <w:sz w:val="14"/>
                <w:szCs w:val="14"/>
                <w:color w:val="auto"/>
              </w:rPr>
              <w:t>4 of 4</w:t>
            </w:r>
          </w:p>
        </w:tc>
        <w:tc>
          <w:tcPr>
            <w:tcW w:w="220" w:type="dxa"/>
            <w:vAlign w:val="bottom"/>
          </w:tcPr>
          <w:p>
            <w:pPr>
              <w:spacing w:after="0"/>
              <w:rPr>
                <w:sz w:val="23"/>
                <w:szCs w:val="23"/>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88"/>
        </w:trPr>
        <w:tc>
          <w:tcPr>
            <w:tcW w:w="214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800" w:type="dxa"/>
            <w:vAlign w:val="bottom"/>
            <w:tcBorders>
              <w:bottom w:val="single" w:sz="8" w:color="AFAFAF"/>
            </w:tcBorders>
          </w:tcPr>
          <w:p>
            <w:pPr>
              <w:spacing w:after="0"/>
              <w:rPr>
                <w:sz w:val="7"/>
                <w:szCs w:val="7"/>
                <w:color w:val="auto"/>
              </w:rPr>
            </w:pPr>
          </w:p>
        </w:tc>
        <w:tc>
          <w:tcPr>
            <w:tcW w:w="10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ind w:left="620"/>
              <w:spacing w:after="0"/>
              <w:rPr>
                <w:sz w:val="20"/>
                <w:szCs w:val="20"/>
                <w:color w:val="auto"/>
              </w:rPr>
            </w:pPr>
            <w:r>
              <w:rPr>
                <w:rFonts w:ascii="Arial" w:cs="Arial" w:eastAsia="Arial" w:hAnsi="Arial"/>
                <w:sz w:val="14"/>
                <w:szCs w:val="14"/>
                <w:b w:val="1"/>
                <w:bCs w:val="1"/>
                <w:color w:val="auto"/>
              </w:rPr>
              <w:t>29 of 31</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94%</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2"/>
        </w:trPr>
        <w:tc>
          <w:tcPr>
            <w:tcW w:w="2140" w:type="dxa"/>
            <w:vAlign w:val="bottom"/>
            <w:tcBorders>
              <w:bottom w:val="single" w:sz="8" w:color="AFAFAF"/>
            </w:tcBorders>
          </w:tcPr>
          <w:p>
            <w:pPr>
              <w:spacing w:after="0"/>
              <w:rPr>
                <w:sz w:val="6"/>
                <w:szCs w:val="6"/>
                <w:color w:val="auto"/>
              </w:rPr>
            </w:pPr>
          </w:p>
        </w:tc>
        <w:tc>
          <w:tcPr>
            <w:tcW w:w="1000" w:type="dxa"/>
            <w:vAlign w:val="bottom"/>
            <w:tcBorders>
              <w:bottom w:val="single" w:sz="8" w:color="AFAFAF"/>
            </w:tcBorders>
          </w:tcPr>
          <w:p>
            <w:pPr>
              <w:spacing w:after="0"/>
              <w:rPr>
                <w:sz w:val="6"/>
                <w:szCs w:val="6"/>
                <w:color w:val="auto"/>
              </w:rPr>
            </w:pPr>
          </w:p>
        </w:tc>
        <w:tc>
          <w:tcPr>
            <w:tcW w:w="220" w:type="dxa"/>
            <w:vAlign w:val="bottom"/>
            <w:tcBorders>
              <w:bottom w:val="single" w:sz="8" w:color="AFAFAF"/>
            </w:tcBorders>
          </w:tcPr>
          <w:p>
            <w:pPr>
              <w:spacing w:after="0"/>
              <w:rPr>
                <w:sz w:val="6"/>
                <w:szCs w:val="6"/>
                <w:color w:val="auto"/>
              </w:rPr>
            </w:pPr>
          </w:p>
        </w:tc>
        <w:tc>
          <w:tcPr>
            <w:tcW w:w="840" w:type="dxa"/>
            <w:vAlign w:val="bottom"/>
            <w:tcBorders>
              <w:bottom w:val="single" w:sz="8" w:color="AFAFAF"/>
            </w:tcBorders>
          </w:tcPr>
          <w:p>
            <w:pPr>
              <w:spacing w:after="0"/>
              <w:rPr>
                <w:sz w:val="6"/>
                <w:szCs w:val="6"/>
                <w:color w:val="auto"/>
              </w:rPr>
            </w:pPr>
          </w:p>
        </w:tc>
        <w:tc>
          <w:tcPr>
            <w:tcW w:w="800" w:type="dxa"/>
            <w:vAlign w:val="bottom"/>
            <w:tcBorders>
              <w:bottom w:val="single" w:sz="8" w:color="AFAFAF"/>
            </w:tcBorders>
          </w:tcPr>
          <w:p>
            <w:pPr>
              <w:spacing w:after="0"/>
              <w:rPr>
                <w:sz w:val="6"/>
                <w:szCs w:val="6"/>
                <w:color w:val="auto"/>
              </w:rPr>
            </w:pPr>
          </w:p>
        </w:tc>
        <w:tc>
          <w:tcPr>
            <w:tcW w:w="102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1380" w:type="dxa"/>
            <w:vAlign w:val="bottom"/>
            <w:tcBorders>
              <w:bottom w:val="single" w:sz="8" w:color="AFAFAF"/>
            </w:tcBorders>
          </w:tcPr>
          <w:p>
            <w:pPr>
              <w:spacing w:after="0"/>
              <w:rPr>
                <w:sz w:val="6"/>
                <w:szCs w:val="6"/>
                <w:color w:val="auto"/>
              </w:rPr>
            </w:pPr>
          </w:p>
        </w:tc>
      </w:tr>
      <w:tr>
        <w:trPr>
          <w:trHeight w:val="145"/>
        </w:trPr>
        <w:tc>
          <w:tcPr>
            <w:tcW w:w="214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Securities held</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Ownership multiple</w:t>
            </w:r>
          </w:p>
        </w:tc>
      </w:tr>
      <w:tr>
        <w:trPr>
          <w:trHeight w:val="195"/>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(number and value)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2140" w:type="dxa"/>
            <w:vAlign w:val="bottom"/>
            <w:tcBorders>
              <w:bottom w:val="single" w:sz="8" w:color="AFAFAF"/>
            </w:tcBorders>
          </w:tcPr>
          <w:p>
            <w:pPr>
              <w:spacing w:after="0"/>
              <w:rPr>
                <w:sz w:val="8"/>
                <w:szCs w:val="8"/>
                <w:color w:val="auto"/>
              </w:rPr>
            </w:pPr>
          </w:p>
        </w:tc>
        <w:tc>
          <w:tcPr>
            <w:tcW w:w="1000" w:type="dxa"/>
            <w:vAlign w:val="bottom"/>
            <w:tcBorders>
              <w:bottom w:val="single" w:sz="8" w:color="AFAFAF"/>
            </w:tcBorders>
          </w:tcPr>
          <w:p>
            <w:pPr>
              <w:spacing w:after="0"/>
              <w:rPr>
                <w:sz w:val="8"/>
                <w:szCs w:val="8"/>
                <w:color w:val="auto"/>
              </w:rPr>
            </w:pPr>
          </w:p>
        </w:tc>
        <w:tc>
          <w:tcPr>
            <w:tcW w:w="220" w:type="dxa"/>
            <w:vAlign w:val="bottom"/>
            <w:tcBorders>
              <w:bottom w:val="single" w:sz="8" w:color="AFAFAF"/>
            </w:tcBorders>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800" w:type="dxa"/>
            <w:vAlign w:val="bottom"/>
            <w:tcBorders>
              <w:bottom w:val="single" w:sz="8" w:color="AFAFAF"/>
            </w:tcBorders>
          </w:tcPr>
          <w:p>
            <w:pPr>
              <w:spacing w:after="0"/>
              <w:rPr>
                <w:sz w:val="8"/>
                <w:szCs w:val="8"/>
                <w:color w:val="auto"/>
              </w:rPr>
            </w:pPr>
          </w:p>
        </w:tc>
        <w:tc>
          <w:tcPr>
            <w:tcW w:w="102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2140" w:type="dxa"/>
            <w:vAlign w:val="bottom"/>
          </w:tcPr>
          <w:p>
            <w:pPr>
              <w:ind w:left="60"/>
              <w:spacing w:after="0" w:line="145" w:lineRule="exact"/>
              <w:rPr>
                <w:sz w:val="20"/>
                <w:szCs w:val="20"/>
                <w:color w:val="auto"/>
              </w:rPr>
            </w:pPr>
            <w:r>
              <w:rPr>
                <w:rFonts w:ascii="Arial" w:cs="Arial" w:eastAsia="Arial" w:hAnsi="Arial"/>
                <w:sz w:val="14"/>
                <w:szCs w:val="14"/>
                <w:color w:val="auto"/>
              </w:rPr>
              <w:t>Common shares</w:t>
            </w:r>
          </w:p>
        </w:tc>
        <w:tc>
          <w:tcPr>
            <w:tcW w:w="1000" w:type="dxa"/>
            <w:vAlign w:val="bottom"/>
          </w:tcPr>
          <w:p>
            <w:pPr>
              <w:ind w:left="620"/>
              <w:spacing w:after="0" w:line="145" w:lineRule="exact"/>
              <w:rPr>
                <w:sz w:val="20"/>
                <w:szCs w:val="20"/>
                <w:color w:val="auto"/>
              </w:rPr>
            </w:pPr>
            <w:r>
              <w:rPr>
                <w:rFonts w:ascii="Arial" w:cs="Arial" w:eastAsia="Arial" w:hAnsi="Arial"/>
                <w:sz w:val="14"/>
                <w:szCs w:val="14"/>
                <w:color w:val="auto"/>
                <w:w w:val="98"/>
              </w:rPr>
              <w:t>RSUs</w:t>
            </w:r>
          </w:p>
        </w:tc>
        <w:tc>
          <w:tcPr>
            <w:tcW w:w="22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800" w:type="dxa"/>
            <w:vAlign w:val="bottom"/>
          </w:tcPr>
          <w:p>
            <w:pPr>
              <w:jc w:val="center"/>
              <w:ind w:left="9"/>
              <w:spacing w:after="0" w:line="145" w:lineRule="exact"/>
              <w:rPr>
                <w:sz w:val="20"/>
                <w:szCs w:val="20"/>
                <w:color w:val="auto"/>
              </w:rPr>
            </w:pPr>
            <w:r>
              <w:rPr>
                <w:rFonts w:ascii="Arial" w:cs="Arial" w:eastAsia="Arial" w:hAnsi="Arial"/>
                <w:sz w:val="14"/>
                <w:szCs w:val="14"/>
                <w:color w:val="auto"/>
                <w:w w:val="99"/>
              </w:rPr>
              <w:t>Options</w:t>
            </w: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9"/>
        </w:trPr>
        <w:tc>
          <w:tcPr>
            <w:tcW w:w="2140" w:type="dxa"/>
            <w:vAlign w:val="bottom"/>
          </w:tcPr>
          <w:p>
            <w:pPr>
              <w:ind w:left="60"/>
              <w:spacing w:after="0"/>
              <w:rPr>
                <w:sz w:val="20"/>
                <w:szCs w:val="20"/>
                <w:color w:val="auto"/>
              </w:rPr>
            </w:pPr>
            <w:r>
              <w:rPr>
                <w:rFonts w:ascii="Arial" w:cs="Arial" w:eastAsia="Arial" w:hAnsi="Arial"/>
                <w:sz w:val="14"/>
                <w:szCs w:val="14"/>
                <w:color w:val="auto"/>
              </w:rPr>
              <w:t>2,924</w:t>
            </w:r>
          </w:p>
        </w:tc>
        <w:tc>
          <w:tcPr>
            <w:tcW w:w="1000" w:type="dxa"/>
            <w:vAlign w:val="bottom"/>
          </w:tcPr>
          <w:p>
            <w:pPr>
              <w:ind w:left="780"/>
              <w:spacing w:after="0"/>
              <w:rPr>
                <w:sz w:val="20"/>
                <w:szCs w:val="20"/>
                <w:color w:val="auto"/>
              </w:rPr>
            </w:pPr>
            <w:r>
              <w:rPr>
                <w:rFonts w:ascii="Arial" w:cs="Arial" w:eastAsia="Arial" w:hAnsi="Arial"/>
                <w:sz w:val="14"/>
                <w:szCs w:val="14"/>
                <w:color w:val="auto"/>
                <w:w w:val="91"/>
              </w:rPr>
              <w:t>– </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color w:val="auto"/>
              </w:rPr>
              <w:t>40,065</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1020" w:type="dxa"/>
            <w:vAlign w:val="bottom"/>
          </w:tcPr>
          <w:p>
            <w:pPr>
              <w:ind w:left="140"/>
              <w:spacing w:after="0"/>
              <w:rPr>
                <w:sz w:val="20"/>
                <w:szCs w:val="20"/>
                <w:color w:val="auto"/>
              </w:rPr>
            </w:pPr>
            <w:r>
              <w:rPr>
                <w:rFonts w:ascii="Arial" w:cs="Arial" w:eastAsia="Arial" w:hAnsi="Arial"/>
                <w:sz w:val="14"/>
                <w:szCs w:val="14"/>
                <w:color w:val="auto"/>
              </w:rPr>
              <w:t>42,989</w:t>
            </w: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01"/>
        </w:trPr>
        <w:tc>
          <w:tcPr>
            <w:tcW w:w="2140" w:type="dxa"/>
            <w:vAlign w:val="bottom"/>
            <w:tcBorders>
              <w:bottom w:val="single" w:sz="8" w:color="AFAFAF"/>
            </w:tcBorders>
          </w:tcPr>
          <w:p>
            <w:pPr>
              <w:spacing w:after="0"/>
              <w:rPr>
                <w:sz w:val="8"/>
                <w:szCs w:val="8"/>
                <w:color w:val="auto"/>
              </w:rPr>
            </w:pPr>
          </w:p>
        </w:tc>
        <w:tc>
          <w:tcPr>
            <w:tcW w:w="1000" w:type="dxa"/>
            <w:vAlign w:val="bottom"/>
            <w:tcBorders>
              <w:bottom w:val="single" w:sz="8" w:color="AFAFAF"/>
            </w:tcBorders>
          </w:tcPr>
          <w:p>
            <w:pPr>
              <w:spacing w:after="0"/>
              <w:rPr>
                <w:sz w:val="8"/>
                <w:szCs w:val="8"/>
                <w:color w:val="auto"/>
              </w:rPr>
            </w:pPr>
          </w:p>
        </w:tc>
        <w:tc>
          <w:tcPr>
            <w:tcW w:w="220" w:type="dxa"/>
            <w:vAlign w:val="bottom"/>
            <w:tcBorders>
              <w:bottom w:val="single" w:sz="8" w:color="AFAFAF"/>
            </w:tcBorders>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800" w:type="dxa"/>
            <w:vAlign w:val="bottom"/>
            <w:tcBorders>
              <w:bottom w:val="single" w:sz="8" w:color="AFAFAF"/>
            </w:tcBorders>
          </w:tcPr>
          <w:p>
            <w:pPr>
              <w:spacing w:after="0"/>
              <w:rPr>
                <w:sz w:val="8"/>
                <w:szCs w:val="8"/>
                <w:color w:val="auto"/>
              </w:rPr>
            </w:pPr>
          </w:p>
        </w:tc>
        <w:tc>
          <w:tcPr>
            <w:tcW w:w="102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80"/>
        </w:trPr>
        <w:tc>
          <w:tcPr>
            <w:tcW w:w="2140" w:type="dxa"/>
            <w:vAlign w:val="bottom"/>
          </w:tcPr>
          <w:p>
            <w:pPr>
              <w:ind w:left="60"/>
              <w:spacing w:after="0"/>
              <w:rPr>
                <w:sz w:val="20"/>
                <w:szCs w:val="20"/>
                <w:color w:val="auto"/>
              </w:rPr>
            </w:pPr>
            <w:r>
              <w:rPr>
                <w:rFonts w:ascii="Arial" w:cs="Arial" w:eastAsia="Arial" w:hAnsi="Arial"/>
                <w:sz w:val="14"/>
                <w:szCs w:val="14"/>
                <w:i w:val="1"/>
                <w:iCs w:val="1"/>
                <w:color w:val="auto"/>
              </w:rPr>
              <w:t>$445,559</w:t>
            </w:r>
          </w:p>
        </w:tc>
        <w:tc>
          <w:tcPr>
            <w:tcW w:w="1000" w:type="dxa"/>
            <w:vAlign w:val="bottom"/>
          </w:tcPr>
          <w:p>
            <w:pPr>
              <w:ind w:left="780"/>
              <w:spacing w:after="0"/>
              <w:rPr>
                <w:sz w:val="20"/>
                <w:szCs w:val="20"/>
                <w:color w:val="auto"/>
              </w:rPr>
            </w:pPr>
            <w:r>
              <w:rPr>
                <w:rFonts w:ascii="Arial" w:cs="Arial" w:eastAsia="Arial" w:hAnsi="Arial"/>
                <w:sz w:val="14"/>
                <w:szCs w:val="14"/>
                <w:i w:val="1"/>
                <w:iCs w:val="1"/>
                <w:color w:val="auto"/>
                <w:w w:val="91"/>
              </w:rPr>
              <w:t>– </w:t>
            </w:r>
          </w:p>
        </w:tc>
        <w:tc>
          <w:tcPr>
            <w:tcW w:w="220" w:type="dxa"/>
            <w:vAlign w:val="bottom"/>
          </w:tcPr>
          <w:p>
            <w:pPr>
              <w:spacing w:after="0"/>
              <w:rPr>
                <w:sz w:val="20"/>
                <w:szCs w:val="20"/>
                <w:color w:val="auto"/>
              </w:rPr>
            </w:pPr>
            <w:r>
              <w:rPr>
                <w:rFonts w:ascii="Arial" w:cs="Arial" w:eastAsia="Arial" w:hAnsi="Arial"/>
                <w:sz w:val="14"/>
                <w:szCs w:val="14"/>
                <w:i w:val="1"/>
                <w:iCs w:val="1"/>
                <w:color w:val="auto"/>
              </w:rPr>
              <w:t>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$6,105,105</w:t>
            </w:r>
          </w:p>
        </w:tc>
        <w:tc>
          <w:tcPr>
            <w:tcW w:w="800" w:type="dxa"/>
            <w:vAlign w:val="bottom"/>
          </w:tcPr>
          <w:p>
            <w:pPr>
              <w:jc w:val="center"/>
              <w:ind w:left="9"/>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$6,550,664</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26.2x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00"/>
            <w:col w:w="8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Kirk Koenigsbauer</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56</w:t>
      </w:r>
    </w:p>
    <w:p>
      <w:pPr>
        <w:spacing w:after="0" w:line="64" w:lineRule="exact"/>
        <w:rPr>
          <w:sz w:val="20"/>
          <w:szCs w:val="20"/>
          <w:color w:val="auto"/>
        </w:rPr>
      </w:pPr>
    </w:p>
    <w:p>
      <w:pPr>
        <w:ind w:left="260"/>
        <w:spacing w:after="0" w:line="405" w:lineRule="auto"/>
        <w:rPr>
          <w:sz w:val="20"/>
          <w:szCs w:val="20"/>
          <w:color w:val="auto"/>
        </w:rPr>
      </w:pPr>
      <w:r>
        <w:rPr>
          <w:rFonts w:ascii="Arial" w:cs="Arial" w:eastAsia="Arial" w:hAnsi="Arial"/>
          <w:sz w:val="13"/>
          <w:szCs w:val="13"/>
          <w:color w:val="auto"/>
        </w:rPr>
        <w:t>Seattle, Washington, United States Director since 2020 Independent</w:t>
      </w:r>
    </w:p>
    <w:p>
      <w:pPr>
        <w:spacing w:after="0" w:line="137" w:lineRule="exact"/>
        <w:rPr>
          <w:sz w:val="20"/>
          <w:szCs w:val="20"/>
          <w:color w:val="auto"/>
        </w:rPr>
      </w:pPr>
    </w:p>
    <w:p>
      <w:pPr>
        <w:ind w:left="260" w:right="220"/>
        <w:spacing w:after="0" w:line="256" w:lineRule="auto"/>
        <w:rPr>
          <w:sz w:val="20"/>
          <w:szCs w:val="20"/>
          <w:color w:val="auto"/>
        </w:rPr>
      </w:pPr>
      <w:r>
        <w:rPr>
          <w:rFonts w:ascii="Arial" w:cs="Arial" w:eastAsia="Arial" w:hAnsi="Arial"/>
          <w:sz w:val="13"/>
          <w:szCs w:val="13"/>
          <w:color w:val="auto"/>
        </w:rPr>
        <w:t>Primary areas of expertise: technology, operations, sales &amp; marketing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99.88%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Kirk Koenigsbauer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-127635</wp:posOffset>
            </wp:positionV>
            <wp:extent cx="6929755" cy="259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2590165"/>
                    </a:xfrm>
                    <a:prstGeom prst="rect">
                      <a:avLst/>
                    </a:prstGeom>
                    <a:noFill/>
                  </pic:spPr>
                </pic:pic>
              </a:graphicData>
            </a:graphic>
          </wp:anchor>
        </w:drawing>
      </w:r>
    </w:p>
    <w:p>
      <w:pPr>
        <w:spacing w:after="0" w:line="23" w:lineRule="exact"/>
        <w:rPr>
          <w:sz w:val="20"/>
          <w:szCs w:val="20"/>
          <w:color w:val="auto"/>
        </w:rPr>
      </w:pPr>
    </w:p>
    <w:p>
      <w:pPr>
        <w:ind w:left="40" w:right="60"/>
        <w:spacing w:after="0" w:line="246" w:lineRule="auto"/>
        <w:rPr>
          <w:sz w:val="20"/>
          <w:szCs w:val="20"/>
          <w:color w:val="auto"/>
        </w:rPr>
      </w:pPr>
      <w:r>
        <w:rPr>
          <w:rFonts w:ascii="Arial" w:cs="Arial" w:eastAsia="Arial" w:hAnsi="Arial"/>
          <w:sz w:val="14"/>
          <w:szCs w:val="14"/>
          <w:color w:val="auto"/>
        </w:rPr>
        <w:t>Kirk Koenigsbauer has been Chief Operating Officer &amp; Corporate Vice President, Experiences and Devices Group at Microsoft Corporation since February 2020. From December 2016 to February 2020, he was Corporate Vice President, Microsoft 365 and from July 2012 to November 2016, he was Corporate Vice President, Office Apps Engineering, at Microsoft. Prior to that, he was Corporate Vice President, Office Product Management at Microsoft from June 2002 to July 2012. Kirk worked at Amazon.com from 1998 to 2001 where he held the roles of General Manager, Software &amp; Video Games Stores and Director of Product Management, Auctions. Kirk also worked at Microsoft from 1992 to 1998 and as a consultant at Accenture from 1989 to 1991. Kirk has a bachelor’s degree from Colby College.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membership</w:t>
            </w:r>
          </w:p>
        </w:tc>
        <w:tc>
          <w:tcPr>
            <w:tcW w:w="2140" w:type="dxa"/>
            <w:vAlign w:val="bottom"/>
            <w:gridSpan w:val="2"/>
          </w:tcPr>
          <w:p>
            <w:pPr>
              <w:ind w:left="70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4"/>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2060" w:type="dxa"/>
            <w:vAlign w:val="bottom"/>
            <w:tcBorders>
              <w:bottom w:val="single" w:sz="8" w:color="AFAFAF"/>
            </w:tcBorders>
          </w:tcPr>
          <w:p>
            <w:pPr>
              <w:spacing w:after="0"/>
              <w:rPr>
                <w:sz w:val="7"/>
                <w:szCs w:val="7"/>
                <w:color w:val="auto"/>
              </w:rPr>
            </w:pPr>
          </w:p>
        </w:tc>
        <w:tc>
          <w:tcPr>
            <w:tcW w:w="130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74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2060" w:type="dxa"/>
            <w:vAlign w:val="bottom"/>
          </w:tcPr>
          <w:p>
            <w:pPr>
              <w:ind w:left="40"/>
              <w:spacing w:after="0"/>
              <w:rPr>
                <w:sz w:val="20"/>
                <w:szCs w:val="20"/>
                <w:color w:val="auto"/>
              </w:rPr>
            </w:pPr>
            <w:r>
              <w:rPr>
                <w:rFonts w:ascii="Arial" w:cs="Arial" w:eastAsia="Arial" w:hAnsi="Arial"/>
                <w:sz w:val="14"/>
                <w:szCs w:val="14"/>
                <w:color w:val="auto"/>
              </w:rPr>
              <w:t>Board</w:t>
            </w:r>
          </w:p>
        </w:tc>
        <w:tc>
          <w:tcPr>
            <w:tcW w:w="1300" w:type="dxa"/>
            <w:vAlign w:val="bottom"/>
          </w:tcPr>
          <w:p>
            <w:pPr>
              <w:ind w:left="700"/>
              <w:spacing w:after="0"/>
              <w:rPr>
                <w:sz w:val="20"/>
                <w:szCs w:val="20"/>
                <w:color w:val="auto"/>
              </w:rPr>
            </w:pPr>
            <w:r>
              <w:rPr>
                <w:rFonts w:ascii="Arial" w:cs="Arial" w:eastAsia="Arial" w:hAnsi="Arial"/>
                <w:sz w:val="14"/>
                <w:szCs w:val="14"/>
                <w:color w:val="auto"/>
              </w:rPr>
              <w:t>8 of 9</w:t>
            </w:r>
          </w:p>
        </w:tc>
        <w:tc>
          <w:tcPr>
            <w:tcW w:w="840" w:type="dxa"/>
            <w:vAlign w:val="bottom"/>
          </w:tcPr>
          <w:p>
            <w:pPr>
              <w:ind w:left="80"/>
              <w:spacing w:after="0"/>
              <w:rPr>
                <w:sz w:val="20"/>
                <w:szCs w:val="20"/>
                <w:color w:val="auto"/>
              </w:rPr>
            </w:pPr>
            <w:r>
              <w:rPr>
                <w:rFonts w:ascii="Arial" w:cs="Arial" w:eastAsia="Arial" w:hAnsi="Arial"/>
                <w:sz w:val="14"/>
                <w:szCs w:val="14"/>
                <w:color w:val="auto"/>
              </w:rPr>
              <w:t>89%</w:t>
            </w:r>
          </w:p>
        </w:tc>
        <w:tc>
          <w:tcPr>
            <w:tcW w:w="740" w:type="dxa"/>
            <w:vAlign w:val="bottom"/>
          </w:tcPr>
          <w:p>
            <w:pPr>
              <w:spacing w:after="0"/>
              <w:rPr>
                <w:sz w:val="15"/>
                <w:szCs w:val="15"/>
                <w:color w:val="auto"/>
              </w:rPr>
            </w:pPr>
          </w:p>
        </w:tc>
        <w:tc>
          <w:tcPr>
            <w:tcW w:w="1080" w:type="dxa"/>
            <w:vAlign w:val="bottom"/>
          </w:tcPr>
          <w:p>
            <w:pPr>
              <w:ind w:left="6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2060" w:type="dxa"/>
            <w:vAlign w:val="bottom"/>
          </w:tcPr>
          <w:p>
            <w:pPr>
              <w:ind w:left="40"/>
              <w:spacing w:after="0"/>
              <w:rPr>
                <w:sz w:val="20"/>
                <w:szCs w:val="20"/>
                <w:color w:val="auto"/>
              </w:rPr>
            </w:pPr>
            <w:r>
              <w:rPr>
                <w:rFonts w:ascii="Arial" w:cs="Arial" w:eastAsia="Arial" w:hAnsi="Arial"/>
                <w:sz w:val="14"/>
                <w:szCs w:val="14"/>
                <w:color w:val="auto"/>
              </w:rPr>
              <w:t>HR</w:t>
            </w:r>
          </w:p>
        </w:tc>
        <w:tc>
          <w:tcPr>
            <w:tcW w:w="1300" w:type="dxa"/>
            <w:vAlign w:val="bottom"/>
          </w:tcPr>
          <w:p>
            <w:pPr>
              <w:ind w:left="700"/>
              <w:spacing w:after="0"/>
              <w:rPr>
                <w:sz w:val="20"/>
                <w:szCs w:val="20"/>
                <w:color w:val="auto"/>
              </w:rPr>
            </w:pPr>
            <w:r>
              <w:rPr>
                <w:rFonts w:ascii="Arial" w:cs="Arial" w:eastAsia="Arial" w:hAnsi="Arial"/>
                <w:sz w:val="14"/>
                <w:szCs w:val="14"/>
                <w:color w:val="auto"/>
              </w:rPr>
              <w:t>6 of 6</w:t>
            </w: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2060" w:type="dxa"/>
            <w:vAlign w:val="bottom"/>
          </w:tcPr>
          <w:p>
            <w:pPr>
              <w:ind w:left="40"/>
              <w:spacing w:after="0"/>
              <w:rPr>
                <w:sz w:val="20"/>
                <w:szCs w:val="20"/>
                <w:color w:val="auto"/>
              </w:rPr>
            </w:pPr>
            <w:r>
              <w:rPr>
                <w:rFonts w:ascii="Arial" w:cs="Arial" w:eastAsia="Arial" w:hAnsi="Arial"/>
                <w:sz w:val="14"/>
                <w:szCs w:val="14"/>
                <w:color w:val="auto"/>
              </w:rPr>
              <w:t>Risk</w:t>
            </w:r>
          </w:p>
        </w:tc>
        <w:tc>
          <w:tcPr>
            <w:tcW w:w="1300" w:type="dxa"/>
            <w:vAlign w:val="bottom"/>
          </w:tcPr>
          <w:p>
            <w:pPr>
              <w:ind w:left="700"/>
              <w:spacing w:after="0"/>
              <w:rPr>
                <w:sz w:val="20"/>
                <w:szCs w:val="20"/>
                <w:color w:val="auto"/>
              </w:rPr>
            </w:pPr>
            <w:r>
              <w:rPr>
                <w:rFonts w:ascii="Arial" w:cs="Arial" w:eastAsia="Arial" w:hAnsi="Arial"/>
                <w:sz w:val="14"/>
                <w:szCs w:val="14"/>
                <w:color w:val="auto"/>
              </w:rPr>
              <w:t>4 of 4</w:t>
            </w: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8"/>
        </w:trPr>
        <w:tc>
          <w:tcPr>
            <w:tcW w:w="2060" w:type="dxa"/>
            <w:vAlign w:val="bottom"/>
            <w:tcBorders>
              <w:bottom w:val="single" w:sz="8" w:color="AFAFAF"/>
            </w:tcBorders>
          </w:tcPr>
          <w:p>
            <w:pPr>
              <w:spacing w:after="0"/>
              <w:rPr>
                <w:sz w:val="4"/>
                <w:szCs w:val="4"/>
                <w:color w:val="auto"/>
              </w:rPr>
            </w:pPr>
          </w:p>
        </w:tc>
        <w:tc>
          <w:tcPr>
            <w:tcW w:w="1300" w:type="dxa"/>
            <w:vAlign w:val="bottom"/>
            <w:tcBorders>
              <w:bottom w:val="single" w:sz="8" w:color="AFAFAF"/>
            </w:tcBorders>
          </w:tcPr>
          <w:p>
            <w:pPr>
              <w:spacing w:after="0"/>
              <w:rPr>
                <w:sz w:val="4"/>
                <w:szCs w:val="4"/>
                <w:color w:val="auto"/>
              </w:rPr>
            </w:pPr>
          </w:p>
        </w:tc>
        <w:tc>
          <w:tcPr>
            <w:tcW w:w="840" w:type="dxa"/>
            <w:vAlign w:val="bottom"/>
            <w:tcBorders>
              <w:bottom w:val="single" w:sz="8" w:color="AFAFAF"/>
            </w:tcBorders>
          </w:tcPr>
          <w:p>
            <w:pPr>
              <w:spacing w:after="0"/>
              <w:rPr>
                <w:sz w:val="4"/>
                <w:szCs w:val="4"/>
                <w:color w:val="auto"/>
              </w:rPr>
            </w:pPr>
          </w:p>
        </w:tc>
        <w:tc>
          <w:tcPr>
            <w:tcW w:w="740" w:type="dxa"/>
            <w:vAlign w:val="bottom"/>
            <w:tcBorders>
              <w:bottom w:val="single" w:sz="8" w:color="AFAFAF"/>
            </w:tcBorders>
          </w:tcPr>
          <w:p>
            <w:pPr>
              <w:spacing w:after="0"/>
              <w:rPr>
                <w:sz w:val="4"/>
                <w:szCs w:val="4"/>
                <w:color w:val="auto"/>
              </w:rPr>
            </w:pPr>
          </w:p>
        </w:tc>
        <w:tc>
          <w:tcPr>
            <w:tcW w:w="1080" w:type="dxa"/>
            <w:vAlign w:val="bottom"/>
            <w:tcBorders>
              <w:bottom w:val="single" w:sz="8" w:color="AFAFAF"/>
            </w:tcBorders>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r>
      <w:tr>
        <w:trPr>
          <w:trHeight w:val="188"/>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ind w:left="700"/>
              <w:spacing w:after="0"/>
              <w:rPr>
                <w:sz w:val="20"/>
                <w:szCs w:val="20"/>
                <w:color w:val="auto"/>
              </w:rPr>
            </w:pPr>
            <w:r>
              <w:rPr>
                <w:rFonts w:ascii="Arial" w:cs="Arial" w:eastAsia="Arial" w:hAnsi="Arial"/>
                <w:sz w:val="14"/>
                <w:szCs w:val="14"/>
                <w:b w:val="1"/>
                <w:bCs w:val="1"/>
                <w:color w:val="auto"/>
              </w:rPr>
              <w:t>18 of 19</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95%</w:t>
            </w: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
        </w:trPr>
        <w:tc>
          <w:tcPr>
            <w:tcW w:w="2060" w:type="dxa"/>
            <w:vAlign w:val="bottom"/>
            <w:tcBorders>
              <w:bottom w:val="single" w:sz="8" w:color="AFAFAF"/>
            </w:tcBorders>
          </w:tcPr>
          <w:p>
            <w:pPr>
              <w:spacing w:after="0"/>
              <w:rPr>
                <w:sz w:val="2"/>
                <w:szCs w:val="2"/>
                <w:color w:val="auto"/>
              </w:rPr>
            </w:pPr>
          </w:p>
        </w:tc>
        <w:tc>
          <w:tcPr>
            <w:tcW w:w="1300" w:type="dxa"/>
            <w:vAlign w:val="bottom"/>
            <w:tcBorders>
              <w:bottom w:val="single" w:sz="8" w:color="AFAFAF"/>
            </w:tcBorders>
          </w:tcPr>
          <w:p>
            <w:pPr>
              <w:spacing w:after="0"/>
              <w:rPr>
                <w:sz w:val="2"/>
                <w:szCs w:val="2"/>
                <w:color w:val="auto"/>
              </w:rPr>
            </w:pPr>
          </w:p>
        </w:tc>
        <w:tc>
          <w:tcPr>
            <w:tcW w:w="840" w:type="dxa"/>
            <w:vAlign w:val="bottom"/>
            <w:tcBorders>
              <w:bottom w:val="single" w:sz="8" w:color="AFAFAF"/>
            </w:tcBorders>
          </w:tcPr>
          <w:p>
            <w:pPr>
              <w:spacing w:after="0"/>
              <w:rPr>
                <w:sz w:val="2"/>
                <w:szCs w:val="2"/>
                <w:color w:val="auto"/>
              </w:rPr>
            </w:pPr>
          </w:p>
        </w:tc>
        <w:tc>
          <w:tcPr>
            <w:tcW w:w="740" w:type="dxa"/>
            <w:vAlign w:val="bottom"/>
            <w:tcBorders>
              <w:bottom w:val="single" w:sz="8" w:color="AFAFAF"/>
            </w:tcBorders>
          </w:tcPr>
          <w:p>
            <w:pPr>
              <w:spacing w:after="0"/>
              <w:rPr>
                <w:sz w:val="2"/>
                <w:szCs w:val="2"/>
                <w:color w:val="auto"/>
              </w:rPr>
            </w:pPr>
          </w:p>
        </w:tc>
        <w:tc>
          <w:tcPr>
            <w:tcW w:w="1080" w:type="dxa"/>
            <w:vAlign w:val="bottom"/>
            <w:tcBorders>
              <w:bottom w:val="single" w:sz="8" w:color="AFAFAF"/>
            </w:tcBorders>
          </w:tcPr>
          <w:p>
            <w:pPr>
              <w:spacing w:after="0"/>
              <w:rPr>
                <w:sz w:val="2"/>
                <w:szCs w:val="2"/>
                <w:color w:val="auto"/>
              </w:rPr>
            </w:pPr>
          </w:p>
        </w:tc>
        <w:tc>
          <w:tcPr>
            <w:tcW w:w="940" w:type="dxa"/>
            <w:vAlign w:val="bottom"/>
            <w:tcBorders>
              <w:bottom w:val="single" w:sz="8" w:color="AFAFAF"/>
            </w:tcBorders>
          </w:tcPr>
          <w:p>
            <w:pPr>
              <w:spacing w:after="0"/>
              <w:rPr>
                <w:sz w:val="2"/>
                <w:szCs w:val="2"/>
                <w:color w:val="auto"/>
              </w:rPr>
            </w:pPr>
          </w:p>
        </w:tc>
        <w:tc>
          <w:tcPr>
            <w:tcW w:w="1380" w:type="dxa"/>
            <w:vAlign w:val="bottom"/>
            <w:tcBorders>
              <w:bottom w:val="single" w:sz="8" w:color="AFAFAF"/>
            </w:tcBorders>
          </w:tcPr>
          <w:p>
            <w:pPr>
              <w:spacing w:after="0"/>
              <w:rPr>
                <w:sz w:val="2"/>
                <w:szCs w:val="2"/>
                <w:color w:val="auto"/>
              </w:rPr>
            </w:pPr>
          </w:p>
        </w:tc>
      </w:tr>
      <w:tr>
        <w:trPr>
          <w:trHeight w:val="145"/>
        </w:trPr>
        <w:tc>
          <w:tcPr>
            <w:tcW w:w="206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Securities held</w:t>
            </w: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ind w:left="200"/>
              <w:spacing w:after="0" w:line="145"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Ownership multiple</w:t>
            </w:r>
          </w:p>
        </w:tc>
      </w:tr>
      <w:tr>
        <w:trPr>
          <w:trHeight w:val="208"/>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(number and value)</w:t>
            </w: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82"/>
        </w:trPr>
        <w:tc>
          <w:tcPr>
            <w:tcW w:w="2060" w:type="dxa"/>
            <w:vAlign w:val="bottom"/>
            <w:tcBorders>
              <w:bottom w:val="single" w:sz="8" w:color="AFAFAF"/>
            </w:tcBorders>
          </w:tcPr>
          <w:p>
            <w:pPr>
              <w:spacing w:after="0"/>
              <w:rPr>
                <w:sz w:val="7"/>
                <w:szCs w:val="7"/>
                <w:color w:val="auto"/>
              </w:rPr>
            </w:pPr>
          </w:p>
        </w:tc>
        <w:tc>
          <w:tcPr>
            <w:tcW w:w="130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74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45"/>
        </w:trPr>
        <w:tc>
          <w:tcPr>
            <w:tcW w:w="2060" w:type="dxa"/>
            <w:vAlign w:val="bottom"/>
          </w:tcPr>
          <w:p>
            <w:pPr>
              <w:ind w:left="40"/>
              <w:spacing w:after="0" w:line="145" w:lineRule="exact"/>
              <w:rPr>
                <w:sz w:val="20"/>
                <w:szCs w:val="20"/>
                <w:color w:val="auto"/>
              </w:rPr>
            </w:pPr>
            <w:r>
              <w:rPr>
                <w:rFonts w:ascii="Arial" w:cs="Arial" w:eastAsia="Arial" w:hAnsi="Arial"/>
                <w:sz w:val="14"/>
                <w:szCs w:val="14"/>
                <w:color w:val="auto"/>
              </w:rPr>
              <w:t>Common shares</w:t>
            </w:r>
          </w:p>
        </w:tc>
        <w:tc>
          <w:tcPr>
            <w:tcW w:w="1300" w:type="dxa"/>
            <w:vAlign w:val="bottom"/>
          </w:tcPr>
          <w:p>
            <w:pPr>
              <w:ind w:left="700"/>
              <w:spacing w:after="0" w:line="145" w:lineRule="exact"/>
              <w:rPr>
                <w:sz w:val="20"/>
                <w:szCs w:val="20"/>
                <w:color w:val="auto"/>
              </w:rPr>
            </w:pPr>
            <w:r>
              <w:rPr>
                <w:rFonts w:ascii="Arial" w:cs="Arial" w:eastAsia="Arial" w:hAnsi="Arial"/>
                <w:sz w:val="14"/>
                <w:szCs w:val="14"/>
                <w:color w:val="auto"/>
              </w:rPr>
              <w:t>RSUs</w:t>
            </w: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740" w:type="dxa"/>
            <w:vAlign w:val="bottom"/>
          </w:tcPr>
          <w:p>
            <w:pPr>
              <w:ind w:left="60"/>
              <w:spacing w:after="0" w:line="145" w:lineRule="exact"/>
              <w:rPr>
                <w:sz w:val="20"/>
                <w:szCs w:val="20"/>
                <w:color w:val="auto"/>
              </w:rPr>
            </w:pPr>
            <w:r>
              <w:rPr>
                <w:rFonts w:ascii="Arial" w:cs="Arial" w:eastAsia="Arial" w:hAnsi="Arial"/>
                <w:sz w:val="14"/>
                <w:szCs w:val="14"/>
                <w:color w:val="auto"/>
              </w:rPr>
              <w:t>Options</w:t>
            </w: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2060" w:type="dxa"/>
            <w:vAlign w:val="bottom"/>
          </w:tcPr>
          <w:p>
            <w:pPr>
              <w:ind w:left="40"/>
              <w:spacing w:after="0"/>
              <w:rPr>
                <w:sz w:val="20"/>
                <w:szCs w:val="20"/>
                <w:color w:val="auto"/>
              </w:rPr>
            </w:pPr>
            <w:r>
              <w:rPr>
                <w:rFonts w:ascii="Arial" w:cs="Arial" w:eastAsia="Arial" w:hAnsi="Arial"/>
                <w:sz w:val="14"/>
                <w:szCs w:val="14"/>
                <w:color w:val="auto"/>
              </w:rPr>
              <w:t>100</w:t>
            </w:r>
          </w:p>
        </w:tc>
        <w:tc>
          <w:tcPr>
            <w:tcW w:w="1300" w:type="dxa"/>
            <w:vAlign w:val="bottom"/>
          </w:tcPr>
          <w:p>
            <w:pPr>
              <w:ind w:left="900"/>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color w:val="auto"/>
              </w:rPr>
              <w:t>9,248</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1080" w:type="dxa"/>
            <w:vAlign w:val="bottom"/>
          </w:tcPr>
          <w:p>
            <w:pPr>
              <w:ind w:left="200"/>
              <w:spacing w:after="0"/>
              <w:rPr>
                <w:sz w:val="20"/>
                <w:szCs w:val="20"/>
                <w:color w:val="auto"/>
              </w:rPr>
            </w:pPr>
            <w:r>
              <w:rPr>
                <w:rFonts w:ascii="Arial" w:cs="Arial" w:eastAsia="Arial" w:hAnsi="Arial"/>
                <w:sz w:val="14"/>
                <w:szCs w:val="14"/>
                <w:color w:val="auto"/>
              </w:rPr>
              <w:t>9,248</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2060" w:type="dxa"/>
            <w:vAlign w:val="bottom"/>
            <w:tcBorders>
              <w:bottom w:val="single" w:sz="8" w:color="AFAFAF"/>
            </w:tcBorders>
          </w:tcPr>
          <w:p>
            <w:pPr>
              <w:spacing w:after="0"/>
              <w:rPr>
                <w:sz w:val="7"/>
                <w:szCs w:val="7"/>
                <w:color w:val="auto"/>
              </w:rPr>
            </w:pPr>
          </w:p>
        </w:tc>
        <w:tc>
          <w:tcPr>
            <w:tcW w:w="130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74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0"/>
        </w:trPr>
        <w:tc>
          <w:tcPr>
            <w:tcW w:w="2060" w:type="dxa"/>
            <w:vAlign w:val="bottom"/>
          </w:tcPr>
          <w:p>
            <w:pPr>
              <w:ind w:left="40"/>
              <w:spacing w:after="0"/>
              <w:rPr>
                <w:sz w:val="20"/>
                <w:szCs w:val="20"/>
                <w:color w:val="auto"/>
              </w:rPr>
            </w:pPr>
            <w:r>
              <w:rPr>
                <w:rFonts w:ascii="Arial" w:cs="Arial" w:eastAsia="Arial" w:hAnsi="Arial"/>
                <w:sz w:val="14"/>
                <w:szCs w:val="14"/>
                <w:i w:val="1"/>
                <w:iCs w:val="1"/>
                <w:color w:val="auto"/>
              </w:rPr>
              <w:t>$15,238</w:t>
            </w:r>
          </w:p>
        </w:tc>
        <w:tc>
          <w:tcPr>
            <w:tcW w:w="1300" w:type="dxa"/>
            <w:vAlign w:val="bottom"/>
          </w:tcPr>
          <w:p>
            <w:pPr>
              <w:ind w:left="900"/>
              <w:spacing w:after="0"/>
              <w:rPr>
                <w:sz w:val="20"/>
                <w:szCs w:val="20"/>
                <w:color w:val="auto"/>
              </w:rPr>
            </w:pPr>
            <w:r>
              <w:rPr>
                <w:rFonts w:ascii="Arial" w:cs="Arial" w:eastAsia="Arial" w:hAnsi="Arial"/>
                <w:sz w:val="14"/>
                <w:szCs w:val="14"/>
                <w:i w:val="1"/>
                <w:iCs w:val="1"/>
                <w:color w:val="auto"/>
              </w:rPr>
              <w:t>– 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$1,409,210</w:t>
            </w:r>
          </w:p>
        </w:tc>
        <w:tc>
          <w:tcPr>
            <w:tcW w:w="740" w:type="dxa"/>
            <w:vAlign w:val="bottom"/>
          </w:tcPr>
          <w:p>
            <w:pPr>
              <w:ind w:left="400"/>
              <w:spacing w:after="0"/>
              <w:rPr>
                <w:sz w:val="20"/>
                <w:szCs w:val="20"/>
                <w:color w:val="auto"/>
              </w:rPr>
            </w:pPr>
            <w:r>
              <w:rPr>
                <w:rFonts w:ascii="Arial" w:cs="Arial" w:eastAsia="Arial" w:hAnsi="Arial"/>
                <w:sz w:val="14"/>
                <w:szCs w:val="14"/>
                <w:i w:val="1"/>
                <w:iCs w:val="1"/>
                <w:color w:val="auto"/>
              </w:rPr>
              <w:t>–</w:t>
            </w:r>
          </w:p>
        </w:tc>
        <w:tc>
          <w:tcPr>
            <w:tcW w:w="10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$1,424,448</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5.7x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186690</wp:posOffset>
            </wp:positionV>
            <wp:extent cx="6929755"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420"/>
            <w:col w:w="8340"/>
          </w:cols>
          <w:pgMar w:left="320" w:top="454" w:right="499" w:bottom="1440" w:gutter="0" w:footer="0" w:header="0"/>
          <w:type w:val="continuous"/>
        </w:sectPr>
      </w:pP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23</w:t>
      </w:r>
    </w:p>
    <w:p>
      <w:pPr>
        <w:sectPr>
          <w:pgSz w:w="11900" w:h="16838" w:orient="portrait"/>
          <w:cols w:equalWidth="0" w:num="1">
            <w:col w:w="11080"/>
          </w:cols>
          <w:pgMar w:left="320" w:top="454" w:right="4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right="680"/>
        <w:spacing w:after="0" w:line="345" w:lineRule="auto"/>
        <w:rPr>
          <w:sz w:val="20"/>
          <w:szCs w:val="20"/>
          <w:color w:val="auto"/>
        </w:rPr>
      </w:pPr>
      <w:r>
        <w:rPr>
          <w:rFonts w:ascii="Arial" w:cs="Arial" w:eastAsia="Arial" w:hAnsi="Arial"/>
          <w:sz w:val="13"/>
          <w:szCs w:val="13"/>
          <w:b w:val="1"/>
          <w:bCs w:val="1"/>
          <w:color w:val="auto"/>
        </w:rPr>
        <w:t xml:space="preserve">Deanna Oppenheimer </w:t>
      </w:r>
      <w:r>
        <w:rPr>
          <w:rFonts w:ascii="Arial" w:cs="Arial" w:eastAsia="Arial" w:hAnsi="Arial"/>
          <w:sz w:val="13"/>
          <w:szCs w:val="13"/>
          <w:color w:val="auto"/>
        </w:rPr>
        <w:t>Age: 66</w:t>
      </w:r>
    </w:p>
    <w:p>
      <w:pPr>
        <w:ind w:left="260"/>
        <w:spacing w:after="0" w:line="405" w:lineRule="auto"/>
        <w:rPr>
          <w:sz w:val="20"/>
          <w:szCs w:val="20"/>
          <w:color w:val="auto"/>
        </w:rPr>
      </w:pPr>
      <w:r>
        <w:rPr>
          <w:rFonts w:ascii="Arial" w:cs="Arial" w:eastAsia="Arial" w:hAnsi="Arial"/>
          <w:sz w:val="13"/>
          <w:szCs w:val="13"/>
          <w:color w:val="auto"/>
        </w:rPr>
        <w:t>Seattle, Washington, United States Director since 2020 Independent</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Primary areas of expertise:</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operations, strategy, technology</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99.31%</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Deanna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-127635</wp:posOffset>
            </wp:positionV>
            <wp:extent cx="6929755" cy="24885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2488565"/>
                    </a:xfrm>
                    <a:prstGeom prst="rect">
                      <a:avLst/>
                    </a:prstGeom>
                    <a:noFill/>
                  </pic:spPr>
                </pic:pic>
              </a:graphicData>
            </a:graphic>
          </wp:anchor>
        </w:drawing>
      </w:r>
    </w:p>
    <w:p>
      <w:pPr>
        <w:spacing w:after="0" w:line="23" w:lineRule="exact"/>
        <w:rPr>
          <w:sz w:val="20"/>
          <w:szCs w:val="20"/>
          <w:color w:val="auto"/>
        </w:rPr>
      </w:pPr>
    </w:p>
    <w:p>
      <w:pPr>
        <w:ind w:left="40" w:right="120"/>
        <w:spacing w:after="0" w:line="247" w:lineRule="auto"/>
        <w:rPr>
          <w:sz w:val="20"/>
          <w:szCs w:val="20"/>
          <w:color w:val="auto"/>
        </w:rPr>
      </w:pPr>
      <w:r>
        <w:rPr>
          <w:rFonts w:ascii="Arial" w:cs="Arial" w:eastAsia="Arial" w:hAnsi="Arial"/>
          <w:sz w:val="14"/>
          <w:szCs w:val="14"/>
          <w:color w:val="auto"/>
        </w:rPr>
        <w:t>Deanna Oppenheimer is the founder of CameoWorks, LLC, a global firm that advises leaders of early stage companies and consultancies. Deanna founded CameoWorks in 2012. From 2005 to 2011, Deanna served in a number of roles at Barclays PLC, first as chief executive of UK Retail and Business Banking and then as vice chair of Global Retail Banking. From 1985 to 2005, Deanna served in a number of positions at Washington Mutual, Inc., with her last role as president of Consumer Banking. Deanna is also a non-executive director of Slalom and is the founder of BoardReady, a not-for-profit, collective group of diverse senior leaders dedicated to increasing corporate and board diversity. Deanna received a BA from the University of Puget Sound.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Board/committee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membership</w:t>
            </w:r>
          </w:p>
        </w:tc>
        <w:tc>
          <w:tcPr>
            <w:tcW w:w="2080" w:type="dxa"/>
            <w:vAlign w:val="bottom"/>
            <w:gridSpan w:val="3"/>
          </w:tcPr>
          <w:p>
            <w:pPr>
              <w:ind w:left="64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4"/>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460" w:type="dxa"/>
            <w:vAlign w:val="bottom"/>
            <w:tcBorders>
              <w:bottom w:val="single" w:sz="8" w:color="AFAFAF"/>
            </w:tcBorders>
            <w:gridSpan w:val="3"/>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c>
          <w:tcPr>
            <w:tcW w:w="1000" w:type="dxa"/>
            <w:vAlign w:val="bottom"/>
            <w:tcBorders>
              <w:bottom w:val="single" w:sz="8" w:color="AFAFAF"/>
            </w:tcBorders>
          </w:tcPr>
          <w:p>
            <w:pPr>
              <w:spacing w:after="0"/>
              <w:rPr>
                <w:sz w:val="7"/>
                <w:szCs w:val="7"/>
                <w:color w:val="auto"/>
              </w:rPr>
            </w:pPr>
          </w:p>
        </w:tc>
        <w:tc>
          <w:tcPr>
            <w:tcW w:w="24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2760" w:type="dxa"/>
            <w:vAlign w:val="bottom"/>
            <w:tcBorders>
              <w:bottom w:val="single" w:sz="8" w:color="AFAFAF"/>
            </w:tcBorders>
            <w:gridSpan w:val="3"/>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1660" w:type="dxa"/>
            <w:vAlign w:val="bottom"/>
          </w:tcPr>
          <w:p>
            <w:pPr>
              <w:spacing w:after="0"/>
              <w:rPr>
                <w:sz w:val="15"/>
                <w:szCs w:val="15"/>
                <w:color w:val="auto"/>
              </w:rPr>
            </w:pPr>
          </w:p>
        </w:tc>
        <w:tc>
          <w:tcPr>
            <w:tcW w:w="1000" w:type="dxa"/>
            <w:vAlign w:val="bottom"/>
          </w:tcPr>
          <w:p>
            <w:pPr>
              <w:ind w:left="640"/>
              <w:spacing w:after="0"/>
              <w:rPr>
                <w:sz w:val="20"/>
                <w:szCs w:val="20"/>
                <w:color w:val="auto"/>
              </w:rPr>
            </w:pPr>
            <w:r>
              <w:rPr>
                <w:rFonts w:ascii="Arial" w:cs="Arial" w:eastAsia="Arial" w:hAnsi="Arial"/>
                <w:sz w:val="14"/>
                <w:szCs w:val="14"/>
                <w:color w:val="auto"/>
                <w:w w:val="96"/>
              </w:rPr>
              <w:t>8 of 9</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89%</w:t>
            </w:r>
          </w:p>
        </w:tc>
        <w:tc>
          <w:tcPr>
            <w:tcW w:w="2760" w:type="dxa"/>
            <w:vAlign w:val="bottom"/>
            <w:gridSpan w:val="3"/>
          </w:tcPr>
          <w:p>
            <w:pPr>
              <w:ind w:left="60"/>
              <w:spacing w:after="0"/>
              <w:rPr>
                <w:sz w:val="20"/>
                <w:szCs w:val="20"/>
                <w:color w:val="auto"/>
              </w:rPr>
            </w:pPr>
            <w:r>
              <w:rPr>
                <w:rFonts w:ascii="Arial" w:cs="Arial" w:eastAsia="Arial" w:hAnsi="Arial"/>
                <w:sz w:val="14"/>
                <w:szCs w:val="14"/>
                <w:color w:val="auto"/>
              </w:rPr>
              <w:t>InterContinental Hotels Group PLC</w:t>
            </w:r>
          </w:p>
        </w:tc>
        <w:tc>
          <w:tcPr>
            <w:tcW w:w="1380" w:type="dxa"/>
            <w:vAlign w:val="bottom"/>
          </w:tcPr>
          <w:p>
            <w:pPr>
              <w:spacing w:after="0"/>
              <w:rPr>
                <w:sz w:val="15"/>
                <w:szCs w:val="15"/>
                <w:color w:val="auto"/>
              </w:rPr>
            </w:pPr>
          </w:p>
        </w:tc>
      </w:tr>
      <w:tr>
        <w:trPr>
          <w:trHeight w:val="218"/>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166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4"/>
                <w:szCs w:val="14"/>
                <w:color w:val="auto"/>
                <w:w w:val="96"/>
              </w:rPr>
              <w:t>7 of 7</w:t>
            </w:r>
          </w:p>
        </w:tc>
        <w:tc>
          <w:tcPr>
            <w:tcW w:w="24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2120" w:type="dxa"/>
            <w:vAlign w:val="bottom"/>
            <w:gridSpan w:val="4"/>
          </w:tcPr>
          <w:p>
            <w:pPr>
              <w:ind w:left="40"/>
              <w:spacing w:after="0"/>
              <w:rPr>
                <w:sz w:val="20"/>
                <w:szCs w:val="20"/>
                <w:color w:val="auto"/>
              </w:rPr>
            </w:pPr>
            <w:r>
              <w:rPr>
                <w:rFonts w:ascii="Arial" w:cs="Arial" w:eastAsia="Arial" w:hAnsi="Arial"/>
                <w:sz w:val="14"/>
                <w:szCs w:val="14"/>
                <w:color w:val="auto"/>
              </w:rPr>
              <w:t>Corporate Governance</w:t>
            </w:r>
          </w:p>
        </w:tc>
        <w:tc>
          <w:tcPr>
            <w:tcW w:w="1000" w:type="dxa"/>
            <w:vAlign w:val="bottom"/>
          </w:tcPr>
          <w:p>
            <w:pPr>
              <w:ind w:left="640"/>
              <w:spacing w:after="0"/>
              <w:rPr>
                <w:sz w:val="20"/>
                <w:szCs w:val="20"/>
                <w:color w:val="auto"/>
              </w:rPr>
            </w:pPr>
            <w:r>
              <w:rPr>
                <w:rFonts w:ascii="Arial" w:cs="Arial" w:eastAsia="Arial" w:hAnsi="Arial"/>
                <w:sz w:val="14"/>
                <w:szCs w:val="14"/>
                <w:color w:val="auto"/>
                <w:w w:val="96"/>
              </w:rPr>
              <w:t>5 of 5</w:t>
            </w:r>
          </w:p>
        </w:tc>
        <w:tc>
          <w:tcPr>
            <w:tcW w:w="24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88"/>
        </w:trPr>
        <w:tc>
          <w:tcPr>
            <w:tcW w:w="460" w:type="dxa"/>
            <w:vAlign w:val="bottom"/>
            <w:tcBorders>
              <w:bottom w:val="single" w:sz="8" w:color="AFAFAF"/>
            </w:tcBorders>
            <w:gridSpan w:val="3"/>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c>
          <w:tcPr>
            <w:tcW w:w="124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800" w:type="dxa"/>
            <w:vAlign w:val="bottom"/>
            <w:tcBorders>
              <w:bottom w:val="single" w:sz="8" w:color="AFAFAF"/>
            </w:tcBorders>
          </w:tcPr>
          <w:p>
            <w:pPr>
              <w:spacing w:after="0"/>
              <w:rPr>
                <w:sz w:val="7"/>
                <w:szCs w:val="7"/>
                <w:color w:val="auto"/>
              </w:rPr>
            </w:pPr>
          </w:p>
        </w:tc>
        <w:tc>
          <w:tcPr>
            <w:tcW w:w="10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6"/>
                <w:szCs w:val="16"/>
                <w:color w:val="auto"/>
              </w:rPr>
            </w:pPr>
          </w:p>
        </w:tc>
        <w:tc>
          <w:tcPr>
            <w:tcW w:w="1240" w:type="dxa"/>
            <w:vAlign w:val="bottom"/>
            <w:gridSpan w:val="2"/>
          </w:tcPr>
          <w:p>
            <w:pPr>
              <w:ind w:left="640"/>
              <w:spacing w:after="0"/>
              <w:rPr>
                <w:sz w:val="20"/>
                <w:szCs w:val="20"/>
                <w:color w:val="auto"/>
              </w:rPr>
            </w:pPr>
            <w:r>
              <w:rPr>
                <w:rFonts w:ascii="Arial" w:cs="Arial" w:eastAsia="Arial" w:hAnsi="Arial"/>
                <w:sz w:val="14"/>
                <w:szCs w:val="14"/>
                <w:b w:val="1"/>
                <w:bCs w:val="1"/>
                <w:color w:val="auto"/>
              </w:rPr>
              <w:t>20 of 21</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95%</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
        </w:trPr>
        <w:tc>
          <w:tcPr>
            <w:tcW w:w="2120" w:type="dxa"/>
            <w:vAlign w:val="bottom"/>
            <w:tcBorders>
              <w:bottom w:val="single" w:sz="8" w:color="AFAFAF"/>
            </w:tcBorders>
            <w:gridSpan w:val="4"/>
          </w:tcPr>
          <w:p>
            <w:pPr>
              <w:spacing w:after="0"/>
              <w:rPr>
                <w:sz w:val="2"/>
                <w:szCs w:val="2"/>
                <w:color w:val="auto"/>
              </w:rPr>
            </w:pPr>
          </w:p>
        </w:tc>
        <w:tc>
          <w:tcPr>
            <w:tcW w:w="1000" w:type="dxa"/>
            <w:vAlign w:val="bottom"/>
            <w:tcBorders>
              <w:bottom w:val="single" w:sz="8" w:color="AFAFAF"/>
            </w:tcBorders>
          </w:tcPr>
          <w:p>
            <w:pPr>
              <w:spacing w:after="0"/>
              <w:rPr>
                <w:sz w:val="2"/>
                <w:szCs w:val="2"/>
                <w:color w:val="auto"/>
              </w:rPr>
            </w:pPr>
          </w:p>
        </w:tc>
        <w:tc>
          <w:tcPr>
            <w:tcW w:w="240" w:type="dxa"/>
            <w:vAlign w:val="bottom"/>
            <w:tcBorders>
              <w:bottom w:val="single" w:sz="8" w:color="AFAFAF"/>
            </w:tcBorders>
          </w:tcPr>
          <w:p>
            <w:pPr>
              <w:spacing w:after="0"/>
              <w:rPr>
                <w:sz w:val="2"/>
                <w:szCs w:val="2"/>
                <w:color w:val="auto"/>
              </w:rPr>
            </w:pPr>
          </w:p>
        </w:tc>
        <w:tc>
          <w:tcPr>
            <w:tcW w:w="840" w:type="dxa"/>
            <w:vAlign w:val="bottom"/>
            <w:tcBorders>
              <w:bottom w:val="single" w:sz="8" w:color="AFAFAF"/>
            </w:tcBorders>
          </w:tcPr>
          <w:p>
            <w:pPr>
              <w:spacing w:after="0"/>
              <w:rPr>
                <w:sz w:val="2"/>
                <w:szCs w:val="2"/>
                <w:color w:val="auto"/>
              </w:rPr>
            </w:pPr>
          </w:p>
        </w:tc>
        <w:tc>
          <w:tcPr>
            <w:tcW w:w="800" w:type="dxa"/>
            <w:vAlign w:val="bottom"/>
            <w:tcBorders>
              <w:bottom w:val="single" w:sz="8" w:color="AFAFAF"/>
            </w:tcBorders>
          </w:tcPr>
          <w:p>
            <w:pPr>
              <w:spacing w:after="0"/>
              <w:rPr>
                <w:sz w:val="2"/>
                <w:szCs w:val="2"/>
                <w:color w:val="auto"/>
              </w:rPr>
            </w:pPr>
          </w:p>
        </w:tc>
        <w:tc>
          <w:tcPr>
            <w:tcW w:w="1020" w:type="dxa"/>
            <w:vAlign w:val="bottom"/>
            <w:tcBorders>
              <w:bottom w:val="single" w:sz="8" w:color="AFAFAF"/>
            </w:tcBorders>
          </w:tcPr>
          <w:p>
            <w:pPr>
              <w:spacing w:after="0"/>
              <w:rPr>
                <w:sz w:val="2"/>
                <w:szCs w:val="2"/>
                <w:color w:val="auto"/>
              </w:rPr>
            </w:pPr>
          </w:p>
        </w:tc>
        <w:tc>
          <w:tcPr>
            <w:tcW w:w="940" w:type="dxa"/>
            <w:vAlign w:val="bottom"/>
            <w:tcBorders>
              <w:bottom w:val="single" w:sz="8" w:color="AFAFAF"/>
            </w:tcBorders>
          </w:tcPr>
          <w:p>
            <w:pPr>
              <w:spacing w:after="0"/>
              <w:rPr>
                <w:sz w:val="2"/>
                <w:szCs w:val="2"/>
                <w:color w:val="auto"/>
              </w:rPr>
            </w:pPr>
          </w:p>
        </w:tc>
        <w:tc>
          <w:tcPr>
            <w:tcW w:w="1380" w:type="dxa"/>
            <w:vAlign w:val="bottom"/>
            <w:tcBorders>
              <w:bottom w:val="single" w:sz="8" w:color="AFAFAF"/>
            </w:tcBorders>
          </w:tcPr>
          <w:p>
            <w:pPr>
              <w:spacing w:after="0"/>
              <w:rPr>
                <w:sz w:val="2"/>
                <w:szCs w:val="2"/>
                <w:color w:val="auto"/>
              </w:rPr>
            </w:pPr>
          </w:p>
        </w:tc>
      </w:tr>
      <w:tr>
        <w:trPr>
          <w:trHeight w:val="145"/>
        </w:trPr>
        <w:tc>
          <w:tcPr>
            <w:tcW w:w="212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Securities held</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Ownership multiple</w:t>
            </w:r>
          </w:p>
        </w:tc>
      </w:tr>
      <w:tr>
        <w:trPr>
          <w:trHeight w:val="195"/>
        </w:trPr>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(number and value)</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2120" w:type="dxa"/>
            <w:vAlign w:val="bottom"/>
            <w:tcBorders>
              <w:bottom w:val="single" w:sz="8" w:color="AFAFAF"/>
            </w:tcBorders>
            <w:gridSpan w:val="4"/>
          </w:tcPr>
          <w:p>
            <w:pPr>
              <w:spacing w:after="0"/>
              <w:rPr>
                <w:sz w:val="8"/>
                <w:szCs w:val="8"/>
                <w:color w:val="auto"/>
              </w:rPr>
            </w:pPr>
          </w:p>
        </w:tc>
        <w:tc>
          <w:tcPr>
            <w:tcW w:w="1240" w:type="dxa"/>
            <w:vAlign w:val="bottom"/>
            <w:tcBorders>
              <w:bottom w:val="single" w:sz="8" w:color="AFAFAF"/>
            </w:tcBorders>
            <w:gridSpan w:val="2"/>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800" w:type="dxa"/>
            <w:vAlign w:val="bottom"/>
            <w:tcBorders>
              <w:bottom w:val="single" w:sz="8" w:color="AFAFAF"/>
            </w:tcBorders>
          </w:tcPr>
          <w:p>
            <w:pPr>
              <w:spacing w:after="0"/>
              <w:rPr>
                <w:sz w:val="8"/>
                <w:szCs w:val="8"/>
                <w:color w:val="auto"/>
              </w:rPr>
            </w:pPr>
          </w:p>
        </w:tc>
        <w:tc>
          <w:tcPr>
            <w:tcW w:w="102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2120" w:type="dxa"/>
            <w:vAlign w:val="bottom"/>
            <w:gridSpan w:val="4"/>
          </w:tcPr>
          <w:p>
            <w:pPr>
              <w:ind w:left="40"/>
              <w:spacing w:after="0" w:line="145" w:lineRule="exact"/>
              <w:rPr>
                <w:sz w:val="20"/>
                <w:szCs w:val="20"/>
                <w:color w:val="auto"/>
              </w:rPr>
            </w:pPr>
            <w:r>
              <w:rPr>
                <w:rFonts w:ascii="Arial" w:cs="Arial" w:eastAsia="Arial" w:hAnsi="Arial"/>
                <w:sz w:val="14"/>
                <w:szCs w:val="14"/>
                <w:color w:val="auto"/>
              </w:rPr>
              <w:t>Common shares</w:t>
            </w:r>
          </w:p>
        </w:tc>
        <w:tc>
          <w:tcPr>
            <w:tcW w:w="1240" w:type="dxa"/>
            <w:vAlign w:val="bottom"/>
            <w:gridSpan w:val="2"/>
          </w:tcPr>
          <w:p>
            <w:pPr>
              <w:ind w:left="760"/>
              <w:spacing w:after="0" w:line="145" w:lineRule="exact"/>
              <w:rPr>
                <w:sz w:val="20"/>
                <w:szCs w:val="20"/>
                <w:color w:val="auto"/>
              </w:rPr>
            </w:pPr>
            <w:r>
              <w:rPr>
                <w:rFonts w:ascii="Arial" w:cs="Arial" w:eastAsia="Arial" w:hAnsi="Arial"/>
                <w:sz w:val="14"/>
                <w:szCs w:val="14"/>
                <w:color w:val="auto"/>
              </w:rPr>
              <w:t>RSUs</w:t>
            </w: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800" w:type="dxa"/>
            <w:vAlign w:val="bottom"/>
          </w:tcPr>
          <w:p>
            <w:pPr>
              <w:jc w:val="center"/>
              <w:ind w:left="9"/>
              <w:spacing w:after="0" w:line="145" w:lineRule="exact"/>
              <w:rPr>
                <w:sz w:val="20"/>
                <w:szCs w:val="20"/>
                <w:color w:val="auto"/>
              </w:rPr>
            </w:pPr>
            <w:r>
              <w:rPr>
                <w:rFonts w:ascii="Arial" w:cs="Arial" w:eastAsia="Arial" w:hAnsi="Arial"/>
                <w:sz w:val="14"/>
                <w:szCs w:val="14"/>
                <w:color w:val="auto"/>
                <w:w w:val="99"/>
              </w:rPr>
              <w:t>Options</w:t>
            </w: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660" w:type="dxa"/>
            <w:vAlign w:val="bottom"/>
          </w:tcPr>
          <w:p>
            <w:pPr>
              <w:ind w:left="20"/>
              <w:spacing w:after="0"/>
              <w:rPr>
                <w:sz w:val="20"/>
                <w:szCs w:val="20"/>
                <w:color w:val="auto"/>
              </w:rPr>
            </w:pPr>
            <w:r>
              <w:rPr>
                <w:rFonts w:ascii="Arial" w:cs="Arial" w:eastAsia="Arial" w:hAnsi="Arial"/>
                <w:sz w:val="14"/>
                <w:szCs w:val="14"/>
                <w:color w:val="auto"/>
              </w:rPr>
              <w:t> –</w:t>
            </w:r>
          </w:p>
        </w:tc>
        <w:tc>
          <w:tcPr>
            <w:tcW w:w="1000" w:type="dxa"/>
            <w:vAlign w:val="bottom"/>
          </w:tcPr>
          <w:p>
            <w:pPr>
              <w:ind w:left="800"/>
              <w:spacing w:after="0"/>
              <w:rPr>
                <w:sz w:val="20"/>
                <w:szCs w:val="20"/>
                <w:color w:val="auto"/>
              </w:rPr>
            </w:pPr>
            <w:r>
              <w:rPr>
                <w:rFonts w:ascii="Arial" w:cs="Arial" w:eastAsia="Arial" w:hAnsi="Arial"/>
                <w:sz w:val="14"/>
                <w:szCs w:val="14"/>
                <w:color w:val="auto"/>
                <w:w w:val="82"/>
              </w:rPr>
              <w:t>– </w:t>
            </w:r>
          </w:p>
        </w:tc>
        <w:tc>
          <w:tcPr>
            <w:tcW w:w="240" w:type="dxa"/>
            <w:vAlign w:val="bottom"/>
          </w:tcPr>
          <w:p>
            <w:pPr>
              <w:ind w:left="20"/>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color w:val="auto"/>
              </w:rPr>
              <w:t>6,980</w:t>
            </w:r>
          </w:p>
        </w:tc>
        <w:tc>
          <w:tcPr>
            <w:tcW w:w="80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1020" w:type="dxa"/>
            <w:vAlign w:val="bottom"/>
          </w:tcPr>
          <w:p>
            <w:pPr>
              <w:ind w:left="140"/>
              <w:spacing w:after="0"/>
              <w:rPr>
                <w:sz w:val="20"/>
                <w:szCs w:val="20"/>
                <w:color w:val="auto"/>
              </w:rPr>
            </w:pPr>
            <w:r>
              <w:rPr>
                <w:rFonts w:ascii="Arial" w:cs="Arial" w:eastAsia="Arial" w:hAnsi="Arial"/>
                <w:sz w:val="14"/>
                <w:szCs w:val="14"/>
                <w:color w:val="auto"/>
              </w:rPr>
              <w:t>6,980</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140" w:type="dxa"/>
            <w:vAlign w:val="bottom"/>
            <w:tcBorders>
              <w:bottom w:val="single" w:sz="8" w:color="AFAFAF"/>
            </w:tcBorders>
          </w:tcPr>
          <w:p>
            <w:pPr>
              <w:spacing w:after="0"/>
              <w:rPr>
                <w:sz w:val="4"/>
                <w:szCs w:val="4"/>
                <w:color w:val="auto"/>
              </w:rPr>
            </w:pPr>
          </w:p>
        </w:tc>
        <w:tc>
          <w:tcPr>
            <w:tcW w:w="140" w:type="dxa"/>
            <w:vAlign w:val="bottom"/>
            <w:tcBorders>
              <w:bottom w:val="single" w:sz="8" w:color="AFAFAF"/>
            </w:tcBorders>
          </w:tcPr>
          <w:p>
            <w:pPr>
              <w:spacing w:after="0"/>
              <w:rPr>
                <w:sz w:val="4"/>
                <w:szCs w:val="4"/>
                <w:color w:val="auto"/>
              </w:rPr>
            </w:pPr>
          </w:p>
        </w:tc>
        <w:tc>
          <w:tcPr>
            <w:tcW w:w="180" w:type="dxa"/>
            <w:vAlign w:val="bottom"/>
            <w:tcBorders>
              <w:bottom w:val="single" w:sz="8" w:color="AFAFAF"/>
            </w:tcBorders>
          </w:tcPr>
          <w:p>
            <w:pPr>
              <w:spacing w:after="0"/>
              <w:rPr>
                <w:sz w:val="4"/>
                <w:szCs w:val="4"/>
                <w:color w:val="auto"/>
              </w:rPr>
            </w:pPr>
          </w:p>
        </w:tc>
        <w:tc>
          <w:tcPr>
            <w:tcW w:w="1660" w:type="dxa"/>
            <w:vAlign w:val="bottom"/>
            <w:tcBorders>
              <w:bottom w:val="single" w:sz="8" w:color="AFAFAF"/>
            </w:tcBorders>
          </w:tcPr>
          <w:p>
            <w:pPr>
              <w:spacing w:after="0"/>
              <w:rPr>
                <w:sz w:val="4"/>
                <w:szCs w:val="4"/>
                <w:color w:val="auto"/>
              </w:rPr>
            </w:pPr>
          </w:p>
        </w:tc>
        <w:tc>
          <w:tcPr>
            <w:tcW w:w="1000" w:type="dxa"/>
            <w:vAlign w:val="bottom"/>
            <w:tcBorders>
              <w:bottom w:val="single" w:sz="8" w:color="AFAFAF"/>
            </w:tcBorders>
          </w:tcPr>
          <w:p>
            <w:pPr>
              <w:spacing w:after="0"/>
              <w:rPr>
                <w:sz w:val="4"/>
                <w:szCs w:val="4"/>
                <w:color w:val="auto"/>
              </w:rPr>
            </w:pPr>
          </w:p>
        </w:tc>
        <w:tc>
          <w:tcPr>
            <w:tcW w:w="240" w:type="dxa"/>
            <w:vAlign w:val="bottom"/>
            <w:tcBorders>
              <w:bottom w:val="single" w:sz="8" w:color="AFAFAF"/>
            </w:tcBorders>
          </w:tcPr>
          <w:p>
            <w:pPr>
              <w:spacing w:after="0"/>
              <w:rPr>
                <w:sz w:val="4"/>
                <w:szCs w:val="4"/>
                <w:color w:val="auto"/>
              </w:rPr>
            </w:pPr>
          </w:p>
        </w:tc>
        <w:tc>
          <w:tcPr>
            <w:tcW w:w="840" w:type="dxa"/>
            <w:vAlign w:val="bottom"/>
            <w:tcBorders>
              <w:bottom w:val="single" w:sz="8" w:color="AFAFAF"/>
            </w:tcBorders>
          </w:tcPr>
          <w:p>
            <w:pPr>
              <w:spacing w:after="0"/>
              <w:rPr>
                <w:sz w:val="4"/>
                <w:szCs w:val="4"/>
                <w:color w:val="auto"/>
              </w:rPr>
            </w:pPr>
          </w:p>
        </w:tc>
        <w:tc>
          <w:tcPr>
            <w:tcW w:w="800" w:type="dxa"/>
            <w:vAlign w:val="bottom"/>
            <w:tcBorders>
              <w:bottom w:val="single" w:sz="8" w:color="AFAFAF"/>
            </w:tcBorders>
          </w:tcPr>
          <w:p>
            <w:pPr>
              <w:spacing w:after="0"/>
              <w:rPr>
                <w:sz w:val="4"/>
                <w:szCs w:val="4"/>
                <w:color w:val="auto"/>
              </w:rPr>
            </w:pPr>
          </w:p>
        </w:tc>
        <w:tc>
          <w:tcPr>
            <w:tcW w:w="1020" w:type="dxa"/>
            <w:vAlign w:val="bottom"/>
            <w:tcBorders>
              <w:bottom w:val="single" w:sz="8" w:color="AFAFAF"/>
            </w:tcBorders>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r>
      <w:tr>
        <w:trPr>
          <w:trHeight w:val="180"/>
        </w:trPr>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i w:val="1"/>
                <w:iCs w:val="1"/>
                <w:color w:val="auto"/>
                <w:w w:val="74"/>
              </w:rPr>
              <w:t> </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w w:val="71"/>
              </w:rPr>
              <w:t> </w:t>
            </w:r>
          </w:p>
        </w:tc>
        <w:tc>
          <w:tcPr>
            <w:tcW w:w="166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1000" w:type="dxa"/>
            <w:vAlign w:val="bottom"/>
          </w:tcPr>
          <w:p>
            <w:pPr>
              <w:ind w:left="800"/>
              <w:spacing w:after="0"/>
              <w:rPr>
                <w:sz w:val="20"/>
                <w:szCs w:val="20"/>
                <w:color w:val="auto"/>
              </w:rPr>
            </w:pPr>
            <w:r>
              <w:rPr>
                <w:rFonts w:ascii="Arial" w:cs="Arial" w:eastAsia="Arial" w:hAnsi="Arial"/>
                <w:sz w:val="14"/>
                <w:szCs w:val="14"/>
                <w:i w:val="1"/>
                <w:iCs w:val="1"/>
                <w:color w:val="auto"/>
                <w:w w:val="82"/>
              </w:rPr>
              <w:t>– </w:t>
            </w:r>
          </w:p>
        </w:tc>
        <w:tc>
          <w:tcPr>
            <w:tcW w:w="24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$1,063,612</w:t>
            </w:r>
          </w:p>
        </w:tc>
        <w:tc>
          <w:tcPr>
            <w:tcW w:w="800" w:type="dxa"/>
            <w:vAlign w:val="bottom"/>
          </w:tcPr>
          <w:p>
            <w:pPr>
              <w:jc w:val="center"/>
              <w:ind w:left="9"/>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$1,063,612</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4.3x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2811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2811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420"/>
            <w:col w:w="8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Simon Paris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54</w:t>
      </w:r>
    </w:p>
    <w:p>
      <w:pPr>
        <w:spacing w:after="0" w:line="64" w:lineRule="exact"/>
        <w:rPr>
          <w:sz w:val="20"/>
          <w:szCs w:val="20"/>
          <w:color w:val="auto"/>
        </w:rPr>
      </w:pPr>
    </w:p>
    <w:p>
      <w:pPr>
        <w:ind w:left="260" w:right="420"/>
        <w:spacing w:after="0" w:line="343" w:lineRule="auto"/>
        <w:rPr>
          <w:sz w:val="20"/>
          <w:szCs w:val="20"/>
          <w:color w:val="auto"/>
        </w:rPr>
      </w:pPr>
      <w:r>
        <w:rPr>
          <w:rFonts w:ascii="Arial" w:cs="Arial" w:eastAsia="Arial" w:hAnsi="Arial"/>
          <w:sz w:val="13"/>
          <w:szCs w:val="13"/>
          <w:color w:val="auto"/>
        </w:rPr>
        <w:t>London, United Kingdom Director since 2020 Independent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Primary areas of expertise:</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operations, strategy, technology</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99.67%</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Simon Paris</w:t>
      </w:r>
    </w:p>
    <w:p>
      <w:pPr>
        <w:spacing w:after="0" w:line="43" w:lineRule="exact"/>
        <w:rPr>
          <w:sz w:val="20"/>
          <w:szCs w:val="20"/>
          <w:color w:val="auto"/>
        </w:rPr>
      </w:pPr>
    </w:p>
    <w:p>
      <w:pPr>
        <w:ind w:left="40" w:right="60"/>
        <w:spacing w:after="0" w:line="247" w:lineRule="auto"/>
        <w:rPr>
          <w:sz w:val="20"/>
          <w:szCs w:val="20"/>
          <w:color w:val="auto"/>
        </w:rPr>
      </w:pPr>
      <w:r>
        <w:rPr>
          <w:rFonts w:ascii="Arial" w:cs="Arial" w:eastAsia="Arial" w:hAnsi="Arial"/>
          <w:sz w:val="14"/>
          <w:szCs w:val="14"/>
          <w:color w:val="auto"/>
        </w:rPr>
        <w:t>Simon Paris is Chief Executive Officer of Finastra, a global financial technology (fintech) provider. He joined Finastra (previously Misys) as president in 2015 and also served as its Chief Sales Officer, before being appointed Deputy CEO in 2017 and CEO in 2018. Simon previously worked at SAP from 2007 to 2015, where he held a number of senior leadership positions. Simon was also previously a senior consultant with McKinsey &amp; Company. He currently chairs the World Trade Board, an organization initiated by Finastra that is made up of global leaders, innovative thinkers, industry influencers and subject matter experts from the different corners of trade, finance and commerce. Simon holds a BA from the European Business School and an MBA from INSEAD.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Board/committee</w:t>
            </w: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8"/>
        </w:trPr>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membership</w:t>
            </w:r>
          </w:p>
        </w:tc>
        <w:tc>
          <w:tcPr>
            <w:tcW w:w="2060" w:type="dxa"/>
            <w:vAlign w:val="bottom"/>
            <w:gridSpan w:val="3"/>
          </w:tcPr>
          <w:p>
            <w:pPr>
              <w:ind w:left="640"/>
              <w:spacing w:after="0"/>
              <w:rPr>
                <w:sz w:val="20"/>
                <w:szCs w:val="20"/>
                <w:color w:val="auto"/>
              </w:rPr>
            </w:pPr>
            <w:r>
              <w:rPr>
                <w:rFonts w:ascii="Arial" w:cs="Arial" w:eastAsia="Arial" w:hAnsi="Arial"/>
                <w:sz w:val="14"/>
                <w:szCs w:val="14"/>
                <w:b w:val="1"/>
                <w:bCs w:val="1"/>
                <w:color w:val="auto"/>
              </w:rPr>
              <w:t>2023 attendance</w:t>
            </w:r>
          </w:p>
        </w:tc>
        <w:tc>
          <w:tcPr>
            <w:tcW w:w="4160" w:type="dxa"/>
            <w:vAlign w:val="bottom"/>
            <w:gridSpan w:val="5"/>
          </w:tcPr>
          <w:p>
            <w:pPr>
              <w:ind w:left="8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460" w:type="dxa"/>
            <w:vAlign w:val="bottom"/>
            <w:tcBorders>
              <w:bottom w:val="single" w:sz="8" w:color="AFAFAF"/>
            </w:tcBorders>
            <w:gridSpan w:val="3"/>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40" w:type="dxa"/>
            <w:vAlign w:val="bottom"/>
            <w:tcBorders>
              <w:bottom w:val="single" w:sz="8" w:color="AFAFAF"/>
            </w:tcBorders>
            <w:gridSpan w:val="3"/>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71"/>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1660" w:type="dxa"/>
            <w:vAlign w:val="bottom"/>
          </w:tcPr>
          <w:p>
            <w:pPr>
              <w:spacing w:after="0"/>
              <w:rPr>
                <w:sz w:val="14"/>
                <w:szCs w:val="14"/>
                <w:color w:val="auto"/>
              </w:rPr>
            </w:pP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8 of 9</w:t>
            </w:r>
          </w:p>
        </w:tc>
        <w:tc>
          <w:tcPr>
            <w:tcW w:w="840" w:type="dxa"/>
            <w:vAlign w:val="bottom"/>
          </w:tcPr>
          <w:p>
            <w:pPr>
              <w:ind w:left="60"/>
              <w:spacing w:after="0"/>
              <w:rPr>
                <w:sz w:val="20"/>
                <w:szCs w:val="20"/>
                <w:color w:val="auto"/>
              </w:rPr>
            </w:pPr>
            <w:r>
              <w:rPr>
                <w:rFonts w:ascii="Arial" w:cs="Arial" w:eastAsia="Arial" w:hAnsi="Arial"/>
                <w:sz w:val="14"/>
                <w:szCs w:val="14"/>
                <w:color w:val="auto"/>
              </w:rPr>
              <w:t>89%</w:t>
            </w:r>
          </w:p>
        </w:tc>
        <w:tc>
          <w:tcPr>
            <w:tcW w:w="1840" w:type="dxa"/>
            <w:vAlign w:val="bottom"/>
            <w:gridSpan w:val="3"/>
          </w:tcPr>
          <w:p>
            <w:pPr>
              <w:ind w:left="80"/>
              <w:spacing w:after="0"/>
              <w:rPr>
                <w:sz w:val="20"/>
                <w:szCs w:val="20"/>
                <w:color w:val="auto"/>
              </w:rPr>
            </w:pPr>
            <w:r>
              <w:rPr>
                <w:rFonts w:ascii="Arial" w:cs="Arial" w:eastAsia="Arial" w:hAnsi="Arial"/>
                <w:sz w:val="14"/>
                <w:szCs w:val="14"/>
                <w:color w:val="auto"/>
              </w:rPr>
              <w:t>Everbridge, Inc.</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1660" w:type="dxa"/>
            <w:vAlign w:val="bottom"/>
          </w:tcPr>
          <w:p>
            <w:pPr>
              <w:spacing w:after="0"/>
              <w:rPr>
                <w:sz w:val="16"/>
                <w:szCs w:val="16"/>
                <w:color w:val="auto"/>
              </w:rPr>
            </w:pP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7 of 7</w:t>
            </w:r>
          </w:p>
        </w:tc>
        <w:tc>
          <w:tcPr>
            <w:tcW w:w="840" w:type="dxa"/>
            <w:vAlign w:val="bottom"/>
          </w:tcPr>
          <w:p>
            <w:pPr>
              <w:ind w:left="60"/>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7"/>
        </w:trPr>
        <w:tc>
          <w:tcPr>
            <w:tcW w:w="2120" w:type="dxa"/>
            <w:vAlign w:val="bottom"/>
            <w:gridSpan w:val="4"/>
          </w:tcPr>
          <w:p>
            <w:pPr>
              <w:ind w:left="40"/>
              <w:spacing w:after="0"/>
              <w:rPr>
                <w:sz w:val="20"/>
                <w:szCs w:val="20"/>
                <w:color w:val="auto"/>
              </w:rPr>
            </w:pPr>
            <w:r>
              <w:rPr>
                <w:rFonts w:ascii="Arial" w:cs="Arial" w:eastAsia="Arial" w:hAnsi="Arial"/>
                <w:sz w:val="14"/>
                <w:szCs w:val="14"/>
                <w:color w:val="auto"/>
              </w:rPr>
              <w:t>Corporate Governance</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5 of 5</w:t>
            </w:r>
          </w:p>
        </w:tc>
        <w:tc>
          <w:tcPr>
            <w:tcW w:w="840" w:type="dxa"/>
            <w:vAlign w:val="bottom"/>
          </w:tcPr>
          <w:p>
            <w:pPr>
              <w:ind w:left="60"/>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320" w:type="dxa"/>
            <w:vAlign w:val="bottom"/>
            <w:gridSpan w:val="2"/>
          </w:tcPr>
          <w:p>
            <w:pPr>
              <w:ind w:left="40"/>
              <w:spacing w:after="0"/>
              <w:rPr>
                <w:sz w:val="20"/>
                <w:szCs w:val="20"/>
                <w:color w:val="auto"/>
              </w:rPr>
            </w:pPr>
            <w:r>
              <w:rPr>
                <w:rFonts w:ascii="Arial" w:cs="Arial" w:eastAsia="Arial" w:hAnsi="Arial"/>
                <w:sz w:val="14"/>
                <w:szCs w:val="14"/>
                <w:color w:val="auto"/>
                <w:w w:val="95"/>
              </w:rPr>
              <w:t>Risk</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4 of 4</w:t>
            </w:r>
          </w:p>
        </w:tc>
        <w:tc>
          <w:tcPr>
            <w:tcW w:w="840" w:type="dxa"/>
            <w:vAlign w:val="bottom"/>
          </w:tcPr>
          <w:p>
            <w:pPr>
              <w:ind w:left="60"/>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88"/>
        </w:trPr>
        <w:tc>
          <w:tcPr>
            <w:tcW w:w="460" w:type="dxa"/>
            <w:vAlign w:val="bottom"/>
            <w:tcBorders>
              <w:bottom w:val="single" w:sz="8" w:color="AFAFAF"/>
            </w:tcBorders>
            <w:gridSpan w:val="3"/>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201"/>
        </w:trPr>
        <w:tc>
          <w:tcPr>
            <w:tcW w:w="460" w:type="dxa"/>
            <w:vAlign w:val="bottom"/>
            <w:tcBorders>
              <w:bottom w:val="single" w:sz="8" w:color="AFAFAF"/>
            </w:tcBorders>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660" w:type="dxa"/>
            <w:vAlign w:val="bottom"/>
            <w:tcBorders>
              <w:bottom w:val="single" w:sz="8" w:color="AFAFAF"/>
            </w:tcBorders>
          </w:tcPr>
          <w:p>
            <w:pPr>
              <w:spacing w:after="0"/>
              <w:rPr>
                <w:sz w:val="17"/>
                <w:szCs w:val="17"/>
                <w:color w:val="auto"/>
              </w:rPr>
            </w:pPr>
          </w:p>
        </w:tc>
        <w:tc>
          <w:tcPr>
            <w:tcW w:w="1220" w:type="dxa"/>
            <w:vAlign w:val="bottom"/>
            <w:tcBorders>
              <w:bottom w:val="single" w:sz="8" w:color="AFAFAF"/>
            </w:tcBorders>
            <w:gridSpan w:val="2"/>
          </w:tcPr>
          <w:p>
            <w:pPr>
              <w:ind w:left="640"/>
              <w:spacing w:after="0"/>
              <w:rPr>
                <w:sz w:val="20"/>
                <w:szCs w:val="20"/>
                <w:color w:val="auto"/>
              </w:rPr>
            </w:pPr>
            <w:r>
              <w:rPr>
                <w:rFonts w:ascii="Arial" w:cs="Arial" w:eastAsia="Arial" w:hAnsi="Arial"/>
                <w:sz w:val="14"/>
                <w:szCs w:val="14"/>
                <w:b w:val="1"/>
                <w:bCs w:val="1"/>
                <w:color w:val="auto"/>
              </w:rPr>
              <w:t>24 of 25</w:t>
            </w:r>
          </w:p>
        </w:tc>
        <w:tc>
          <w:tcPr>
            <w:tcW w:w="84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96%</w:t>
            </w:r>
          </w:p>
        </w:tc>
        <w:tc>
          <w:tcPr>
            <w:tcW w:w="180" w:type="dxa"/>
            <w:vAlign w:val="bottom"/>
            <w:tcBorders>
              <w:bottom w:val="single" w:sz="8" w:color="AFAFAF"/>
            </w:tcBorders>
          </w:tcPr>
          <w:p>
            <w:pPr>
              <w:spacing w:after="0"/>
              <w:rPr>
                <w:sz w:val="17"/>
                <w:szCs w:val="17"/>
                <w:color w:val="auto"/>
              </w:rPr>
            </w:pPr>
          </w:p>
        </w:tc>
        <w:tc>
          <w:tcPr>
            <w:tcW w:w="580" w:type="dxa"/>
            <w:vAlign w:val="bottom"/>
            <w:tcBorders>
              <w:bottom w:val="single" w:sz="8" w:color="AFAFAF"/>
            </w:tcBorders>
          </w:tcPr>
          <w:p>
            <w:pPr>
              <w:spacing w:after="0"/>
              <w:rPr>
                <w:sz w:val="17"/>
                <w:szCs w:val="17"/>
                <w:color w:val="auto"/>
              </w:rPr>
            </w:pPr>
          </w:p>
        </w:tc>
        <w:tc>
          <w:tcPr>
            <w:tcW w:w="108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spacing w:after="0"/>
              <w:rPr>
                <w:sz w:val="17"/>
                <w:szCs w:val="17"/>
                <w:color w:val="auto"/>
              </w:rPr>
            </w:pPr>
          </w:p>
        </w:tc>
        <w:tc>
          <w:tcPr>
            <w:tcW w:w="1380" w:type="dxa"/>
            <w:vAlign w:val="bottom"/>
            <w:tcBorders>
              <w:bottom w:val="single" w:sz="8" w:color="AFAFAF"/>
            </w:tcBorders>
          </w:tcPr>
          <w:p>
            <w:pPr>
              <w:spacing w:after="0"/>
              <w:rPr>
                <w:sz w:val="17"/>
                <w:szCs w:val="17"/>
                <w:color w:val="auto"/>
              </w:rPr>
            </w:pPr>
          </w:p>
        </w:tc>
      </w:tr>
      <w:tr>
        <w:trPr>
          <w:trHeight w:val="151"/>
        </w:trPr>
        <w:tc>
          <w:tcPr>
            <w:tcW w:w="2120" w:type="dxa"/>
            <w:vAlign w:val="bottom"/>
            <w:gridSpan w:val="4"/>
          </w:tcPr>
          <w:p>
            <w:pPr>
              <w:ind w:left="40"/>
              <w:spacing w:after="0" w:line="151" w:lineRule="exact"/>
              <w:rPr>
                <w:sz w:val="20"/>
                <w:szCs w:val="20"/>
                <w:color w:val="auto"/>
              </w:rPr>
            </w:pPr>
            <w:r>
              <w:rPr>
                <w:rFonts w:ascii="Arial" w:cs="Arial" w:eastAsia="Arial" w:hAnsi="Arial"/>
                <w:sz w:val="14"/>
                <w:szCs w:val="14"/>
                <w:b w:val="1"/>
                <w:bCs w:val="1"/>
                <w:color w:val="auto"/>
              </w:rPr>
              <w:t>Securities held</w:t>
            </w: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51" w:lineRule="exact"/>
              <w:rPr>
                <w:sz w:val="20"/>
                <w:szCs w:val="20"/>
                <w:color w:val="auto"/>
              </w:rPr>
            </w:pPr>
            <w:r>
              <w:rPr>
                <w:rFonts w:ascii="Arial" w:cs="Arial" w:eastAsia="Arial" w:hAnsi="Arial"/>
                <w:sz w:val="14"/>
                <w:szCs w:val="14"/>
                <w:b w:val="1"/>
                <w:bCs w:val="1"/>
                <w:color w:val="auto"/>
              </w:rPr>
              <w:t>Ownership multiple</w:t>
            </w:r>
          </w:p>
        </w:tc>
      </w:tr>
      <w:tr>
        <w:trPr>
          <w:trHeight w:val="195"/>
        </w:trPr>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auto"/>
              </w:rPr>
              <w:t>(number and value)</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2120" w:type="dxa"/>
            <w:vAlign w:val="bottom"/>
            <w:tcBorders>
              <w:bottom w:val="single" w:sz="8" w:color="AFAFAF"/>
            </w:tcBorders>
            <w:gridSpan w:val="4"/>
          </w:tcPr>
          <w:p>
            <w:pPr>
              <w:spacing w:after="0"/>
              <w:rPr>
                <w:sz w:val="8"/>
                <w:szCs w:val="8"/>
                <w:color w:val="auto"/>
              </w:rPr>
            </w:pPr>
          </w:p>
        </w:tc>
        <w:tc>
          <w:tcPr>
            <w:tcW w:w="1220" w:type="dxa"/>
            <w:vAlign w:val="bottom"/>
            <w:tcBorders>
              <w:bottom w:val="single" w:sz="8" w:color="AFAFAF"/>
            </w:tcBorders>
            <w:gridSpan w:val="2"/>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760" w:type="dxa"/>
            <w:vAlign w:val="bottom"/>
            <w:tcBorders>
              <w:bottom w:val="single" w:sz="8" w:color="AFAFAF"/>
            </w:tcBorders>
            <w:gridSpan w:val="2"/>
          </w:tcPr>
          <w:p>
            <w:pPr>
              <w:spacing w:after="0"/>
              <w:rPr>
                <w:sz w:val="8"/>
                <w:szCs w:val="8"/>
                <w:color w:val="auto"/>
              </w:rPr>
            </w:pPr>
          </w:p>
        </w:tc>
        <w:tc>
          <w:tcPr>
            <w:tcW w:w="108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2120" w:type="dxa"/>
            <w:vAlign w:val="bottom"/>
            <w:gridSpan w:val="4"/>
          </w:tcPr>
          <w:p>
            <w:pPr>
              <w:ind w:left="40"/>
              <w:spacing w:after="0" w:line="145" w:lineRule="exact"/>
              <w:rPr>
                <w:sz w:val="20"/>
                <w:szCs w:val="20"/>
                <w:color w:val="auto"/>
              </w:rPr>
            </w:pPr>
            <w:r>
              <w:rPr>
                <w:rFonts w:ascii="Arial" w:cs="Arial" w:eastAsia="Arial" w:hAnsi="Arial"/>
                <w:sz w:val="14"/>
                <w:szCs w:val="14"/>
                <w:color w:val="auto"/>
              </w:rPr>
              <w:t>Common shares</w:t>
            </w:r>
          </w:p>
        </w:tc>
        <w:tc>
          <w:tcPr>
            <w:tcW w:w="1220" w:type="dxa"/>
            <w:vAlign w:val="bottom"/>
            <w:gridSpan w:val="2"/>
          </w:tcPr>
          <w:p>
            <w:pPr>
              <w:ind w:left="640"/>
              <w:spacing w:after="0" w:line="145" w:lineRule="exact"/>
              <w:rPr>
                <w:sz w:val="20"/>
                <w:szCs w:val="20"/>
                <w:color w:val="auto"/>
              </w:rPr>
            </w:pPr>
            <w:r>
              <w:rPr>
                <w:rFonts w:ascii="Arial" w:cs="Arial" w:eastAsia="Arial" w:hAnsi="Arial"/>
                <w:sz w:val="14"/>
                <w:szCs w:val="14"/>
                <w:color w:val="auto"/>
              </w:rPr>
              <w:t>RSUs</w:t>
            </w:r>
          </w:p>
        </w:tc>
        <w:tc>
          <w:tcPr>
            <w:tcW w:w="840" w:type="dxa"/>
            <w:vAlign w:val="bottom"/>
          </w:tcPr>
          <w:p>
            <w:pPr>
              <w:ind w:left="60"/>
              <w:spacing w:after="0" w:line="145" w:lineRule="exact"/>
              <w:rPr>
                <w:sz w:val="20"/>
                <w:szCs w:val="20"/>
                <w:color w:val="auto"/>
              </w:rPr>
            </w:pPr>
            <w:r>
              <w:rPr>
                <w:rFonts w:ascii="Arial" w:cs="Arial" w:eastAsia="Arial" w:hAnsi="Arial"/>
                <w:sz w:val="14"/>
                <w:szCs w:val="14"/>
                <w:color w:val="auto"/>
              </w:rPr>
              <w:t>DSUs</w:t>
            </w:r>
          </w:p>
        </w:tc>
        <w:tc>
          <w:tcPr>
            <w:tcW w:w="76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Options</w:t>
            </w: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1660" w:type="dxa"/>
            <w:vAlign w:val="bottom"/>
          </w:tcPr>
          <w:p>
            <w:pPr>
              <w:ind w:left="20"/>
              <w:spacing w:after="0"/>
              <w:rPr>
                <w:sz w:val="20"/>
                <w:szCs w:val="20"/>
                <w:color w:val="auto"/>
              </w:rPr>
            </w:pPr>
            <w:r>
              <w:rPr>
                <w:rFonts w:ascii="Arial" w:cs="Arial" w:eastAsia="Arial" w:hAnsi="Arial"/>
                <w:sz w:val="14"/>
                <w:szCs w:val="14"/>
                <w:color w:val="auto"/>
              </w:rPr>
              <w:t> –</w:t>
            </w:r>
          </w:p>
        </w:tc>
        <w:tc>
          <w:tcPr>
            <w:tcW w:w="920" w:type="dxa"/>
            <w:vAlign w:val="bottom"/>
          </w:tcPr>
          <w:p>
            <w:pPr>
              <w:ind w:left="760"/>
              <w:spacing w:after="0"/>
              <w:rPr>
                <w:sz w:val="20"/>
                <w:szCs w:val="20"/>
                <w:color w:val="auto"/>
              </w:rPr>
            </w:pPr>
            <w:r>
              <w:rPr>
                <w:rFonts w:ascii="Arial" w:cs="Arial" w:eastAsia="Arial" w:hAnsi="Arial"/>
                <w:sz w:val="12"/>
                <w:szCs w:val="12"/>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color w:val="auto"/>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6,980</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200"/>
              <w:spacing w:after="0"/>
              <w:rPr>
                <w:sz w:val="20"/>
                <w:szCs w:val="20"/>
                <w:color w:val="auto"/>
              </w:rPr>
            </w:pPr>
            <w:r>
              <w:rPr>
                <w:rFonts w:ascii="Arial" w:cs="Arial" w:eastAsia="Arial" w:hAnsi="Arial"/>
                <w:sz w:val="14"/>
                <w:szCs w:val="14"/>
                <w:color w:val="auto"/>
              </w:rPr>
              <w:t>6,980</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14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140" w:type="dxa"/>
            <w:vAlign w:val="bottom"/>
            <w:tcBorders>
              <w:bottom w:val="single" w:sz="8" w:color="AFAFAF"/>
            </w:tcBorders>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c>
          <w:tcPr>
            <w:tcW w:w="920" w:type="dxa"/>
            <w:vAlign w:val="bottom"/>
            <w:tcBorders>
              <w:bottom w:val="single" w:sz="8" w:color="AFAFAF"/>
            </w:tcBorders>
          </w:tcPr>
          <w:p>
            <w:pPr>
              <w:spacing w:after="0"/>
              <w:rPr>
                <w:sz w:val="7"/>
                <w:szCs w:val="7"/>
                <w:color w:val="auto"/>
              </w:rPr>
            </w:pPr>
          </w:p>
        </w:tc>
        <w:tc>
          <w:tcPr>
            <w:tcW w:w="30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0"/>
        </w:trPr>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w w:val="71"/>
              </w:rPr>
              <w:t> </w:t>
            </w:r>
          </w:p>
        </w:tc>
        <w:tc>
          <w:tcPr>
            <w:tcW w:w="140" w:type="dxa"/>
            <w:vAlign w:val="bottom"/>
          </w:tcPr>
          <w:p>
            <w:pPr>
              <w:ind w:left="20"/>
              <w:spacing w:after="0"/>
              <w:rPr>
                <w:sz w:val="20"/>
                <w:szCs w:val="20"/>
                <w:color w:val="auto"/>
              </w:rPr>
            </w:pPr>
            <w:r>
              <w:rPr>
                <w:rFonts w:ascii="Arial" w:cs="Arial" w:eastAsia="Arial" w:hAnsi="Arial"/>
                <w:sz w:val="14"/>
                <w:szCs w:val="14"/>
                <w:i w:val="1"/>
                <w:iCs w:val="1"/>
                <w:color w:val="auto"/>
                <w:w w:val="71"/>
              </w:rPr>
              <w:t> </w:t>
            </w:r>
          </w:p>
        </w:tc>
        <w:tc>
          <w:tcPr>
            <w:tcW w:w="166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920" w:type="dxa"/>
            <w:vAlign w:val="bottom"/>
          </w:tcPr>
          <w:p>
            <w:pPr>
              <w:ind w:left="760"/>
              <w:spacing w:after="0"/>
              <w:rPr>
                <w:sz w:val="20"/>
                <w:szCs w:val="20"/>
                <w:color w:val="auto"/>
              </w:rPr>
            </w:pPr>
            <w:r>
              <w:rPr>
                <w:rFonts w:ascii="Arial" w:cs="Arial" w:eastAsia="Arial" w:hAnsi="Arial"/>
                <w:sz w:val="12"/>
                <w:szCs w:val="12"/>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840" w:type="dxa"/>
            <w:vAlign w:val="bottom"/>
          </w:tcPr>
          <w:p>
            <w:pPr>
              <w:ind w:left="60"/>
              <w:spacing w:after="0"/>
              <w:rPr>
                <w:sz w:val="20"/>
                <w:szCs w:val="20"/>
                <w:color w:val="auto"/>
              </w:rPr>
            </w:pPr>
            <w:r>
              <w:rPr>
                <w:rFonts w:ascii="Arial" w:cs="Arial" w:eastAsia="Arial" w:hAnsi="Arial"/>
                <w:sz w:val="14"/>
                <w:szCs w:val="14"/>
                <w:i w:val="1"/>
                <w:iCs w:val="1"/>
                <w:color w:val="auto"/>
              </w:rPr>
              <w:t>$1,063,612</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0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$1,063,612</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4.3x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186690</wp:posOffset>
            </wp:positionV>
            <wp:extent cx="6929755"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00"/>
            <w:col w:w="8340"/>
          </w:cols>
          <w:pgMar w:left="320" w:top="454" w:right="499" w:bottom="1440" w:gutter="0" w:footer="0" w:header="0"/>
          <w:type w:val="continuous"/>
        </w:sect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24 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3099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309943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Kim M. Rivera</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55</w:t>
      </w:r>
    </w:p>
    <w:p>
      <w:pPr>
        <w:spacing w:after="0" w:line="64" w:lineRule="exact"/>
        <w:rPr>
          <w:sz w:val="20"/>
          <w:szCs w:val="20"/>
          <w:color w:val="auto"/>
        </w:rPr>
      </w:pPr>
    </w:p>
    <w:p>
      <w:pPr>
        <w:ind w:left="260" w:right="480"/>
        <w:spacing w:after="0" w:line="277" w:lineRule="auto"/>
        <w:rPr>
          <w:sz w:val="20"/>
          <w:szCs w:val="20"/>
          <w:color w:val="auto"/>
        </w:rPr>
      </w:pPr>
      <w:r>
        <w:rPr>
          <w:rFonts w:ascii="Arial" w:cs="Arial" w:eastAsia="Arial" w:hAnsi="Arial"/>
          <w:sz w:val="13"/>
          <w:szCs w:val="13"/>
          <w:color w:val="auto"/>
        </w:rPr>
        <w:t>Portola Valley, California, United States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Director since 2019</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Independent</w:t>
      </w:r>
    </w:p>
    <w:p>
      <w:pPr>
        <w:spacing w:after="0" w:line="64" w:lineRule="exact"/>
        <w:rPr>
          <w:sz w:val="20"/>
          <w:szCs w:val="20"/>
          <w:color w:val="auto"/>
        </w:rPr>
      </w:pPr>
    </w:p>
    <w:p>
      <w:pPr>
        <w:ind w:left="260"/>
        <w:spacing w:after="0" w:line="277" w:lineRule="auto"/>
        <w:rPr>
          <w:sz w:val="20"/>
          <w:szCs w:val="20"/>
          <w:color w:val="auto"/>
        </w:rPr>
      </w:pPr>
      <w:r>
        <w:rPr>
          <w:rFonts w:ascii="Arial" w:cs="Arial" w:eastAsia="Arial" w:hAnsi="Arial"/>
          <w:sz w:val="13"/>
          <w:szCs w:val="13"/>
          <w:color w:val="auto"/>
        </w:rPr>
        <w:t>Primary areas of expertise: legal, strategy, technology, operations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99.93%</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Kim M. Rivera</w:t>
      </w:r>
    </w:p>
    <w:p>
      <w:pPr>
        <w:spacing w:after="0" w:line="43" w:lineRule="exact"/>
        <w:rPr>
          <w:sz w:val="20"/>
          <w:szCs w:val="20"/>
          <w:color w:val="auto"/>
        </w:rPr>
      </w:pPr>
    </w:p>
    <w:p>
      <w:pPr>
        <w:ind w:left="60" w:right="60"/>
        <w:spacing w:after="0" w:line="243" w:lineRule="auto"/>
        <w:rPr>
          <w:sz w:val="20"/>
          <w:szCs w:val="20"/>
          <w:color w:val="auto"/>
        </w:rPr>
      </w:pPr>
      <w:r>
        <w:rPr>
          <w:rFonts w:ascii="Arial" w:cs="Arial" w:eastAsia="Arial" w:hAnsi="Arial"/>
          <w:sz w:val="14"/>
          <w:szCs w:val="14"/>
          <w:color w:val="auto"/>
        </w:rPr>
        <w:t>Kim M. Rivera is the Chief Legal and Business Affairs Officer of OneTrust, LLC, a privacy, security and governance management software company. She was Special Advisor to the CEO of HP Inc. from February 2021 through December 2021. Prior to that, Kim was President, Strategy and Business Management and Chief Legal Officer at HP Inc. from January 2019 through January 2021. As President, Strategy and Business Management, she led corporate strategy and development, customer support, indirect procurement, real estate and workplace functions. In addition, Kim managed HP Inc.’s worldwide legal organization, including all aspects of legal and governmental affairs, brand security, compliance and ethics. She served as Chief Legal Officer and General Counsel of HP Inc. from November 2015 to January 2019. Prior to joining HP Inc., Kim was the Chief Legal Officer and Corporate Secretary for DaVita HealthCare Partners where she was employed from 2010 to 2015. Prior to that, she served as the Chief Compliance Officer and Head of International Legal Services at The Clorox Company; and Chief Litigation Counsel for Rockwell Automation, as well as General Counsel for its Automation Controls and Information Group. Kim has a bachelor’s degree from Duke University and a Juris Doctor degree from Harvard Law School.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4"/>
          </w:tcPr>
          <w:p>
            <w:pPr>
              <w:ind w:left="60"/>
              <w:spacing w:after="0"/>
              <w:rPr>
                <w:sz w:val="20"/>
                <w:szCs w:val="20"/>
                <w:color w:val="auto"/>
              </w:rPr>
            </w:pPr>
            <w:r>
              <w:rPr>
                <w:rFonts w:ascii="Arial" w:cs="Arial" w:eastAsia="Arial" w:hAnsi="Arial"/>
                <w:sz w:val="14"/>
                <w:szCs w:val="14"/>
                <w:b w:val="1"/>
                <w:bCs w:val="1"/>
                <w:color w:val="auto"/>
              </w:rPr>
              <w:t>Board/committee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060" w:type="dxa"/>
            <w:vAlign w:val="bottom"/>
            <w:gridSpan w:val="4"/>
          </w:tcPr>
          <w:p>
            <w:pPr>
              <w:ind w:left="60"/>
              <w:spacing w:after="0"/>
              <w:rPr>
                <w:sz w:val="20"/>
                <w:szCs w:val="20"/>
                <w:color w:val="auto"/>
              </w:rPr>
            </w:pPr>
            <w:r>
              <w:rPr>
                <w:rFonts w:ascii="Arial" w:cs="Arial" w:eastAsia="Arial" w:hAnsi="Arial"/>
                <w:sz w:val="14"/>
                <w:szCs w:val="14"/>
                <w:b w:val="1"/>
                <w:bCs w:val="1"/>
                <w:color w:val="auto"/>
              </w:rPr>
              <w:t>membership</w:t>
            </w:r>
          </w:p>
        </w:tc>
        <w:tc>
          <w:tcPr>
            <w:tcW w:w="2120" w:type="dxa"/>
            <w:vAlign w:val="bottom"/>
            <w:gridSpan w:val="3"/>
          </w:tcPr>
          <w:p>
            <w:pPr>
              <w:ind w:left="700"/>
              <w:spacing w:after="0"/>
              <w:rPr>
                <w:sz w:val="20"/>
                <w:szCs w:val="20"/>
                <w:color w:val="auto"/>
              </w:rPr>
            </w:pPr>
            <w:r>
              <w:rPr>
                <w:rFonts w:ascii="Arial" w:cs="Arial" w:eastAsia="Arial" w:hAnsi="Arial"/>
                <w:sz w:val="14"/>
                <w:szCs w:val="14"/>
                <w:b w:val="1"/>
                <w:bCs w:val="1"/>
                <w:color w:val="auto"/>
              </w:rPr>
              <w:t>2023 attendance</w:t>
            </w:r>
          </w:p>
        </w:tc>
        <w:tc>
          <w:tcPr>
            <w:tcW w:w="4160" w:type="dxa"/>
            <w:vAlign w:val="bottom"/>
            <w:gridSpan w:val="5"/>
          </w:tcPr>
          <w:p>
            <w:pPr>
              <w:ind w:left="8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460" w:type="dxa"/>
            <w:vAlign w:val="bottom"/>
            <w:tcBorders>
              <w:bottom w:val="single" w:sz="8" w:color="AFAFAF"/>
            </w:tcBorders>
            <w:gridSpan w:val="3"/>
          </w:tcPr>
          <w:p>
            <w:pPr>
              <w:spacing w:after="0"/>
              <w:rPr>
                <w:sz w:val="7"/>
                <w:szCs w:val="7"/>
                <w:color w:val="auto"/>
              </w:rPr>
            </w:pPr>
          </w:p>
        </w:tc>
        <w:tc>
          <w:tcPr>
            <w:tcW w:w="1600" w:type="dxa"/>
            <w:vAlign w:val="bottom"/>
            <w:tcBorders>
              <w:bottom w:val="single" w:sz="8" w:color="AFAFAF"/>
            </w:tcBorders>
          </w:tcPr>
          <w:p>
            <w:pPr>
              <w:spacing w:after="0"/>
              <w:rPr>
                <w:sz w:val="7"/>
                <w:szCs w:val="7"/>
                <w:color w:val="auto"/>
              </w:rPr>
            </w:pPr>
          </w:p>
        </w:tc>
        <w:tc>
          <w:tcPr>
            <w:tcW w:w="128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40" w:type="dxa"/>
            <w:vAlign w:val="bottom"/>
            <w:tcBorders>
              <w:bottom w:val="single" w:sz="8" w:color="AFAFAF"/>
            </w:tcBorders>
            <w:gridSpan w:val="3"/>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460" w:type="dxa"/>
            <w:vAlign w:val="bottom"/>
            <w:gridSpan w:val="3"/>
          </w:tcPr>
          <w:p>
            <w:pPr>
              <w:ind w:left="60"/>
              <w:spacing w:after="0"/>
              <w:rPr>
                <w:sz w:val="20"/>
                <w:szCs w:val="20"/>
                <w:color w:val="auto"/>
              </w:rPr>
            </w:pPr>
            <w:r>
              <w:rPr>
                <w:rFonts w:ascii="Arial" w:cs="Arial" w:eastAsia="Arial" w:hAnsi="Arial"/>
                <w:sz w:val="14"/>
                <w:szCs w:val="14"/>
                <w:color w:val="auto"/>
              </w:rPr>
              <w:t>Board</w:t>
            </w:r>
          </w:p>
        </w:tc>
        <w:tc>
          <w:tcPr>
            <w:tcW w:w="1600" w:type="dxa"/>
            <w:vAlign w:val="bottom"/>
          </w:tcPr>
          <w:p>
            <w:pPr>
              <w:spacing w:after="0"/>
              <w:rPr>
                <w:sz w:val="15"/>
                <w:szCs w:val="15"/>
                <w:color w:val="auto"/>
              </w:rPr>
            </w:pPr>
          </w:p>
        </w:tc>
        <w:tc>
          <w:tcPr>
            <w:tcW w:w="1280" w:type="dxa"/>
            <w:vAlign w:val="bottom"/>
            <w:gridSpan w:val="2"/>
          </w:tcPr>
          <w:p>
            <w:pPr>
              <w:ind w:left="700"/>
              <w:spacing w:after="0"/>
              <w:rPr>
                <w:sz w:val="20"/>
                <w:szCs w:val="20"/>
                <w:color w:val="auto"/>
              </w:rPr>
            </w:pPr>
            <w:r>
              <w:rPr>
                <w:rFonts w:ascii="Arial" w:cs="Arial" w:eastAsia="Arial" w:hAnsi="Arial"/>
                <w:sz w:val="14"/>
                <w:szCs w:val="14"/>
                <w:color w:val="auto"/>
              </w:rPr>
              <w:t>7 of 9</w:t>
            </w:r>
          </w:p>
        </w:tc>
        <w:tc>
          <w:tcPr>
            <w:tcW w:w="840" w:type="dxa"/>
            <w:vAlign w:val="bottom"/>
          </w:tcPr>
          <w:p>
            <w:pPr>
              <w:ind w:left="60"/>
              <w:spacing w:after="0"/>
              <w:rPr>
                <w:sz w:val="20"/>
                <w:szCs w:val="20"/>
                <w:color w:val="auto"/>
              </w:rPr>
            </w:pPr>
            <w:r>
              <w:rPr>
                <w:rFonts w:ascii="Arial" w:cs="Arial" w:eastAsia="Arial" w:hAnsi="Arial"/>
                <w:sz w:val="14"/>
                <w:szCs w:val="14"/>
                <w:color w:val="auto"/>
              </w:rPr>
              <w:t>78%</w:t>
            </w:r>
          </w:p>
        </w:tc>
        <w:tc>
          <w:tcPr>
            <w:tcW w:w="1840" w:type="dxa"/>
            <w:vAlign w:val="bottom"/>
            <w:gridSpan w:val="3"/>
          </w:tcPr>
          <w:p>
            <w:pPr>
              <w:ind w:left="80"/>
              <w:spacing w:after="0"/>
              <w:rPr>
                <w:sz w:val="20"/>
                <w:szCs w:val="20"/>
                <w:color w:val="auto"/>
              </w:rPr>
            </w:pPr>
            <w:r>
              <w:rPr>
                <w:rFonts w:ascii="Arial" w:cs="Arial" w:eastAsia="Arial" w:hAnsi="Arial"/>
                <w:sz w:val="14"/>
                <w:szCs w:val="14"/>
                <w:color w:val="auto"/>
              </w:rPr>
              <w:t>Cano Health Inc.</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460" w:type="dxa"/>
            <w:vAlign w:val="bottom"/>
            <w:gridSpan w:val="3"/>
          </w:tcPr>
          <w:p>
            <w:pPr>
              <w:ind w:left="60"/>
              <w:spacing w:after="0"/>
              <w:rPr>
                <w:sz w:val="20"/>
                <w:szCs w:val="20"/>
                <w:color w:val="auto"/>
              </w:rPr>
            </w:pPr>
            <w:r>
              <w:rPr>
                <w:rFonts w:ascii="Arial" w:cs="Arial" w:eastAsia="Arial" w:hAnsi="Arial"/>
                <w:sz w:val="14"/>
                <w:szCs w:val="14"/>
                <w:color w:val="auto"/>
              </w:rPr>
              <w:t>Audit</w:t>
            </w:r>
          </w:p>
        </w:tc>
        <w:tc>
          <w:tcPr>
            <w:tcW w:w="160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4"/>
                <w:szCs w:val="14"/>
                <w:color w:val="auto"/>
              </w:rPr>
              <w:t>6 of 7</w:t>
            </w:r>
          </w:p>
        </w:tc>
        <w:tc>
          <w:tcPr>
            <w:tcW w:w="840" w:type="dxa"/>
            <w:vAlign w:val="bottom"/>
          </w:tcPr>
          <w:p>
            <w:pPr>
              <w:ind w:left="60"/>
              <w:spacing w:after="0"/>
              <w:rPr>
                <w:sz w:val="20"/>
                <w:szCs w:val="20"/>
                <w:color w:val="auto"/>
              </w:rPr>
            </w:pPr>
            <w:r>
              <w:rPr>
                <w:rFonts w:ascii="Arial" w:cs="Arial" w:eastAsia="Arial" w:hAnsi="Arial"/>
                <w:sz w:val="14"/>
                <w:szCs w:val="14"/>
                <w:color w:val="auto"/>
              </w:rPr>
              <w:t>86%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67"/>
        </w:trPr>
        <w:tc>
          <w:tcPr>
            <w:tcW w:w="340" w:type="dxa"/>
            <w:vAlign w:val="bottom"/>
            <w:gridSpan w:val="2"/>
          </w:tcPr>
          <w:p>
            <w:pPr>
              <w:ind w:left="60"/>
              <w:spacing w:after="0"/>
              <w:rPr>
                <w:sz w:val="20"/>
                <w:szCs w:val="20"/>
                <w:color w:val="auto"/>
              </w:rPr>
            </w:pPr>
            <w:r>
              <w:rPr>
                <w:rFonts w:ascii="Arial" w:cs="Arial" w:eastAsia="Arial" w:hAnsi="Arial"/>
                <w:sz w:val="14"/>
                <w:szCs w:val="14"/>
                <w:color w:val="auto"/>
                <w:w w:val="95"/>
              </w:rPr>
              <w:t>Risk</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80" w:type="dxa"/>
            <w:vAlign w:val="bottom"/>
            <w:gridSpan w:val="2"/>
          </w:tcPr>
          <w:p>
            <w:pPr>
              <w:ind w:left="700"/>
              <w:spacing w:after="0"/>
              <w:rPr>
                <w:sz w:val="20"/>
                <w:szCs w:val="20"/>
                <w:color w:val="auto"/>
              </w:rPr>
            </w:pPr>
            <w:r>
              <w:rPr>
                <w:rFonts w:ascii="Arial" w:cs="Arial" w:eastAsia="Arial" w:hAnsi="Arial"/>
                <w:sz w:val="14"/>
                <w:szCs w:val="14"/>
                <w:color w:val="auto"/>
              </w:rPr>
              <w:t>4 of 4</w:t>
            </w:r>
          </w:p>
        </w:tc>
        <w:tc>
          <w:tcPr>
            <w:tcW w:w="840" w:type="dxa"/>
            <w:vAlign w:val="bottom"/>
          </w:tcPr>
          <w:p>
            <w:pPr>
              <w:ind w:left="60"/>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88"/>
        </w:trPr>
        <w:tc>
          <w:tcPr>
            <w:tcW w:w="460" w:type="dxa"/>
            <w:vAlign w:val="bottom"/>
            <w:tcBorders>
              <w:bottom w:val="single" w:sz="8" w:color="AFAFAF"/>
            </w:tcBorders>
            <w:gridSpan w:val="3"/>
          </w:tcPr>
          <w:p>
            <w:pPr>
              <w:spacing w:after="0"/>
              <w:rPr>
                <w:sz w:val="7"/>
                <w:szCs w:val="7"/>
                <w:color w:val="auto"/>
              </w:rPr>
            </w:pPr>
          </w:p>
        </w:tc>
        <w:tc>
          <w:tcPr>
            <w:tcW w:w="1600" w:type="dxa"/>
            <w:vAlign w:val="bottom"/>
            <w:tcBorders>
              <w:bottom w:val="single" w:sz="8" w:color="AFAFAF"/>
            </w:tcBorders>
          </w:tcPr>
          <w:p>
            <w:pPr>
              <w:spacing w:after="0"/>
              <w:rPr>
                <w:sz w:val="7"/>
                <w:szCs w:val="7"/>
                <w:color w:val="auto"/>
              </w:rPr>
            </w:pPr>
          </w:p>
        </w:tc>
        <w:tc>
          <w:tcPr>
            <w:tcW w:w="128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4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rPr>
                <w:sz w:val="16"/>
                <w:szCs w:val="16"/>
                <w:color w:val="auto"/>
              </w:rPr>
            </w:pPr>
          </w:p>
        </w:tc>
        <w:tc>
          <w:tcPr>
            <w:tcW w:w="1280" w:type="dxa"/>
            <w:vAlign w:val="bottom"/>
            <w:gridSpan w:val="2"/>
          </w:tcPr>
          <w:p>
            <w:pPr>
              <w:ind w:left="700"/>
              <w:spacing w:after="0"/>
              <w:rPr>
                <w:sz w:val="20"/>
                <w:szCs w:val="20"/>
                <w:color w:val="auto"/>
              </w:rPr>
            </w:pPr>
            <w:r>
              <w:rPr>
                <w:rFonts w:ascii="Arial" w:cs="Arial" w:eastAsia="Arial" w:hAnsi="Arial"/>
                <w:sz w:val="14"/>
                <w:szCs w:val="14"/>
                <w:b w:val="1"/>
                <w:bCs w:val="1"/>
                <w:color w:val="auto"/>
              </w:rPr>
              <w:t>17 of 20</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85%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2"/>
        </w:trPr>
        <w:tc>
          <w:tcPr>
            <w:tcW w:w="2060" w:type="dxa"/>
            <w:vAlign w:val="bottom"/>
            <w:tcBorders>
              <w:bottom w:val="single" w:sz="8" w:color="AFAFAF"/>
            </w:tcBorders>
            <w:gridSpan w:val="4"/>
          </w:tcPr>
          <w:p>
            <w:pPr>
              <w:spacing w:after="0"/>
              <w:rPr>
                <w:sz w:val="6"/>
                <w:szCs w:val="6"/>
                <w:color w:val="auto"/>
              </w:rPr>
            </w:pPr>
          </w:p>
        </w:tc>
        <w:tc>
          <w:tcPr>
            <w:tcW w:w="980" w:type="dxa"/>
            <w:vAlign w:val="bottom"/>
            <w:tcBorders>
              <w:bottom w:val="single" w:sz="8" w:color="AFAFAF"/>
            </w:tcBorders>
          </w:tcPr>
          <w:p>
            <w:pPr>
              <w:spacing w:after="0"/>
              <w:rPr>
                <w:sz w:val="6"/>
                <w:szCs w:val="6"/>
                <w:color w:val="auto"/>
              </w:rPr>
            </w:pPr>
          </w:p>
        </w:tc>
        <w:tc>
          <w:tcPr>
            <w:tcW w:w="300" w:type="dxa"/>
            <w:vAlign w:val="bottom"/>
            <w:tcBorders>
              <w:bottom w:val="single" w:sz="8" w:color="AFAFAF"/>
            </w:tcBorders>
          </w:tcPr>
          <w:p>
            <w:pPr>
              <w:spacing w:after="0"/>
              <w:rPr>
                <w:sz w:val="6"/>
                <w:szCs w:val="6"/>
                <w:color w:val="auto"/>
              </w:rPr>
            </w:pPr>
          </w:p>
        </w:tc>
        <w:tc>
          <w:tcPr>
            <w:tcW w:w="840" w:type="dxa"/>
            <w:vAlign w:val="bottom"/>
            <w:tcBorders>
              <w:bottom w:val="single" w:sz="8" w:color="AFAFAF"/>
            </w:tcBorders>
          </w:tcPr>
          <w:p>
            <w:pPr>
              <w:spacing w:after="0"/>
              <w:rPr>
                <w:sz w:val="6"/>
                <w:szCs w:val="6"/>
                <w:color w:val="auto"/>
              </w:rPr>
            </w:pPr>
          </w:p>
        </w:tc>
        <w:tc>
          <w:tcPr>
            <w:tcW w:w="180" w:type="dxa"/>
            <w:vAlign w:val="bottom"/>
            <w:tcBorders>
              <w:bottom w:val="single" w:sz="8" w:color="AFAFAF"/>
            </w:tcBorders>
          </w:tcPr>
          <w:p>
            <w:pPr>
              <w:spacing w:after="0"/>
              <w:rPr>
                <w:sz w:val="6"/>
                <w:szCs w:val="6"/>
                <w:color w:val="auto"/>
              </w:rPr>
            </w:pPr>
          </w:p>
        </w:tc>
        <w:tc>
          <w:tcPr>
            <w:tcW w:w="580" w:type="dxa"/>
            <w:vAlign w:val="bottom"/>
            <w:tcBorders>
              <w:bottom w:val="single" w:sz="8" w:color="AFAFAF"/>
            </w:tcBorders>
          </w:tcPr>
          <w:p>
            <w:pPr>
              <w:spacing w:after="0"/>
              <w:rPr>
                <w:sz w:val="6"/>
                <w:szCs w:val="6"/>
                <w:color w:val="auto"/>
              </w:rPr>
            </w:pPr>
          </w:p>
        </w:tc>
        <w:tc>
          <w:tcPr>
            <w:tcW w:w="108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1380" w:type="dxa"/>
            <w:vAlign w:val="bottom"/>
            <w:tcBorders>
              <w:bottom w:val="single" w:sz="8" w:color="AFAFAF"/>
            </w:tcBorders>
          </w:tcPr>
          <w:p>
            <w:pPr>
              <w:spacing w:after="0"/>
              <w:rPr>
                <w:sz w:val="6"/>
                <w:szCs w:val="6"/>
                <w:color w:val="auto"/>
              </w:rPr>
            </w:pPr>
          </w:p>
        </w:tc>
      </w:tr>
      <w:tr>
        <w:trPr>
          <w:trHeight w:val="145"/>
        </w:trPr>
        <w:tc>
          <w:tcPr>
            <w:tcW w:w="2060" w:type="dxa"/>
            <w:vAlign w:val="bottom"/>
            <w:gridSpan w:val="4"/>
          </w:tcPr>
          <w:p>
            <w:pPr>
              <w:ind w:left="60"/>
              <w:spacing w:after="0" w:line="145" w:lineRule="exact"/>
              <w:rPr>
                <w:sz w:val="20"/>
                <w:szCs w:val="20"/>
                <w:color w:val="auto"/>
              </w:rPr>
            </w:pPr>
            <w:r>
              <w:rPr>
                <w:rFonts w:ascii="Arial" w:cs="Arial" w:eastAsia="Arial" w:hAnsi="Arial"/>
                <w:sz w:val="14"/>
                <w:szCs w:val="14"/>
                <w:b w:val="1"/>
                <w:bCs w:val="1"/>
                <w:color w:val="auto"/>
              </w:rPr>
              <w:t>Securities held</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ind w:left="200"/>
              <w:spacing w:after="0" w:line="145"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Ownership multiple</w:t>
            </w:r>
          </w:p>
        </w:tc>
      </w:tr>
      <w:tr>
        <w:trPr>
          <w:trHeight w:val="208"/>
        </w:trPr>
        <w:tc>
          <w:tcPr>
            <w:tcW w:w="2060" w:type="dxa"/>
            <w:vAlign w:val="bottom"/>
            <w:gridSpan w:val="4"/>
          </w:tcPr>
          <w:p>
            <w:pPr>
              <w:ind w:left="60"/>
              <w:spacing w:after="0"/>
              <w:rPr>
                <w:sz w:val="20"/>
                <w:szCs w:val="20"/>
                <w:color w:val="auto"/>
              </w:rPr>
            </w:pPr>
            <w:r>
              <w:rPr>
                <w:rFonts w:ascii="Arial" w:cs="Arial" w:eastAsia="Arial" w:hAnsi="Arial"/>
                <w:sz w:val="14"/>
                <w:szCs w:val="14"/>
                <w:b w:val="1"/>
                <w:bCs w:val="1"/>
                <w:color w:val="auto"/>
              </w:rPr>
              <w:t>(number and value)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82"/>
        </w:trPr>
        <w:tc>
          <w:tcPr>
            <w:tcW w:w="2060" w:type="dxa"/>
            <w:vAlign w:val="bottom"/>
            <w:tcBorders>
              <w:bottom w:val="single" w:sz="8" w:color="AFAFAF"/>
            </w:tcBorders>
            <w:gridSpan w:val="4"/>
          </w:tcPr>
          <w:p>
            <w:pPr>
              <w:spacing w:after="0"/>
              <w:rPr>
                <w:sz w:val="7"/>
                <w:szCs w:val="7"/>
                <w:color w:val="auto"/>
              </w:rPr>
            </w:pPr>
          </w:p>
        </w:tc>
        <w:tc>
          <w:tcPr>
            <w:tcW w:w="128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760" w:type="dxa"/>
            <w:vAlign w:val="bottom"/>
            <w:tcBorders>
              <w:bottom w:val="single" w:sz="8" w:color="AFAFAF"/>
            </w:tcBorders>
            <w:gridSpan w:val="2"/>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45"/>
        </w:trPr>
        <w:tc>
          <w:tcPr>
            <w:tcW w:w="2060" w:type="dxa"/>
            <w:vAlign w:val="bottom"/>
            <w:gridSpan w:val="4"/>
          </w:tcPr>
          <w:p>
            <w:pPr>
              <w:ind w:left="60"/>
              <w:spacing w:after="0" w:line="145" w:lineRule="exact"/>
              <w:rPr>
                <w:sz w:val="20"/>
                <w:szCs w:val="20"/>
                <w:color w:val="auto"/>
              </w:rPr>
            </w:pPr>
            <w:r>
              <w:rPr>
                <w:rFonts w:ascii="Arial" w:cs="Arial" w:eastAsia="Arial" w:hAnsi="Arial"/>
                <w:sz w:val="14"/>
                <w:szCs w:val="14"/>
                <w:color w:val="auto"/>
              </w:rPr>
              <w:t>Common shares</w:t>
            </w:r>
          </w:p>
        </w:tc>
        <w:tc>
          <w:tcPr>
            <w:tcW w:w="1280" w:type="dxa"/>
            <w:vAlign w:val="bottom"/>
            <w:gridSpan w:val="2"/>
          </w:tcPr>
          <w:p>
            <w:pPr>
              <w:ind w:left="700"/>
              <w:spacing w:after="0" w:line="145" w:lineRule="exact"/>
              <w:rPr>
                <w:sz w:val="20"/>
                <w:szCs w:val="20"/>
                <w:color w:val="auto"/>
              </w:rPr>
            </w:pPr>
            <w:r>
              <w:rPr>
                <w:rFonts w:ascii="Arial" w:cs="Arial" w:eastAsia="Arial" w:hAnsi="Arial"/>
                <w:sz w:val="14"/>
                <w:szCs w:val="14"/>
                <w:color w:val="auto"/>
              </w:rPr>
              <w:t>RSUs</w:t>
            </w:r>
          </w:p>
        </w:tc>
        <w:tc>
          <w:tcPr>
            <w:tcW w:w="840" w:type="dxa"/>
            <w:vAlign w:val="bottom"/>
          </w:tcPr>
          <w:p>
            <w:pPr>
              <w:ind w:left="60"/>
              <w:spacing w:after="0" w:line="145" w:lineRule="exact"/>
              <w:rPr>
                <w:sz w:val="20"/>
                <w:szCs w:val="20"/>
                <w:color w:val="auto"/>
              </w:rPr>
            </w:pPr>
            <w:r>
              <w:rPr>
                <w:rFonts w:ascii="Arial" w:cs="Arial" w:eastAsia="Arial" w:hAnsi="Arial"/>
                <w:sz w:val="14"/>
                <w:szCs w:val="14"/>
                <w:color w:val="auto"/>
              </w:rPr>
              <w:t>DSUs</w:t>
            </w:r>
          </w:p>
        </w:tc>
        <w:tc>
          <w:tcPr>
            <w:tcW w:w="76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Options</w:t>
            </w: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rPr>
                <w:sz w:val="20"/>
                <w:szCs w:val="20"/>
                <w:color w:val="auto"/>
              </w:rPr>
            </w:pPr>
            <w:r>
              <w:rPr>
                <w:rFonts w:ascii="Arial" w:cs="Arial" w:eastAsia="Arial" w:hAnsi="Arial"/>
                <w:sz w:val="14"/>
                <w:szCs w:val="14"/>
                <w:color w:val="auto"/>
                <w:w w:val="85"/>
              </w:rPr>
              <w:t> </w:t>
            </w: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1600" w:type="dxa"/>
            <w:vAlign w:val="bottom"/>
          </w:tcPr>
          <w:p>
            <w:pPr>
              <w:ind w:left="20"/>
              <w:spacing w:after="0"/>
              <w:rPr>
                <w:sz w:val="20"/>
                <w:szCs w:val="20"/>
                <w:color w:val="auto"/>
              </w:rPr>
            </w:pPr>
            <w:r>
              <w:rPr>
                <w:rFonts w:ascii="Arial" w:cs="Arial" w:eastAsia="Arial" w:hAnsi="Arial"/>
                <w:sz w:val="14"/>
                <w:szCs w:val="14"/>
                <w:color w:val="auto"/>
              </w:rPr>
              <w:t> –</w:t>
            </w:r>
          </w:p>
        </w:tc>
        <w:tc>
          <w:tcPr>
            <w:tcW w:w="980" w:type="dxa"/>
            <w:vAlign w:val="bottom"/>
          </w:tcPr>
          <w:p>
            <w:pPr>
              <w:ind w:left="820"/>
              <w:spacing w:after="0"/>
              <w:rPr>
                <w:sz w:val="20"/>
                <w:szCs w:val="20"/>
                <w:color w:val="auto"/>
              </w:rPr>
            </w:pPr>
            <w:r>
              <w:rPr>
                <w:rFonts w:ascii="Arial" w:cs="Arial" w:eastAsia="Arial" w:hAnsi="Arial"/>
                <w:sz w:val="12"/>
                <w:szCs w:val="12"/>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color w:val="auto"/>
              </w:rPr>
              <w:t>  </w:t>
            </w:r>
          </w:p>
        </w:tc>
        <w:tc>
          <w:tcPr>
            <w:tcW w:w="840" w:type="dxa"/>
            <w:vAlign w:val="bottom"/>
          </w:tcPr>
          <w:p>
            <w:pPr>
              <w:ind w:left="60"/>
              <w:spacing w:after="0"/>
              <w:rPr>
                <w:sz w:val="20"/>
                <w:szCs w:val="20"/>
                <w:color w:val="auto"/>
              </w:rPr>
            </w:pPr>
            <w:r>
              <w:rPr>
                <w:rFonts w:ascii="Arial" w:cs="Arial" w:eastAsia="Arial" w:hAnsi="Arial"/>
                <w:sz w:val="14"/>
                <w:szCs w:val="14"/>
                <w:color w:val="auto"/>
              </w:rPr>
              <w:t>10,338</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200"/>
              <w:spacing w:after="0"/>
              <w:rPr>
                <w:sz w:val="20"/>
                <w:szCs w:val="20"/>
                <w:color w:val="auto"/>
              </w:rPr>
            </w:pPr>
            <w:r>
              <w:rPr>
                <w:rFonts w:ascii="Arial" w:cs="Arial" w:eastAsia="Arial" w:hAnsi="Arial"/>
                <w:sz w:val="14"/>
                <w:szCs w:val="14"/>
                <w:color w:val="auto"/>
              </w:rPr>
              <w:t>10,338</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16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600" w:type="dxa"/>
            <w:vAlign w:val="bottom"/>
            <w:tcBorders>
              <w:bottom w:val="single" w:sz="8" w:color="AFAFAF"/>
            </w:tcBorders>
          </w:tcPr>
          <w:p>
            <w:pPr>
              <w:spacing w:after="0"/>
              <w:rPr>
                <w:sz w:val="7"/>
                <w:szCs w:val="7"/>
                <w:color w:val="auto"/>
              </w:rPr>
            </w:pPr>
          </w:p>
        </w:tc>
        <w:tc>
          <w:tcPr>
            <w:tcW w:w="980" w:type="dxa"/>
            <w:vAlign w:val="bottom"/>
            <w:tcBorders>
              <w:bottom w:val="single" w:sz="8" w:color="AFAFAF"/>
            </w:tcBorders>
          </w:tcPr>
          <w:p>
            <w:pPr>
              <w:spacing w:after="0"/>
              <w:rPr>
                <w:sz w:val="7"/>
                <w:szCs w:val="7"/>
                <w:color w:val="auto"/>
              </w:rPr>
            </w:pPr>
          </w:p>
        </w:tc>
        <w:tc>
          <w:tcPr>
            <w:tcW w:w="30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0"/>
        </w:trPr>
        <w:tc>
          <w:tcPr>
            <w:tcW w:w="160" w:type="dxa"/>
            <w:vAlign w:val="bottom"/>
          </w:tcPr>
          <w:p>
            <w:pPr>
              <w:ind w:left="6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40"/>
              <w:spacing w:after="0"/>
              <w:rPr>
                <w:sz w:val="20"/>
                <w:szCs w:val="20"/>
                <w:color w:val="auto"/>
              </w:rPr>
            </w:pPr>
            <w:r>
              <w:rPr>
                <w:rFonts w:ascii="Arial" w:cs="Arial" w:eastAsia="Arial" w:hAnsi="Arial"/>
                <w:sz w:val="14"/>
                <w:szCs w:val="14"/>
                <w:i w:val="1"/>
                <w:iCs w:val="1"/>
                <w:color w:val="auto"/>
                <w:w w:val="85"/>
              </w:rPr>
              <w:t> </w:t>
            </w:r>
          </w:p>
        </w:tc>
        <w:tc>
          <w:tcPr>
            <w:tcW w:w="120" w:type="dxa"/>
            <w:vAlign w:val="bottom"/>
          </w:tcPr>
          <w:p>
            <w:pPr>
              <w:spacing w:after="0"/>
              <w:rPr>
                <w:sz w:val="20"/>
                <w:szCs w:val="20"/>
                <w:color w:val="auto"/>
              </w:rPr>
            </w:pPr>
            <w:r>
              <w:rPr>
                <w:rFonts w:ascii="Arial" w:cs="Arial" w:eastAsia="Arial" w:hAnsi="Arial"/>
                <w:sz w:val="14"/>
                <w:szCs w:val="14"/>
                <w:i w:val="1"/>
                <w:iCs w:val="1"/>
                <w:color w:val="auto"/>
                <w:w w:val="71"/>
              </w:rPr>
              <w:t> </w:t>
            </w:r>
          </w:p>
        </w:tc>
        <w:tc>
          <w:tcPr>
            <w:tcW w:w="160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980" w:type="dxa"/>
            <w:vAlign w:val="bottom"/>
          </w:tcPr>
          <w:p>
            <w:pPr>
              <w:ind w:left="820"/>
              <w:spacing w:after="0"/>
              <w:rPr>
                <w:sz w:val="20"/>
                <w:szCs w:val="20"/>
                <w:color w:val="auto"/>
              </w:rPr>
            </w:pPr>
            <w:r>
              <w:rPr>
                <w:rFonts w:ascii="Arial" w:cs="Arial" w:eastAsia="Arial" w:hAnsi="Arial"/>
                <w:sz w:val="12"/>
                <w:szCs w:val="12"/>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840" w:type="dxa"/>
            <w:vAlign w:val="bottom"/>
          </w:tcPr>
          <w:p>
            <w:pPr>
              <w:ind w:left="60"/>
              <w:spacing w:after="0"/>
              <w:rPr>
                <w:sz w:val="20"/>
                <w:szCs w:val="20"/>
                <w:color w:val="auto"/>
              </w:rPr>
            </w:pPr>
            <w:r>
              <w:rPr>
                <w:rFonts w:ascii="Arial" w:cs="Arial" w:eastAsia="Arial" w:hAnsi="Arial"/>
                <w:sz w:val="14"/>
                <w:szCs w:val="14"/>
                <w:i w:val="1"/>
                <w:iCs w:val="1"/>
                <w:color w:val="auto"/>
              </w:rPr>
              <w:t>$1,575,304</w:t>
            </w:r>
          </w:p>
        </w:tc>
        <w:tc>
          <w:tcPr>
            <w:tcW w:w="180" w:type="dxa"/>
            <w:vAlign w:val="bottom"/>
          </w:tcPr>
          <w:p>
            <w:pPr>
              <w:ind w:left="80"/>
              <w:spacing w:after="0"/>
              <w:rPr>
                <w:sz w:val="20"/>
                <w:szCs w:val="20"/>
                <w:color w:val="auto"/>
              </w:rPr>
            </w:pPr>
            <w:r>
              <w:rPr>
                <w:rFonts w:ascii="Arial" w:cs="Arial" w:eastAsia="Arial" w:hAnsi="Arial"/>
                <w:sz w:val="11"/>
                <w:szCs w:val="11"/>
                <w:i w:val="1"/>
                <w:iCs w:val="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0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$1,575,304</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6.3x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520"/>
            <w:col w:w="8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Barry Salzberg</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70</w:t>
      </w:r>
    </w:p>
    <w:p>
      <w:pPr>
        <w:spacing w:after="0" w:line="64" w:lineRule="exact"/>
        <w:rPr>
          <w:sz w:val="20"/>
          <w:szCs w:val="20"/>
          <w:color w:val="auto"/>
        </w:rPr>
      </w:pPr>
    </w:p>
    <w:p>
      <w:pPr>
        <w:ind w:left="260"/>
        <w:spacing w:after="0" w:line="405" w:lineRule="auto"/>
        <w:rPr>
          <w:sz w:val="20"/>
          <w:szCs w:val="20"/>
          <w:color w:val="auto"/>
        </w:rPr>
      </w:pPr>
      <w:r>
        <w:rPr>
          <w:rFonts w:ascii="Arial" w:cs="Arial" w:eastAsia="Arial" w:hAnsi="Arial"/>
          <w:sz w:val="13"/>
          <w:szCs w:val="13"/>
          <w:color w:val="auto"/>
        </w:rPr>
        <w:t>New York, New York, United States Director since 2015 Independent</w:t>
      </w:r>
    </w:p>
    <w:p>
      <w:pPr>
        <w:spacing w:after="0" w:line="137" w:lineRule="exact"/>
        <w:rPr>
          <w:sz w:val="20"/>
          <w:szCs w:val="20"/>
          <w:color w:val="auto"/>
        </w:rPr>
      </w:pPr>
    </w:p>
    <w:p>
      <w:pPr>
        <w:ind w:left="260" w:right="380"/>
        <w:spacing w:after="0" w:line="256" w:lineRule="auto"/>
        <w:rPr>
          <w:sz w:val="20"/>
          <w:szCs w:val="20"/>
          <w:color w:val="auto"/>
        </w:rPr>
      </w:pPr>
      <w:r>
        <w:rPr>
          <w:rFonts w:ascii="Arial" w:cs="Arial" w:eastAsia="Arial" w:hAnsi="Arial"/>
          <w:sz w:val="13"/>
          <w:szCs w:val="13"/>
          <w:color w:val="auto"/>
        </w:rPr>
        <w:t>Primary areas of expertise: accounting/audit, operations, international business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99.64%</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Barry Salzberg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-127635</wp:posOffset>
            </wp:positionV>
            <wp:extent cx="6929755" cy="2776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2776855"/>
                    </a:xfrm>
                    <a:prstGeom prst="rect">
                      <a:avLst/>
                    </a:prstGeom>
                    <a:noFill/>
                  </pic:spPr>
                </pic:pic>
              </a:graphicData>
            </a:graphic>
          </wp:anchor>
        </w:drawing>
      </w:r>
    </w:p>
    <w:p>
      <w:pPr>
        <w:spacing w:after="0" w:line="23" w:lineRule="exact"/>
        <w:rPr>
          <w:sz w:val="20"/>
          <w:szCs w:val="20"/>
          <w:color w:val="auto"/>
        </w:rPr>
      </w:pPr>
    </w:p>
    <w:p>
      <w:pPr>
        <w:ind w:left="60" w:right="20"/>
        <w:spacing w:after="0" w:line="246" w:lineRule="auto"/>
        <w:rPr>
          <w:sz w:val="20"/>
          <w:szCs w:val="20"/>
          <w:color w:val="auto"/>
        </w:rPr>
      </w:pPr>
      <w:r>
        <w:rPr>
          <w:rFonts w:ascii="Arial" w:cs="Arial" w:eastAsia="Arial" w:hAnsi="Arial"/>
          <w:sz w:val="14"/>
          <w:szCs w:val="14"/>
          <w:color w:val="auto"/>
        </w:rPr>
        <w:t>Barry Salzberg is a corporate director. Barry served as the Global Chief Executive Officer of Deloitte Touche Tohmatsu Limited from 2011 until his retirement in 2015. He joined Deloitte in 1977 and his roles included Chief Executive Officer and Managing Partner of the firm’s U.S. operations. Barry serves as a director at Embark Intermediate Holdings, LLC. Barry has previously served as a board member of New Profit, Inc. and previously served as Chairman of the United Way Worldwide, Chairman of the board of College Summit and Chairman of the board of the YMCA of Greater New York. From July 2015 until June 2018, he was a Professor at Columbia Business School. Barry has a BS in Accounting from Brooklyn College, a JD from Brooklyn Law School, and an LLM in Taxation from the New York University School of Law.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4"/>
          </w:tcPr>
          <w:p>
            <w:pPr>
              <w:ind w:left="60"/>
              <w:spacing w:after="0"/>
              <w:rPr>
                <w:sz w:val="20"/>
                <w:szCs w:val="20"/>
                <w:color w:val="auto"/>
              </w:rPr>
            </w:pPr>
            <w:r>
              <w:rPr>
                <w:rFonts w:ascii="Arial" w:cs="Arial" w:eastAsia="Arial" w:hAnsi="Arial"/>
                <w:sz w:val="14"/>
                <w:szCs w:val="14"/>
                <w:b w:val="1"/>
                <w:bCs w:val="1"/>
                <w:color w:val="auto"/>
              </w:rPr>
              <w:t>Board/committee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140" w:type="dxa"/>
            <w:vAlign w:val="bottom"/>
            <w:gridSpan w:val="4"/>
          </w:tcPr>
          <w:p>
            <w:pPr>
              <w:ind w:left="60"/>
              <w:spacing w:after="0"/>
              <w:rPr>
                <w:sz w:val="20"/>
                <w:szCs w:val="20"/>
                <w:color w:val="auto"/>
              </w:rPr>
            </w:pPr>
            <w:r>
              <w:rPr>
                <w:rFonts w:ascii="Arial" w:cs="Arial" w:eastAsia="Arial" w:hAnsi="Arial"/>
                <w:sz w:val="14"/>
                <w:szCs w:val="14"/>
                <w:b w:val="1"/>
                <w:bCs w:val="1"/>
                <w:color w:val="auto"/>
              </w:rPr>
              <w:t>membership</w:t>
            </w:r>
          </w:p>
        </w:tc>
        <w:tc>
          <w:tcPr>
            <w:tcW w:w="2060" w:type="dxa"/>
            <w:vAlign w:val="bottom"/>
            <w:gridSpan w:val="3"/>
          </w:tcPr>
          <w:p>
            <w:pPr>
              <w:ind w:left="62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5"/>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460" w:type="dxa"/>
            <w:vAlign w:val="bottom"/>
            <w:tcBorders>
              <w:bottom w:val="single" w:sz="8" w:color="AFAFAF"/>
            </w:tcBorders>
            <w:gridSpan w:val="3"/>
          </w:tcPr>
          <w:p>
            <w:pPr>
              <w:spacing w:after="0"/>
              <w:rPr>
                <w:sz w:val="7"/>
                <w:szCs w:val="7"/>
                <w:color w:val="auto"/>
              </w:rPr>
            </w:pPr>
          </w:p>
        </w:tc>
        <w:tc>
          <w:tcPr>
            <w:tcW w:w="1680" w:type="dxa"/>
            <w:vAlign w:val="bottom"/>
            <w:tcBorders>
              <w:bottom w:val="single" w:sz="8" w:color="AFAFAF"/>
            </w:tcBorders>
          </w:tcPr>
          <w:p>
            <w:pPr>
              <w:spacing w:after="0"/>
              <w:rPr>
                <w:sz w:val="7"/>
                <w:szCs w:val="7"/>
                <w:color w:val="auto"/>
              </w:rPr>
            </w:pPr>
          </w:p>
        </w:tc>
        <w:tc>
          <w:tcPr>
            <w:tcW w:w="1000" w:type="dxa"/>
            <w:vAlign w:val="bottom"/>
            <w:tcBorders>
              <w:bottom w:val="single" w:sz="8" w:color="AFAFAF"/>
            </w:tcBorders>
          </w:tcPr>
          <w:p>
            <w:pPr>
              <w:spacing w:after="0"/>
              <w:rPr>
                <w:sz w:val="7"/>
                <w:szCs w:val="7"/>
                <w:color w:val="auto"/>
              </w:rPr>
            </w:pPr>
          </w:p>
        </w:tc>
        <w:tc>
          <w:tcPr>
            <w:tcW w:w="22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460" w:type="dxa"/>
            <w:vAlign w:val="bottom"/>
            <w:gridSpan w:val="3"/>
          </w:tcPr>
          <w:p>
            <w:pPr>
              <w:ind w:left="60"/>
              <w:spacing w:after="0"/>
              <w:rPr>
                <w:sz w:val="20"/>
                <w:szCs w:val="20"/>
                <w:color w:val="auto"/>
              </w:rPr>
            </w:pPr>
            <w:r>
              <w:rPr>
                <w:rFonts w:ascii="Arial" w:cs="Arial" w:eastAsia="Arial" w:hAnsi="Arial"/>
                <w:sz w:val="14"/>
                <w:szCs w:val="14"/>
                <w:color w:val="auto"/>
              </w:rPr>
              <w:t>Board</w:t>
            </w:r>
          </w:p>
        </w:tc>
        <w:tc>
          <w:tcPr>
            <w:tcW w:w="1680" w:type="dxa"/>
            <w:vAlign w:val="bottom"/>
          </w:tcPr>
          <w:p>
            <w:pPr>
              <w:spacing w:after="0"/>
              <w:rPr>
                <w:sz w:val="15"/>
                <w:szCs w:val="15"/>
                <w:color w:val="auto"/>
              </w:rPr>
            </w:pPr>
          </w:p>
        </w:tc>
        <w:tc>
          <w:tcPr>
            <w:tcW w:w="1000" w:type="dxa"/>
            <w:vAlign w:val="bottom"/>
          </w:tcPr>
          <w:p>
            <w:pPr>
              <w:ind w:left="620"/>
              <w:spacing w:after="0"/>
              <w:rPr>
                <w:sz w:val="20"/>
                <w:szCs w:val="20"/>
                <w:color w:val="auto"/>
              </w:rPr>
            </w:pPr>
            <w:r>
              <w:rPr>
                <w:rFonts w:ascii="Arial" w:cs="Arial" w:eastAsia="Arial" w:hAnsi="Arial"/>
                <w:sz w:val="14"/>
                <w:szCs w:val="14"/>
                <w:color w:val="auto"/>
              </w:rPr>
              <w:t>9 of 9</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ind w:left="6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460" w:type="dxa"/>
            <w:vAlign w:val="bottom"/>
            <w:gridSpan w:val="3"/>
          </w:tcPr>
          <w:p>
            <w:pPr>
              <w:ind w:left="60"/>
              <w:spacing w:after="0"/>
              <w:rPr>
                <w:sz w:val="20"/>
                <w:szCs w:val="20"/>
                <w:color w:val="auto"/>
              </w:rPr>
            </w:pPr>
            <w:r>
              <w:rPr>
                <w:rFonts w:ascii="Arial" w:cs="Arial" w:eastAsia="Arial" w:hAnsi="Arial"/>
                <w:sz w:val="14"/>
                <w:szCs w:val="14"/>
                <w:color w:val="auto"/>
              </w:rPr>
              <w:t>Audit</w:t>
            </w:r>
          </w:p>
        </w:tc>
        <w:tc>
          <w:tcPr>
            <w:tcW w:w="168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4"/>
                <w:szCs w:val="14"/>
                <w:color w:val="auto"/>
              </w:rPr>
              <w:t>7 of 7</w:t>
            </w:r>
          </w:p>
        </w:tc>
        <w:tc>
          <w:tcPr>
            <w:tcW w:w="2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2140" w:type="dxa"/>
            <w:vAlign w:val="bottom"/>
            <w:gridSpan w:val="4"/>
          </w:tcPr>
          <w:p>
            <w:pPr>
              <w:ind w:left="60"/>
              <w:spacing w:after="0"/>
              <w:rPr>
                <w:sz w:val="20"/>
                <w:szCs w:val="20"/>
                <w:color w:val="auto"/>
              </w:rPr>
            </w:pPr>
            <w:r>
              <w:rPr>
                <w:rFonts w:ascii="Arial" w:cs="Arial" w:eastAsia="Arial" w:hAnsi="Arial"/>
                <w:sz w:val="14"/>
                <w:szCs w:val="14"/>
                <w:color w:val="auto"/>
              </w:rPr>
              <w:t>Corporate Governance</w:t>
            </w:r>
          </w:p>
        </w:tc>
        <w:tc>
          <w:tcPr>
            <w:tcW w:w="1000" w:type="dxa"/>
            <w:vAlign w:val="bottom"/>
          </w:tcPr>
          <w:p>
            <w:pPr>
              <w:ind w:left="620"/>
              <w:spacing w:after="0"/>
              <w:rPr>
                <w:sz w:val="20"/>
                <w:szCs w:val="20"/>
                <w:color w:val="auto"/>
              </w:rPr>
            </w:pPr>
            <w:r>
              <w:rPr>
                <w:rFonts w:ascii="Arial" w:cs="Arial" w:eastAsia="Arial" w:hAnsi="Arial"/>
                <w:sz w:val="14"/>
                <w:szCs w:val="14"/>
                <w:color w:val="auto"/>
              </w:rPr>
              <w:t>5 of 5</w:t>
            </w:r>
          </w:p>
        </w:tc>
        <w:tc>
          <w:tcPr>
            <w:tcW w:w="2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7"/>
        </w:trPr>
        <w:tc>
          <w:tcPr>
            <w:tcW w:w="340" w:type="dxa"/>
            <w:vAlign w:val="bottom"/>
            <w:gridSpan w:val="2"/>
          </w:tcPr>
          <w:p>
            <w:pPr>
              <w:ind w:left="60"/>
              <w:spacing w:after="0"/>
              <w:rPr>
                <w:sz w:val="20"/>
                <w:szCs w:val="20"/>
                <w:color w:val="auto"/>
              </w:rPr>
            </w:pPr>
            <w:r>
              <w:rPr>
                <w:rFonts w:ascii="Arial" w:cs="Arial" w:eastAsia="Arial" w:hAnsi="Arial"/>
                <w:sz w:val="14"/>
                <w:szCs w:val="14"/>
                <w:color w:val="auto"/>
                <w:w w:val="95"/>
              </w:rPr>
              <w:t>Risk</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0" w:type="dxa"/>
            <w:vAlign w:val="bottom"/>
          </w:tcPr>
          <w:p>
            <w:pPr>
              <w:ind w:left="620"/>
              <w:spacing w:after="0"/>
              <w:rPr>
                <w:sz w:val="20"/>
                <w:szCs w:val="20"/>
                <w:color w:val="auto"/>
              </w:rPr>
            </w:pPr>
            <w:r>
              <w:rPr>
                <w:rFonts w:ascii="Arial" w:cs="Arial" w:eastAsia="Arial" w:hAnsi="Arial"/>
                <w:sz w:val="14"/>
                <w:szCs w:val="14"/>
                <w:color w:val="auto"/>
              </w:rPr>
              <w:t>4 of 4</w:t>
            </w:r>
          </w:p>
        </w:tc>
        <w:tc>
          <w:tcPr>
            <w:tcW w:w="220" w:type="dxa"/>
            <w:vAlign w:val="bottom"/>
          </w:tcPr>
          <w:p>
            <w:pPr>
              <w:spacing w:after="0"/>
              <w:rPr>
                <w:sz w:val="23"/>
                <w:szCs w:val="23"/>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88"/>
        </w:trPr>
        <w:tc>
          <w:tcPr>
            <w:tcW w:w="460" w:type="dxa"/>
            <w:vAlign w:val="bottom"/>
            <w:tcBorders>
              <w:bottom w:val="single" w:sz="8" w:color="AFAFAF"/>
            </w:tcBorders>
            <w:gridSpan w:val="3"/>
          </w:tcPr>
          <w:p>
            <w:pPr>
              <w:spacing w:after="0"/>
              <w:rPr>
                <w:sz w:val="7"/>
                <w:szCs w:val="7"/>
                <w:color w:val="auto"/>
              </w:rPr>
            </w:pPr>
          </w:p>
        </w:tc>
        <w:tc>
          <w:tcPr>
            <w:tcW w:w="1680" w:type="dxa"/>
            <w:vAlign w:val="bottom"/>
            <w:tcBorders>
              <w:bottom w:val="single" w:sz="8" w:color="AFAFAF"/>
            </w:tcBorders>
          </w:tcPr>
          <w:p>
            <w:pPr>
              <w:spacing w:after="0"/>
              <w:rPr>
                <w:sz w:val="7"/>
                <w:szCs w:val="7"/>
                <w:color w:val="auto"/>
              </w:rPr>
            </w:pPr>
          </w:p>
        </w:tc>
        <w:tc>
          <w:tcPr>
            <w:tcW w:w="1220" w:type="dxa"/>
            <w:vAlign w:val="bottom"/>
            <w:tcBorders>
              <w:bottom w:val="single" w:sz="8" w:color="AFAFAF"/>
            </w:tcBorders>
            <w:gridSpan w:val="2"/>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201"/>
        </w:trPr>
        <w:tc>
          <w:tcPr>
            <w:tcW w:w="460" w:type="dxa"/>
            <w:vAlign w:val="bottom"/>
            <w:tcBorders>
              <w:bottom w:val="single" w:sz="8" w:color="AFAFAF"/>
            </w:tcBorders>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AFAFAF"/>
            </w:tcBorders>
          </w:tcPr>
          <w:p>
            <w:pPr>
              <w:spacing w:after="0"/>
              <w:rPr>
                <w:sz w:val="17"/>
                <w:szCs w:val="17"/>
                <w:color w:val="auto"/>
              </w:rPr>
            </w:pPr>
          </w:p>
        </w:tc>
        <w:tc>
          <w:tcPr>
            <w:tcW w:w="1220" w:type="dxa"/>
            <w:vAlign w:val="bottom"/>
            <w:tcBorders>
              <w:bottom w:val="single" w:sz="8" w:color="AFAFAF"/>
            </w:tcBorders>
            <w:gridSpan w:val="2"/>
          </w:tcPr>
          <w:p>
            <w:pPr>
              <w:ind w:left="620"/>
              <w:spacing w:after="0"/>
              <w:rPr>
                <w:sz w:val="20"/>
                <w:szCs w:val="20"/>
                <w:color w:val="auto"/>
              </w:rPr>
            </w:pPr>
            <w:r>
              <w:rPr>
                <w:rFonts w:ascii="Arial" w:cs="Arial" w:eastAsia="Arial" w:hAnsi="Arial"/>
                <w:sz w:val="14"/>
                <w:szCs w:val="14"/>
                <w:b w:val="1"/>
                <w:bCs w:val="1"/>
                <w:color w:val="auto"/>
              </w:rPr>
              <w:t>25 of 25</w:t>
            </w:r>
          </w:p>
        </w:tc>
        <w:tc>
          <w:tcPr>
            <w:tcW w:w="840" w:type="dxa"/>
            <w:vAlign w:val="bottom"/>
            <w:tcBorders>
              <w:bottom w:val="single" w:sz="8" w:color="AFAFAF"/>
            </w:tcBorders>
          </w:tcPr>
          <w:p>
            <w:pPr>
              <w:ind w:left="80"/>
              <w:spacing w:after="0"/>
              <w:rPr>
                <w:sz w:val="20"/>
                <w:szCs w:val="20"/>
                <w:color w:val="auto"/>
              </w:rPr>
            </w:pPr>
            <w:r>
              <w:rPr>
                <w:rFonts w:ascii="Arial" w:cs="Arial" w:eastAsia="Arial" w:hAnsi="Arial"/>
                <w:sz w:val="14"/>
                <w:szCs w:val="14"/>
                <w:b w:val="1"/>
                <w:bCs w:val="1"/>
                <w:color w:val="auto"/>
              </w:rPr>
              <w:t>100%</w:t>
            </w:r>
          </w:p>
        </w:tc>
        <w:tc>
          <w:tcPr>
            <w:tcW w:w="160" w:type="dxa"/>
            <w:vAlign w:val="bottom"/>
            <w:tcBorders>
              <w:bottom w:val="single" w:sz="8" w:color="AFAFAF"/>
            </w:tcBorders>
          </w:tcPr>
          <w:p>
            <w:pPr>
              <w:spacing w:after="0"/>
              <w:rPr>
                <w:sz w:val="17"/>
                <w:szCs w:val="17"/>
                <w:color w:val="auto"/>
              </w:rPr>
            </w:pPr>
          </w:p>
        </w:tc>
        <w:tc>
          <w:tcPr>
            <w:tcW w:w="580" w:type="dxa"/>
            <w:vAlign w:val="bottom"/>
            <w:tcBorders>
              <w:bottom w:val="single" w:sz="8" w:color="AFAFAF"/>
            </w:tcBorders>
          </w:tcPr>
          <w:p>
            <w:pPr>
              <w:spacing w:after="0"/>
              <w:rPr>
                <w:sz w:val="17"/>
                <w:szCs w:val="17"/>
                <w:color w:val="auto"/>
              </w:rPr>
            </w:pPr>
          </w:p>
        </w:tc>
        <w:tc>
          <w:tcPr>
            <w:tcW w:w="108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spacing w:after="0"/>
              <w:rPr>
                <w:sz w:val="17"/>
                <w:szCs w:val="17"/>
                <w:color w:val="auto"/>
              </w:rPr>
            </w:pPr>
          </w:p>
        </w:tc>
        <w:tc>
          <w:tcPr>
            <w:tcW w:w="1380" w:type="dxa"/>
            <w:vAlign w:val="bottom"/>
            <w:tcBorders>
              <w:bottom w:val="single" w:sz="8" w:color="AFAFAF"/>
            </w:tcBorders>
          </w:tcPr>
          <w:p>
            <w:pPr>
              <w:spacing w:after="0"/>
              <w:rPr>
                <w:sz w:val="17"/>
                <w:szCs w:val="17"/>
                <w:color w:val="auto"/>
              </w:rPr>
            </w:pPr>
          </w:p>
        </w:tc>
      </w:tr>
      <w:tr>
        <w:trPr>
          <w:trHeight w:val="151"/>
        </w:trPr>
        <w:tc>
          <w:tcPr>
            <w:tcW w:w="2140" w:type="dxa"/>
            <w:vAlign w:val="bottom"/>
            <w:gridSpan w:val="4"/>
          </w:tcPr>
          <w:p>
            <w:pPr>
              <w:ind w:left="60"/>
              <w:spacing w:after="0" w:line="151" w:lineRule="exact"/>
              <w:rPr>
                <w:sz w:val="20"/>
                <w:szCs w:val="20"/>
                <w:color w:val="auto"/>
              </w:rPr>
            </w:pPr>
            <w:r>
              <w:rPr>
                <w:rFonts w:ascii="Arial" w:cs="Arial" w:eastAsia="Arial" w:hAnsi="Arial"/>
                <w:sz w:val="14"/>
                <w:szCs w:val="14"/>
                <w:b w:val="1"/>
                <w:bCs w:val="1"/>
                <w:color w:val="auto"/>
              </w:rPr>
              <w:t>Securities held</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51" w:lineRule="exact"/>
              <w:rPr>
                <w:sz w:val="20"/>
                <w:szCs w:val="20"/>
                <w:color w:val="auto"/>
              </w:rPr>
            </w:pPr>
            <w:r>
              <w:rPr>
                <w:rFonts w:ascii="Arial" w:cs="Arial" w:eastAsia="Arial" w:hAnsi="Arial"/>
                <w:sz w:val="14"/>
                <w:szCs w:val="14"/>
                <w:b w:val="1"/>
                <w:bCs w:val="1"/>
                <w:color w:val="auto"/>
              </w:rPr>
              <w:t>Ownership multiple</w:t>
            </w:r>
          </w:p>
        </w:tc>
      </w:tr>
      <w:tr>
        <w:trPr>
          <w:trHeight w:val="195"/>
        </w:trPr>
        <w:tc>
          <w:tcPr>
            <w:tcW w:w="2140" w:type="dxa"/>
            <w:vAlign w:val="bottom"/>
            <w:gridSpan w:val="4"/>
          </w:tcPr>
          <w:p>
            <w:pPr>
              <w:ind w:left="60"/>
              <w:spacing w:after="0"/>
              <w:rPr>
                <w:sz w:val="20"/>
                <w:szCs w:val="20"/>
                <w:color w:val="auto"/>
              </w:rPr>
            </w:pPr>
            <w:r>
              <w:rPr>
                <w:rFonts w:ascii="Arial" w:cs="Arial" w:eastAsia="Arial" w:hAnsi="Arial"/>
                <w:sz w:val="14"/>
                <w:szCs w:val="14"/>
                <w:b w:val="1"/>
                <w:bCs w:val="1"/>
                <w:color w:val="auto"/>
              </w:rPr>
              <w:t>(number and value)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2140" w:type="dxa"/>
            <w:vAlign w:val="bottom"/>
            <w:tcBorders>
              <w:bottom w:val="single" w:sz="8" w:color="AFAFAF"/>
            </w:tcBorders>
            <w:gridSpan w:val="4"/>
          </w:tcPr>
          <w:p>
            <w:pPr>
              <w:spacing w:after="0"/>
              <w:rPr>
                <w:sz w:val="8"/>
                <w:szCs w:val="8"/>
                <w:color w:val="auto"/>
              </w:rPr>
            </w:pPr>
          </w:p>
        </w:tc>
        <w:tc>
          <w:tcPr>
            <w:tcW w:w="1000" w:type="dxa"/>
            <w:vAlign w:val="bottom"/>
            <w:tcBorders>
              <w:bottom w:val="single" w:sz="8" w:color="AFAFAF"/>
            </w:tcBorders>
          </w:tcPr>
          <w:p>
            <w:pPr>
              <w:spacing w:after="0"/>
              <w:rPr>
                <w:sz w:val="8"/>
                <w:szCs w:val="8"/>
                <w:color w:val="auto"/>
              </w:rPr>
            </w:pPr>
          </w:p>
        </w:tc>
        <w:tc>
          <w:tcPr>
            <w:tcW w:w="220" w:type="dxa"/>
            <w:vAlign w:val="bottom"/>
            <w:tcBorders>
              <w:bottom w:val="single" w:sz="8" w:color="AFAFAF"/>
            </w:tcBorders>
          </w:tcPr>
          <w:p>
            <w:pPr>
              <w:spacing w:after="0"/>
              <w:rPr>
                <w:sz w:val="8"/>
                <w:szCs w:val="8"/>
                <w:color w:val="auto"/>
              </w:rPr>
            </w:pPr>
          </w:p>
        </w:tc>
        <w:tc>
          <w:tcPr>
            <w:tcW w:w="840" w:type="dxa"/>
            <w:vAlign w:val="bottom"/>
            <w:tcBorders>
              <w:bottom w:val="single" w:sz="8" w:color="AFAFAF"/>
            </w:tcBorders>
          </w:tcPr>
          <w:p>
            <w:pPr>
              <w:spacing w:after="0"/>
              <w:rPr>
                <w:sz w:val="8"/>
                <w:szCs w:val="8"/>
                <w:color w:val="auto"/>
              </w:rPr>
            </w:pPr>
          </w:p>
        </w:tc>
        <w:tc>
          <w:tcPr>
            <w:tcW w:w="740" w:type="dxa"/>
            <w:vAlign w:val="bottom"/>
            <w:tcBorders>
              <w:bottom w:val="single" w:sz="8" w:color="AFAFAF"/>
            </w:tcBorders>
            <w:gridSpan w:val="2"/>
          </w:tcPr>
          <w:p>
            <w:pPr>
              <w:spacing w:after="0"/>
              <w:rPr>
                <w:sz w:val="8"/>
                <w:szCs w:val="8"/>
                <w:color w:val="auto"/>
              </w:rPr>
            </w:pPr>
          </w:p>
        </w:tc>
        <w:tc>
          <w:tcPr>
            <w:tcW w:w="108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2140" w:type="dxa"/>
            <w:vAlign w:val="bottom"/>
            <w:gridSpan w:val="4"/>
          </w:tcPr>
          <w:p>
            <w:pPr>
              <w:ind w:left="60"/>
              <w:spacing w:after="0" w:line="145" w:lineRule="exact"/>
              <w:rPr>
                <w:sz w:val="20"/>
                <w:szCs w:val="20"/>
                <w:color w:val="auto"/>
              </w:rPr>
            </w:pPr>
            <w:r>
              <w:rPr>
                <w:rFonts w:ascii="Arial" w:cs="Arial" w:eastAsia="Arial" w:hAnsi="Arial"/>
                <w:sz w:val="14"/>
                <w:szCs w:val="14"/>
                <w:color w:val="auto"/>
              </w:rPr>
              <w:t>Common shares</w:t>
            </w:r>
          </w:p>
        </w:tc>
        <w:tc>
          <w:tcPr>
            <w:tcW w:w="1000" w:type="dxa"/>
            <w:vAlign w:val="bottom"/>
          </w:tcPr>
          <w:p>
            <w:pPr>
              <w:ind w:left="620"/>
              <w:spacing w:after="0" w:line="145" w:lineRule="exact"/>
              <w:rPr>
                <w:sz w:val="20"/>
                <w:szCs w:val="20"/>
                <w:color w:val="auto"/>
              </w:rPr>
            </w:pPr>
            <w:r>
              <w:rPr>
                <w:rFonts w:ascii="Arial" w:cs="Arial" w:eastAsia="Arial" w:hAnsi="Arial"/>
                <w:sz w:val="14"/>
                <w:szCs w:val="14"/>
                <w:color w:val="auto"/>
                <w:w w:val="98"/>
              </w:rPr>
              <w:t>RSUs</w:t>
            </w:r>
          </w:p>
        </w:tc>
        <w:tc>
          <w:tcPr>
            <w:tcW w:w="22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7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Options</w:t>
            </w: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40"/>
              <w:spacing w:after="0"/>
              <w:rPr>
                <w:sz w:val="20"/>
                <w:szCs w:val="20"/>
                <w:color w:val="auto"/>
              </w:rPr>
            </w:pPr>
            <w:r>
              <w:rPr>
                <w:rFonts w:ascii="Arial" w:cs="Arial" w:eastAsia="Arial" w:hAnsi="Arial"/>
                <w:sz w:val="14"/>
                <w:szCs w:val="14"/>
                <w:color w:val="auto"/>
                <w:w w:val="85"/>
              </w:rPr>
              <w:t> </w:t>
            </w: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1680" w:type="dxa"/>
            <w:vAlign w:val="bottom"/>
          </w:tcPr>
          <w:p>
            <w:pPr>
              <w:ind w:left="20"/>
              <w:spacing w:after="0"/>
              <w:rPr>
                <w:sz w:val="20"/>
                <w:szCs w:val="20"/>
                <w:color w:val="auto"/>
              </w:rPr>
            </w:pPr>
            <w:r>
              <w:rPr>
                <w:rFonts w:ascii="Arial" w:cs="Arial" w:eastAsia="Arial" w:hAnsi="Arial"/>
                <w:sz w:val="14"/>
                <w:szCs w:val="14"/>
                <w:color w:val="auto"/>
              </w:rPr>
              <w:t> –</w:t>
            </w:r>
          </w:p>
        </w:tc>
        <w:tc>
          <w:tcPr>
            <w:tcW w:w="1000" w:type="dxa"/>
            <w:vAlign w:val="bottom"/>
          </w:tcPr>
          <w:p>
            <w:pPr>
              <w:ind w:left="780"/>
              <w:spacing w:after="0"/>
              <w:rPr>
                <w:sz w:val="20"/>
                <w:szCs w:val="20"/>
                <w:color w:val="auto"/>
              </w:rPr>
            </w:pPr>
            <w:r>
              <w:rPr>
                <w:rFonts w:ascii="Arial" w:cs="Arial" w:eastAsia="Arial" w:hAnsi="Arial"/>
                <w:sz w:val="14"/>
                <w:szCs w:val="14"/>
                <w:color w:val="auto"/>
                <w:w w:val="91"/>
              </w:rPr>
              <w:t>– </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color w:val="auto"/>
              </w:rPr>
              <w:t>29,270</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200"/>
              <w:spacing w:after="0"/>
              <w:rPr>
                <w:sz w:val="20"/>
                <w:szCs w:val="20"/>
                <w:color w:val="auto"/>
              </w:rPr>
            </w:pPr>
            <w:r>
              <w:rPr>
                <w:rFonts w:ascii="Arial" w:cs="Arial" w:eastAsia="Arial" w:hAnsi="Arial"/>
                <w:sz w:val="14"/>
                <w:szCs w:val="14"/>
                <w:color w:val="auto"/>
              </w:rPr>
              <w:t>29,270</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160" w:type="dxa"/>
            <w:vAlign w:val="bottom"/>
            <w:tcBorders>
              <w:bottom w:val="single" w:sz="8" w:color="AFAFAF"/>
            </w:tcBorders>
          </w:tcPr>
          <w:p>
            <w:pPr>
              <w:spacing w:after="0"/>
              <w:rPr>
                <w:sz w:val="7"/>
                <w:szCs w:val="7"/>
                <w:color w:val="auto"/>
              </w:rPr>
            </w:pPr>
          </w:p>
        </w:tc>
        <w:tc>
          <w:tcPr>
            <w:tcW w:w="180" w:type="dxa"/>
            <w:vAlign w:val="bottom"/>
            <w:tcBorders>
              <w:bottom w:val="single" w:sz="8" w:color="AFAFAF"/>
            </w:tcBorders>
          </w:tcPr>
          <w:p>
            <w:pPr>
              <w:spacing w:after="0"/>
              <w:rPr>
                <w:sz w:val="7"/>
                <w:szCs w:val="7"/>
                <w:color w:val="auto"/>
              </w:rPr>
            </w:pPr>
          </w:p>
        </w:tc>
        <w:tc>
          <w:tcPr>
            <w:tcW w:w="120" w:type="dxa"/>
            <w:vAlign w:val="bottom"/>
            <w:tcBorders>
              <w:bottom w:val="single" w:sz="8" w:color="AFAFAF"/>
            </w:tcBorders>
          </w:tcPr>
          <w:p>
            <w:pPr>
              <w:spacing w:after="0"/>
              <w:rPr>
                <w:sz w:val="7"/>
                <w:szCs w:val="7"/>
                <w:color w:val="auto"/>
              </w:rPr>
            </w:pPr>
          </w:p>
        </w:tc>
        <w:tc>
          <w:tcPr>
            <w:tcW w:w="1680" w:type="dxa"/>
            <w:vAlign w:val="bottom"/>
            <w:tcBorders>
              <w:bottom w:val="single" w:sz="8" w:color="AFAFAF"/>
            </w:tcBorders>
          </w:tcPr>
          <w:p>
            <w:pPr>
              <w:spacing w:after="0"/>
              <w:rPr>
                <w:sz w:val="7"/>
                <w:szCs w:val="7"/>
                <w:color w:val="auto"/>
              </w:rPr>
            </w:pPr>
          </w:p>
        </w:tc>
        <w:tc>
          <w:tcPr>
            <w:tcW w:w="1000" w:type="dxa"/>
            <w:vAlign w:val="bottom"/>
            <w:tcBorders>
              <w:bottom w:val="single" w:sz="8" w:color="AFAFAF"/>
            </w:tcBorders>
          </w:tcPr>
          <w:p>
            <w:pPr>
              <w:spacing w:after="0"/>
              <w:rPr>
                <w:sz w:val="7"/>
                <w:szCs w:val="7"/>
                <w:color w:val="auto"/>
              </w:rPr>
            </w:pPr>
          </w:p>
        </w:tc>
        <w:tc>
          <w:tcPr>
            <w:tcW w:w="22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0"/>
        </w:trPr>
        <w:tc>
          <w:tcPr>
            <w:tcW w:w="160" w:type="dxa"/>
            <w:vAlign w:val="bottom"/>
          </w:tcPr>
          <w:p>
            <w:pPr>
              <w:ind w:left="6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40"/>
              <w:spacing w:after="0"/>
              <w:rPr>
                <w:sz w:val="20"/>
                <w:szCs w:val="20"/>
                <w:color w:val="auto"/>
              </w:rPr>
            </w:pPr>
            <w:r>
              <w:rPr>
                <w:rFonts w:ascii="Arial" w:cs="Arial" w:eastAsia="Arial" w:hAnsi="Arial"/>
                <w:sz w:val="14"/>
                <w:szCs w:val="14"/>
                <w:i w:val="1"/>
                <w:iCs w:val="1"/>
                <w:color w:val="auto"/>
                <w:w w:val="85"/>
              </w:rPr>
              <w:t> </w:t>
            </w:r>
          </w:p>
        </w:tc>
        <w:tc>
          <w:tcPr>
            <w:tcW w:w="120" w:type="dxa"/>
            <w:vAlign w:val="bottom"/>
          </w:tcPr>
          <w:p>
            <w:pPr>
              <w:spacing w:after="0"/>
              <w:rPr>
                <w:sz w:val="20"/>
                <w:szCs w:val="20"/>
                <w:color w:val="auto"/>
              </w:rPr>
            </w:pPr>
            <w:r>
              <w:rPr>
                <w:rFonts w:ascii="Arial" w:cs="Arial" w:eastAsia="Arial" w:hAnsi="Arial"/>
                <w:sz w:val="14"/>
                <w:szCs w:val="14"/>
                <w:i w:val="1"/>
                <w:iCs w:val="1"/>
                <w:color w:val="auto"/>
                <w:w w:val="71"/>
              </w:rPr>
              <w:t> </w:t>
            </w:r>
          </w:p>
        </w:tc>
        <w:tc>
          <w:tcPr>
            <w:tcW w:w="168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1000" w:type="dxa"/>
            <w:vAlign w:val="bottom"/>
          </w:tcPr>
          <w:p>
            <w:pPr>
              <w:ind w:left="780"/>
              <w:spacing w:after="0"/>
              <w:rPr>
                <w:sz w:val="20"/>
                <w:szCs w:val="20"/>
                <w:color w:val="auto"/>
              </w:rPr>
            </w:pPr>
            <w:r>
              <w:rPr>
                <w:rFonts w:ascii="Arial" w:cs="Arial" w:eastAsia="Arial" w:hAnsi="Arial"/>
                <w:sz w:val="14"/>
                <w:szCs w:val="14"/>
                <w:i w:val="1"/>
                <w:iCs w:val="1"/>
                <w:color w:val="auto"/>
                <w:w w:val="91"/>
              </w:rPr>
              <w:t>– </w:t>
            </w:r>
          </w:p>
        </w:tc>
        <w:tc>
          <w:tcPr>
            <w:tcW w:w="220" w:type="dxa"/>
            <w:vAlign w:val="bottom"/>
          </w:tcPr>
          <w:p>
            <w:pPr>
              <w:spacing w:after="0"/>
              <w:rPr>
                <w:sz w:val="20"/>
                <w:szCs w:val="20"/>
                <w:color w:val="auto"/>
              </w:rPr>
            </w:pPr>
            <w:r>
              <w:rPr>
                <w:rFonts w:ascii="Arial" w:cs="Arial" w:eastAsia="Arial" w:hAnsi="Arial"/>
                <w:sz w:val="14"/>
                <w:szCs w:val="14"/>
                <w:i w:val="1"/>
                <w:iCs w:val="1"/>
                <w:color w:val="auto"/>
              </w:rPr>
              <w:t>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$4,460,163</w:t>
            </w:r>
          </w:p>
        </w:tc>
        <w:tc>
          <w:tcPr>
            <w:tcW w:w="160" w:type="dxa"/>
            <w:vAlign w:val="bottom"/>
          </w:tcPr>
          <w:p>
            <w:pPr>
              <w:ind w:left="60"/>
              <w:spacing w:after="0"/>
              <w:rPr>
                <w:sz w:val="20"/>
                <w:szCs w:val="20"/>
                <w:color w:val="auto"/>
              </w:rPr>
            </w:pPr>
            <w:r>
              <w:rPr>
                <w:rFonts w:ascii="Arial" w:cs="Arial" w:eastAsia="Arial" w:hAnsi="Arial"/>
                <w:sz w:val="11"/>
                <w:szCs w:val="11"/>
                <w:i w:val="1"/>
                <w:iCs w:val="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0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$4,460,163</w:t>
            </w:r>
          </w:p>
        </w:tc>
        <w:tc>
          <w:tcPr>
            <w:tcW w:w="1380" w:type="dxa"/>
            <w:vAlign w:val="bottom"/>
          </w:tcPr>
          <w:p>
            <w:pPr>
              <w:ind w:left="60"/>
              <w:spacing w:after="0"/>
              <w:rPr>
                <w:sz w:val="20"/>
                <w:szCs w:val="20"/>
                <w:color w:val="auto"/>
              </w:rPr>
            </w:pPr>
            <w:r>
              <w:rPr>
                <w:rFonts w:ascii="Arial" w:cs="Arial" w:eastAsia="Arial" w:hAnsi="Arial"/>
                <w:sz w:val="14"/>
                <w:szCs w:val="14"/>
                <w:i w:val="1"/>
                <w:iCs w:val="1"/>
                <w:color w:val="auto"/>
              </w:rPr>
              <w:t>17.8x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50800</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186690</wp:posOffset>
            </wp:positionV>
            <wp:extent cx="6929755" cy="33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00"/>
            <w:col w:w="8340"/>
          </w:cols>
          <w:pgMar w:left="320" w:top="454" w:right="499" w:bottom="1440" w:gutter="0" w:footer="0" w:header="0"/>
          <w:type w:val="continuous"/>
        </w:sectPr>
      </w:pP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25</w:t>
      </w:r>
    </w:p>
    <w:p>
      <w:pPr>
        <w:sectPr>
          <w:pgSz w:w="11900" w:h="16838" w:orient="portrait"/>
          <w:cols w:equalWidth="0" w:num="1">
            <w:col w:w="11080"/>
          </w:cols>
          <w:pgMar w:left="320" w:top="454" w:right="4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Peter J. Thomson</w:t>
      </w:r>
      <w:r>
        <w:rPr>
          <w:rFonts w:ascii="Arial" w:cs="Arial" w:eastAsia="Arial" w:hAnsi="Arial"/>
          <w:sz w:val="20"/>
          <w:szCs w:val="20"/>
          <w:b w:val="1"/>
          <w:bCs w:val="1"/>
          <w:color w:val="auto"/>
          <w:vertAlign w:val="superscript"/>
        </w:rPr>
        <w:t>1</w:t>
      </w:r>
    </w:p>
    <w:p>
      <w:pPr>
        <w:ind w:left="260"/>
        <w:spacing w:after="0"/>
        <w:rPr>
          <w:sz w:val="20"/>
          <w:szCs w:val="20"/>
          <w:color w:val="auto"/>
        </w:rPr>
      </w:pPr>
      <w:r>
        <w:rPr>
          <w:rFonts w:ascii="Arial" w:cs="Arial" w:eastAsia="Arial" w:hAnsi="Arial"/>
          <w:sz w:val="13"/>
          <w:szCs w:val="13"/>
          <w:color w:val="auto"/>
        </w:rPr>
        <w:t>Age: 58</w:t>
      </w:r>
    </w:p>
    <w:p>
      <w:pPr>
        <w:spacing w:after="0" w:line="52" w:lineRule="exact"/>
        <w:rPr>
          <w:sz w:val="20"/>
          <w:szCs w:val="20"/>
          <w:color w:val="auto"/>
        </w:rPr>
      </w:pPr>
    </w:p>
    <w:p>
      <w:pPr>
        <w:ind w:left="260" w:right="520"/>
        <w:spacing w:after="0" w:line="343" w:lineRule="auto"/>
        <w:rPr>
          <w:sz w:val="20"/>
          <w:szCs w:val="20"/>
          <w:color w:val="auto"/>
        </w:rPr>
      </w:pPr>
      <w:r>
        <w:rPr>
          <w:rFonts w:ascii="Arial" w:cs="Arial" w:eastAsia="Arial" w:hAnsi="Arial"/>
          <w:sz w:val="13"/>
          <w:szCs w:val="13"/>
          <w:color w:val="auto"/>
        </w:rPr>
        <w:t>Toronto, Ontario, Canada Director since 1995 Non-independent</w:t>
      </w:r>
    </w:p>
    <w:p>
      <w:pPr>
        <w:spacing w:after="0" w:line="1" w:lineRule="exact"/>
        <w:rPr>
          <w:sz w:val="20"/>
          <w:szCs w:val="20"/>
          <w:color w:val="auto"/>
        </w:rPr>
      </w:pPr>
    </w:p>
    <w:p>
      <w:pPr>
        <w:ind w:left="260"/>
        <w:spacing w:after="0" w:line="256" w:lineRule="auto"/>
        <w:rPr>
          <w:sz w:val="20"/>
          <w:szCs w:val="20"/>
          <w:color w:val="auto"/>
        </w:rPr>
      </w:pPr>
      <w:r>
        <w:rPr>
          <w:rFonts w:ascii="Arial" w:cs="Arial" w:eastAsia="Arial" w:hAnsi="Arial"/>
          <w:sz w:val="13"/>
          <w:szCs w:val="13"/>
          <w:color w:val="auto"/>
        </w:rPr>
        <w:t>Primary areas of expertise: international business, investment management, technology</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97.26%</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Peter J.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-127635</wp:posOffset>
            </wp:positionV>
            <wp:extent cx="6929755" cy="2326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2326640"/>
                    </a:xfrm>
                    <a:prstGeom prst="rect">
                      <a:avLst/>
                    </a:prstGeom>
                    <a:noFill/>
                  </pic:spPr>
                </pic:pic>
              </a:graphicData>
            </a:graphic>
          </wp:anchor>
        </w:drawing>
      </w:r>
    </w:p>
    <w:p>
      <w:pPr>
        <w:spacing w:after="0" w:line="23" w:lineRule="exact"/>
        <w:rPr>
          <w:sz w:val="20"/>
          <w:szCs w:val="20"/>
          <w:color w:val="auto"/>
        </w:rPr>
      </w:pPr>
    </w:p>
    <w:p>
      <w:pPr>
        <w:ind w:left="40" w:right="20"/>
        <w:spacing w:after="0" w:line="281" w:lineRule="auto"/>
        <w:rPr>
          <w:sz w:val="20"/>
          <w:szCs w:val="20"/>
          <w:color w:val="auto"/>
        </w:rPr>
      </w:pPr>
      <w:r>
        <w:rPr>
          <w:rFonts w:ascii="Arial" w:cs="Arial" w:eastAsia="Arial" w:hAnsi="Arial"/>
          <w:sz w:val="14"/>
          <w:szCs w:val="14"/>
          <w:color w:val="auto"/>
        </w:rPr>
        <w:t>Peter J. Thomson is a Chairman of Woodbridge, the Thomson family investment company. Peter is an active private equity investor and serves on the boards of several private companies. Peter has a BA from the University of Western Ontario.</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4"/>
          </w:tcPr>
          <w:p>
            <w:pPr>
              <w:ind w:left="40"/>
              <w:spacing w:after="0"/>
              <w:rPr>
                <w:sz w:val="20"/>
                <w:szCs w:val="20"/>
                <w:color w:val="auto"/>
              </w:rPr>
            </w:pPr>
            <w:r>
              <w:rPr>
                <w:rFonts w:ascii="Arial" w:cs="Arial" w:eastAsia="Arial" w:hAnsi="Arial"/>
                <w:sz w:val="14"/>
                <w:szCs w:val="14"/>
                <w:b w:val="1"/>
                <w:bCs w:val="1"/>
                <w:color w:val="auto"/>
              </w:rPr>
              <w:t>Board/committee</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080" w:type="dxa"/>
            <w:vAlign w:val="bottom"/>
            <w:gridSpan w:val="4"/>
          </w:tcPr>
          <w:p>
            <w:pPr>
              <w:ind w:left="40"/>
              <w:spacing w:after="0"/>
              <w:rPr>
                <w:sz w:val="20"/>
                <w:szCs w:val="20"/>
                <w:color w:val="auto"/>
              </w:rPr>
            </w:pPr>
            <w:r>
              <w:rPr>
                <w:rFonts w:ascii="Arial" w:cs="Arial" w:eastAsia="Arial" w:hAnsi="Arial"/>
                <w:sz w:val="14"/>
                <w:szCs w:val="14"/>
                <w:b w:val="1"/>
                <w:bCs w:val="1"/>
                <w:color w:val="auto"/>
              </w:rPr>
              <w:t>membership</w:t>
            </w:r>
          </w:p>
        </w:tc>
        <w:tc>
          <w:tcPr>
            <w:tcW w:w="2120" w:type="dxa"/>
            <w:vAlign w:val="bottom"/>
            <w:gridSpan w:val="3"/>
          </w:tcPr>
          <w:p>
            <w:pPr>
              <w:ind w:left="68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5"/>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460" w:type="dxa"/>
            <w:vAlign w:val="bottom"/>
            <w:tcBorders>
              <w:bottom w:val="single" w:sz="8" w:color="AFAFAF"/>
            </w:tcBorders>
            <w:gridSpan w:val="3"/>
          </w:tcPr>
          <w:p>
            <w:pPr>
              <w:spacing w:after="0"/>
              <w:rPr>
                <w:sz w:val="7"/>
                <w:szCs w:val="7"/>
                <w:color w:val="auto"/>
              </w:rPr>
            </w:pPr>
          </w:p>
        </w:tc>
        <w:tc>
          <w:tcPr>
            <w:tcW w:w="1620" w:type="dxa"/>
            <w:vAlign w:val="bottom"/>
            <w:tcBorders>
              <w:bottom w:val="single" w:sz="8" w:color="AFAFAF"/>
            </w:tcBorders>
          </w:tcPr>
          <w:p>
            <w:pPr>
              <w:spacing w:after="0"/>
              <w:rPr>
                <w:sz w:val="7"/>
                <w:szCs w:val="7"/>
                <w:color w:val="auto"/>
              </w:rPr>
            </w:pPr>
          </w:p>
        </w:tc>
        <w:tc>
          <w:tcPr>
            <w:tcW w:w="1060" w:type="dxa"/>
            <w:vAlign w:val="bottom"/>
            <w:tcBorders>
              <w:bottom w:val="single" w:sz="8" w:color="AFAFAF"/>
            </w:tcBorders>
          </w:tcPr>
          <w:p>
            <w:pPr>
              <w:spacing w:after="0"/>
              <w:rPr>
                <w:sz w:val="7"/>
                <w:szCs w:val="7"/>
                <w:color w:val="auto"/>
              </w:rPr>
            </w:pPr>
          </w:p>
        </w:tc>
        <w:tc>
          <w:tcPr>
            <w:tcW w:w="22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1620" w:type="dxa"/>
            <w:vAlign w:val="bottom"/>
          </w:tcPr>
          <w:p>
            <w:pPr>
              <w:spacing w:after="0"/>
              <w:rPr>
                <w:sz w:val="15"/>
                <w:szCs w:val="15"/>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rPr>
              <w:t>9 of 9</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ind w:left="6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HR</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rPr>
              <w:t>6 of 6</w:t>
            </w:r>
          </w:p>
        </w:tc>
        <w:tc>
          <w:tcPr>
            <w:tcW w:w="2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8"/>
        </w:trPr>
        <w:tc>
          <w:tcPr>
            <w:tcW w:w="460" w:type="dxa"/>
            <w:vAlign w:val="bottom"/>
            <w:tcBorders>
              <w:bottom w:val="single" w:sz="8" w:color="AFAFAF"/>
            </w:tcBorders>
            <w:gridSpan w:val="3"/>
          </w:tcPr>
          <w:p>
            <w:pPr>
              <w:spacing w:after="0"/>
              <w:rPr>
                <w:sz w:val="4"/>
                <w:szCs w:val="4"/>
                <w:color w:val="auto"/>
              </w:rPr>
            </w:pPr>
          </w:p>
        </w:tc>
        <w:tc>
          <w:tcPr>
            <w:tcW w:w="1620" w:type="dxa"/>
            <w:vAlign w:val="bottom"/>
            <w:tcBorders>
              <w:bottom w:val="single" w:sz="8" w:color="AFAFAF"/>
            </w:tcBorders>
          </w:tcPr>
          <w:p>
            <w:pPr>
              <w:spacing w:after="0"/>
              <w:rPr>
                <w:sz w:val="4"/>
                <w:szCs w:val="4"/>
                <w:color w:val="auto"/>
              </w:rPr>
            </w:pPr>
          </w:p>
        </w:tc>
        <w:tc>
          <w:tcPr>
            <w:tcW w:w="1280" w:type="dxa"/>
            <w:vAlign w:val="bottom"/>
            <w:tcBorders>
              <w:bottom w:val="single" w:sz="8" w:color="AFAFAF"/>
            </w:tcBorders>
            <w:gridSpan w:val="2"/>
          </w:tcPr>
          <w:p>
            <w:pPr>
              <w:spacing w:after="0"/>
              <w:rPr>
                <w:sz w:val="4"/>
                <w:szCs w:val="4"/>
                <w:color w:val="auto"/>
              </w:rPr>
            </w:pPr>
          </w:p>
        </w:tc>
        <w:tc>
          <w:tcPr>
            <w:tcW w:w="840" w:type="dxa"/>
            <w:vAlign w:val="bottom"/>
            <w:tcBorders>
              <w:bottom w:val="single" w:sz="8" w:color="AFAFAF"/>
            </w:tcBorders>
          </w:tcPr>
          <w:p>
            <w:pPr>
              <w:spacing w:after="0"/>
              <w:rPr>
                <w:sz w:val="4"/>
                <w:szCs w:val="4"/>
                <w:color w:val="auto"/>
              </w:rPr>
            </w:pPr>
          </w:p>
        </w:tc>
        <w:tc>
          <w:tcPr>
            <w:tcW w:w="160" w:type="dxa"/>
            <w:vAlign w:val="bottom"/>
            <w:tcBorders>
              <w:bottom w:val="single" w:sz="8" w:color="AFAFAF"/>
            </w:tcBorders>
          </w:tcPr>
          <w:p>
            <w:pPr>
              <w:spacing w:after="0"/>
              <w:rPr>
                <w:sz w:val="4"/>
                <w:szCs w:val="4"/>
                <w:color w:val="auto"/>
              </w:rPr>
            </w:pPr>
          </w:p>
        </w:tc>
        <w:tc>
          <w:tcPr>
            <w:tcW w:w="580" w:type="dxa"/>
            <w:vAlign w:val="bottom"/>
            <w:tcBorders>
              <w:bottom w:val="single" w:sz="8" w:color="AFAFAF"/>
            </w:tcBorders>
          </w:tcPr>
          <w:p>
            <w:pPr>
              <w:spacing w:after="0"/>
              <w:rPr>
                <w:sz w:val="4"/>
                <w:szCs w:val="4"/>
                <w:color w:val="auto"/>
              </w:rPr>
            </w:pPr>
          </w:p>
        </w:tc>
        <w:tc>
          <w:tcPr>
            <w:tcW w:w="1080" w:type="dxa"/>
            <w:vAlign w:val="bottom"/>
            <w:tcBorders>
              <w:bottom w:val="single" w:sz="8" w:color="AFAFAF"/>
            </w:tcBorders>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r>
      <w:tr>
        <w:trPr>
          <w:trHeight w:val="188"/>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620" w:type="dxa"/>
            <w:vAlign w:val="bottom"/>
          </w:tcPr>
          <w:p>
            <w:pPr>
              <w:spacing w:after="0"/>
              <w:rPr>
                <w:sz w:val="16"/>
                <w:szCs w:val="16"/>
                <w:color w:val="auto"/>
              </w:rPr>
            </w:pPr>
          </w:p>
        </w:tc>
        <w:tc>
          <w:tcPr>
            <w:tcW w:w="1280" w:type="dxa"/>
            <w:vAlign w:val="bottom"/>
            <w:gridSpan w:val="2"/>
          </w:tcPr>
          <w:p>
            <w:pPr>
              <w:ind w:left="680"/>
              <w:spacing w:after="0"/>
              <w:rPr>
                <w:sz w:val="20"/>
                <w:szCs w:val="20"/>
                <w:color w:val="auto"/>
              </w:rPr>
            </w:pPr>
            <w:r>
              <w:rPr>
                <w:rFonts w:ascii="Arial" w:cs="Arial" w:eastAsia="Arial" w:hAnsi="Arial"/>
                <w:sz w:val="14"/>
                <w:szCs w:val="14"/>
                <w:b w:val="1"/>
                <w:bCs w:val="1"/>
                <w:color w:val="auto"/>
              </w:rPr>
              <w:t>15 of 15</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
        </w:trPr>
        <w:tc>
          <w:tcPr>
            <w:tcW w:w="2080" w:type="dxa"/>
            <w:vAlign w:val="bottom"/>
            <w:tcBorders>
              <w:bottom w:val="single" w:sz="8" w:color="AFAFAF"/>
            </w:tcBorders>
            <w:gridSpan w:val="4"/>
          </w:tcPr>
          <w:p>
            <w:pPr>
              <w:spacing w:after="0"/>
              <w:rPr>
                <w:sz w:val="2"/>
                <w:szCs w:val="2"/>
                <w:color w:val="auto"/>
              </w:rPr>
            </w:pPr>
          </w:p>
        </w:tc>
        <w:tc>
          <w:tcPr>
            <w:tcW w:w="1060" w:type="dxa"/>
            <w:vAlign w:val="bottom"/>
            <w:tcBorders>
              <w:bottom w:val="single" w:sz="8" w:color="AFAFAF"/>
            </w:tcBorders>
          </w:tcPr>
          <w:p>
            <w:pPr>
              <w:spacing w:after="0"/>
              <w:rPr>
                <w:sz w:val="2"/>
                <w:szCs w:val="2"/>
                <w:color w:val="auto"/>
              </w:rPr>
            </w:pPr>
          </w:p>
        </w:tc>
        <w:tc>
          <w:tcPr>
            <w:tcW w:w="220" w:type="dxa"/>
            <w:vAlign w:val="bottom"/>
            <w:tcBorders>
              <w:bottom w:val="single" w:sz="8" w:color="AFAFAF"/>
            </w:tcBorders>
          </w:tcPr>
          <w:p>
            <w:pPr>
              <w:spacing w:after="0"/>
              <w:rPr>
                <w:sz w:val="2"/>
                <w:szCs w:val="2"/>
                <w:color w:val="auto"/>
              </w:rPr>
            </w:pPr>
          </w:p>
        </w:tc>
        <w:tc>
          <w:tcPr>
            <w:tcW w:w="840" w:type="dxa"/>
            <w:vAlign w:val="bottom"/>
            <w:tcBorders>
              <w:bottom w:val="single" w:sz="8" w:color="AFAFAF"/>
            </w:tcBorders>
          </w:tcPr>
          <w:p>
            <w:pPr>
              <w:spacing w:after="0"/>
              <w:rPr>
                <w:sz w:val="2"/>
                <w:szCs w:val="2"/>
                <w:color w:val="auto"/>
              </w:rPr>
            </w:pPr>
          </w:p>
        </w:tc>
        <w:tc>
          <w:tcPr>
            <w:tcW w:w="160" w:type="dxa"/>
            <w:vAlign w:val="bottom"/>
            <w:tcBorders>
              <w:bottom w:val="single" w:sz="8" w:color="AFAFAF"/>
            </w:tcBorders>
          </w:tcPr>
          <w:p>
            <w:pPr>
              <w:spacing w:after="0"/>
              <w:rPr>
                <w:sz w:val="2"/>
                <w:szCs w:val="2"/>
                <w:color w:val="auto"/>
              </w:rPr>
            </w:pPr>
          </w:p>
        </w:tc>
        <w:tc>
          <w:tcPr>
            <w:tcW w:w="580" w:type="dxa"/>
            <w:vAlign w:val="bottom"/>
            <w:tcBorders>
              <w:bottom w:val="single" w:sz="8" w:color="AFAFAF"/>
            </w:tcBorders>
          </w:tcPr>
          <w:p>
            <w:pPr>
              <w:spacing w:after="0"/>
              <w:rPr>
                <w:sz w:val="2"/>
                <w:szCs w:val="2"/>
                <w:color w:val="auto"/>
              </w:rPr>
            </w:pPr>
          </w:p>
        </w:tc>
        <w:tc>
          <w:tcPr>
            <w:tcW w:w="1080" w:type="dxa"/>
            <w:vAlign w:val="bottom"/>
            <w:tcBorders>
              <w:bottom w:val="single" w:sz="8" w:color="AFAFAF"/>
            </w:tcBorders>
          </w:tcPr>
          <w:p>
            <w:pPr>
              <w:spacing w:after="0"/>
              <w:rPr>
                <w:sz w:val="2"/>
                <w:szCs w:val="2"/>
                <w:color w:val="auto"/>
              </w:rPr>
            </w:pPr>
          </w:p>
        </w:tc>
        <w:tc>
          <w:tcPr>
            <w:tcW w:w="940" w:type="dxa"/>
            <w:vAlign w:val="bottom"/>
            <w:tcBorders>
              <w:bottom w:val="single" w:sz="8" w:color="AFAFAF"/>
            </w:tcBorders>
          </w:tcPr>
          <w:p>
            <w:pPr>
              <w:spacing w:after="0"/>
              <w:rPr>
                <w:sz w:val="2"/>
                <w:szCs w:val="2"/>
                <w:color w:val="auto"/>
              </w:rPr>
            </w:pPr>
          </w:p>
        </w:tc>
        <w:tc>
          <w:tcPr>
            <w:tcW w:w="1380" w:type="dxa"/>
            <w:vAlign w:val="bottom"/>
            <w:tcBorders>
              <w:bottom w:val="single" w:sz="8" w:color="AFAFAF"/>
            </w:tcBorders>
          </w:tcPr>
          <w:p>
            <w:pPr>
              <w:spacing w:after="0"/>
              <w:rPr>
                <w:sz w:val="2"/>
                <w:szCs w:val="2"/>
                <w:color w:val="auto"/>
              </w:rPr>
            </w:pPr>
          </w:p>
        </w:tc>
      </w:tr>
      <w:tr>
        <w:trPr>
          <w:trHeight w:val="145"/>
        </w:trPr>
        <w:tc>
          <w:tcPr>
            <w:tcW w:w="208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Securities held</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ind w:left="200"/>
              <w:spacing w:after="0" w:line="145"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Ownership multiple</w:t>
            </w:r>
          </w:p>
        </w:tc>
      </w:tr>
      <w:tr>
        <w:trPr>
          <w:trHeight w:val="290"/>
        </w:trPr>
        <w:tc>
          <w:tcPr>
            <w:tcW w:w="2080" w:type="dxa"/>
            <w:vAlign w:val="bottom"/>
            <w:tcBorders>
              <w:bottom w:val="single" w:sz="8" w:color="AFAFAF"/>
            </w:tcBorders>
            <w:gridSpan w:val="4"/>
          </w:tcPr>
          <w:p>
            <w:pPr>
              <w:ind w:left="40"/>
              <w:spacing w:after="0"/>
              <w:rPr>
                <w:sz w:val="20"/>
                <w:szCs w:val="20"/>
                <w:color w:val="auto"/>
              </w:rPr>
            </w:pPr>
            <w:r>
              <w:rPr>
                <w:rFonts w:ascii="Arial" w:cs="Arial" w:eastAsia="Arial" w:hAnsi="Arial"/>
                <w:sz w:val="14"/>
                <w:szCs w:val="14"/>
                <w:b w:val="1"/>
                <w:bCs w:val="1"/>
                <w:color w:val="auto"/>
              </w:rPr>
              <w:t>(number and value)</w:t>
            </w:r>
            <w:r>
              <w:rPr>
                <w:rFonts w:ascii="Arial" w:cs="Arial" w:eastAsia="Arial" w:hAnsi="Arial"/>
                <w:sz w:val="21"/>
                <w:szCs w:val="21"/>
                <w:b w:val="1"/>
                <w:bCs w:val="1"/>
                <w:color w:val="auto"/>
                <w:vertAlign w:val="superscript"/>
              </w:rPr>
              <w:t>2</w:t>
            </w:r>
          </w:p>
        </w:tc>
        <w:tc>
          <w:tcPr>
            <w:tcW w:w="1060" w:type="dxa"/>
            <w:vAlign w:val="bottom"/>
            <w:tcBorders>
              <w:bottom w:val="single" w:sz="8" w:color="AFAFAF"/>
            </w:tcBorders>
          </w:tcPr>
          <w:p>
            <w:pPr>
              <w:spacing w:after="0"/>
              <w:rPr>
                <w:sz w:val="24"/>
                <w:szCs w:val="24"/>
                <w:color w:val="auto"/>
              </w:rPr>
            </w:pPr>
          </w:p>
        </w:tc>
        <w:tc>
          <w:tcPr>
            <w:tcW w:w="220" w:type="dxa"/>
            <w:vAlign w:val="bottom"/>
            <w:tcBorders>
              <w:bottom w:val="single" w:sz="8" w:color="AFAFAF"/>
            </w:tcBorders>
          </w:tcPr>
          <w:p>
            <w:pPr>
              <w:spacing w:after="0"/>
              <w:rPr>
                <w:sz w:val="24"/>
                <w:szCs w:val="24"/>
                <w:color w:val="auto"/>
              </w:rPr>
            </w:pPr>
          </w:p>
        </w:tc>
        <w:tc>
          <w:tcPr>
            <w:tcW w:w="840" w:type="dxa"/>
            <w:vAlign w:val="bottom"/>
            <w:tcBorders>
              <w:bottom w:val="single" w:sz="8" w:color="AFAFAF"/>
            </w:tcBorders>
          </w:tcPr>
          <w:p>
            <w:pPr>
              <w:spacing w:after="0"/>
              <w:rPr>
                <w:sz w:val="24"/>
                <w:szCs w:val="24"/>
                <w:color w:val="auto"/>
              </w:rPr>
            </w:pPr>
          </w:p>
        </w:tc>
        <w:tc>
          <w:tcPr>
            <w:tcW w:w="160" w:type="dxa"/>
            <w:vAlign w:val="bottom"/>
            <w:tcBorders>
              <w:bottom w:val="single" w:sz="8" w:color="AFAFAF"/>
            </w:tcBorders>
          </w:tcPr>
          <w:p>
            <w:pPr>
              <w:spacing w:after="0"/>
              <w:rPr>
                <w:sz w:val="24"/>
                <w:szCs w:val="24"/>
                <w:color w:val="auto"/>
              </w:rPr>
            </w:pPr>
          </w:p>
        </w:tc>
        <w:tc>
          <w:tcPr>
            <w:tcW w:w="580" w:type="dxa"/>
            <w:vAlign w:val="bottom"/>
            <w:tcBorders>
              <w:bottom w:val="single" w:sz="8" w:color="AFAFAF"/>
            </w:tcBorders>
          </w:tcPr>
          <w:p>
            <w:pPr>
              <w:spacing w:after="0"/>
              <w:rPr>
                <w:sz w:val="24"/>
                <w:szCs w:val="24"/>
                <w:color w:val="auto"/>
              </w:rPr>
            </w:pPr>
          </w:p>
        </w:tc>
        <w:tc>
          <w:tcPr>
            <w:tcW w:w="1080" w:type="dxa"/>
            <w:vAlign w:val="bottom"/>
            <w:tcBorders>
              <w:bottom w:val="single" w:sz="8" w:color="AFAFAF"/>
            </w:tcBorders>
          </w:tcPr>
          <w:p>
            <w:pPr>
              <w:ind w:left="200"/>
              <w:spacing w:after="0"/>
              <w:rPr>
                <w:sz w:val="20"/>
                <w:szCs w:val="20"/>
                <w:color w:val="auto"/>
              </w:rPr>
            </w:pPr>
            <w:r>
              <w:rPr>
                <w:rFonts w:ascii="Arial" w:cs="Arial" w:eastAsia="Arial" w:hAnsi="Arial"/>
                <w:sz w:val="14"/>
                <w:szCs w:val="14"/>
                <w:b w:val="1"/>
                <w:bCs w:val="1"/>
                <w:color w:val="auto"/>
              </w:rPr>
              <w:t>and DSUs</w:t>
            </w:r>
          </w:p>
        </w:tc>
        <w:tc>
          <w:tcPr>
            <w:tcW w:w="940" w:type="dxa"/>
            <w:vAlign w:val="bottom"/>
            <w:tcBorders>
              <w:bottom w:val="single" w:sz="8" w:color="AFAFAF"/>
            </w:tcBorders>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FAFAF"/>
            </w:tcBorders>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145"/>
        </w:trPr>
        <w:tc>
          <w:tcPr>
            <w:tcW w:w="2080" w:type="dxa"/>
            <w:vAlign w:val="bottom"/>
            <w:gridSpan w:val="4"/>
          </w:tcPr>
          <w:p>
            <w:pPr>
              <w:ind w:left="40"/>
              <w:spacing w:after="0" w:line="145" w:lineRule="exact"/>
              <w:rPr>
                <w:sz w:val="20"/>
                <w:szCs w:val="20"/>
                <w:color w:val="auto"/>
              </w:rPr>
            </w:pPr>
            <w:r>
              <w:rPr>
                <w:rFonts w:ascii="Arial" w:cs="Arial" w:eastAsia="Arial" w:hAnsi="Arial"/>
                <w:sz w:val="14"/>
                <w:szCs w:val="14"/>
                <w:color w:val="auto"/>
              </w:rPr>
              <w:t>Common shares</w:t>
            </w:r>
          </w:p>
        </w:tc>
        <w:tc>
          <w:tcPr>
            <w:tcW w:w="1060" w:type="dxa"/>
            <w:vAlign w:val="bottom"/>
          </w:tcPr>
          <w:p>
            <w:pPr>
              <w:ind w:left="680"/>
              <w:spacing w:after="0" w:line="145" w:lineRule="exact"/>
              <w:rPr>
                <w:sz w:val="20"/>
                <w:szCs w:val="20"/>
                <w:color w:val="auto"/>
              </w:rPr>
            </w:pPr>
            <w:r>
              <w:rPr>
                <w:rFonts w:ascii="Arial" w:cs="Arial" w:eastAsia="Arial" w:hAnsi="Arial"/>
                <w:sz w:val="14"/>
                <w:szCs w:val="14"/>
                <w:color w:val="auto"/>
                <w:w w:val="98"/>
              </w:rPr>
              <w:t>RSUs</w:t>
            </w:r>
          </w:p>
        </w:tc>
        <w:tc>
          <w:tcPr>
            <w:tcW w:w="22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color w:val="auto"/>
              </w:rPr>
              <w:t>DSUs</w:t>
            </w:r>
          </w:p>
        </w:tc>
        <w:tc>
          <w:tcPr>
            <w:tcW w:w="7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Options</w:t>
            </w: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620" w:type="dxa"/>
            <w:vAlign w:val="bottom"/>
          </w:tcPr>
          <w:p>
            <w:pPr>
              <w:ind w:left="20"/>
              <w:spacing w:after="0"/>
              <w:rPr>
                <w:sz w:val="20"/>
                <w:szCs w:val="20"/>
                <w:color w:val="auto"/>
              </w:rPr>
            </w:pPr>
            <w:r>
              <w:rPr>
                <w:rFonts w:ascii="Arial" w:cs="Arial" w:eastAsia="Arial" w:hAnsi="Arial"/>
                <w:sz w:val="14"/>
                <w:szCs w:val="14"/>
                <w:color w:val="auto"/>
              </w:rPr>
              <w:t> 1,151</w:t>
            </w:r>
          </w:p>
        </w:tc>
        <w:tc>
          <w:tcPr>
            <w:tcW w:w="1060" w:type="dxa"/>
            <w:vAlign w:val="bottom"/>
          </w:tcPr>
          <w:p>
            <w:pPr>
              <w:ind w:left="840"/>
              <w:spacing w:after="0"/>
              <w:rPr>
                <w:sz w:val="20"/>
                <w:szCs w:val="20"/>
                <w:color w:val="auto"/>
              </w:rPr>
            </w:pPr>
            <w:r>
              <w:rPr>
                <w:rFonts w:ascii="Arial" w:cs="Arial" w:eastAsia="Arial" w:hAnsi="Arial"/>
                <w:sz w:val="14"/>
                <w:szCs w:val="14"/>
                <w:color w:val="auto"/>
                <w:w w:val="91"/>
              </w:rPr>
              <w:t>– </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color w:val="auto"/>
              </w:rPr>
              <w:t>15,628</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200"/>
              <w:spacing w:after="0"/>
              <w:rPr>
                <w:sz w:val="20"/>
                <w:szCs w:val="20"/>
                <w:color w:val="auto"/>
              </w:rPr>
            </w:pPr>
            <w:r>
              <w:rPr>
                <w:rFonts w:ascii="Arial" w:cs="Arial" w:eastAsia="Arial" w:hAnsi="Arial"/>
                <w:sz w:val="14"/>
                <w:szCs w:val="14"/>
                <w:color w:val="auto"/>
              </w:rPr>
              <w:t>16,779</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1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620" w:type="dxa"/>
            <w:vAlign w:val="bottom"/>
            <w:tcBorders>
              <w:bottom w:val="single" w:sz="8" w:color="AFAFAF"/>
            </w:tcBorders>
          </w:tcPr>
          <w:p>
            <w:pPr>
              <w:spacing w:after="0"/>
              <w:rPr>
                <w:sz w:val="7"/>
                <w:szCs w:val="7"/>
                <w:color w:val="auto"/>
              </w:rPr>
            </w:pPr>
          </w:p>
        </w:tc>
        <w:tc>
          <w:tcPr>
            <w:tcW w:w="1060" w:type="dxa"/>
            <w:vAlign w:val="bottom"/>
            <w:tcBorders>
              <w:bottom w:val="single" w:sz="8" w:color="AFAFAF"/>
            </w:tcBorders>
          </w:tcPr>
          <w:p>
            <w:pPr>
              <w:spacing w:after="0"/>
              <w:rPr>
                <w:sz w:val="7"/>
                <w:szCs w:val="7"/>
                <w:color w:val="auto"/>
              </w:rPr>
            </w:pPr>
          </w:p>
        </w:tc>
        <w:tc>
          <w:tcPr>
            <w:tcW w:w="220" w:type="dxa"/>
            <w:vAlign w:val="bottom"/>
            <w:tcBorders>
              <w:bottom w:val="single" w:sz="8" w:color="AFAFAF"/>
            </w:tcBorders>
          </w:tcPr>
          <w:p>
            <w:pPr>
              <w:spacing w:after="0"/>
              <w:rPr>
                <w:sz w:val="7"/>
                <w:szCs w:val="7"/>
                <w:color w:val="auto"/>
              </w:rPr>
            </w:pPr>
          </w:p>
        </w:tc>
        <w:tc>
          <w:tcPr>
            <w:tcW w:w="8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620" w:type="dxa"/>
            <w:vAlign w:val="bottom"/>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i w:val="1"/>
                <w:iCs w:val="1"/>
                <w:color w:val="auto"/>
              </w:rPr>
              <w:t>$175,389</w:t>
            </w:r>
          </w:p>
        </w:tc>
        <w:tc>
          <w:tcPr>
            <w:tcW w:w="1060" w:type="dxa"/>
            <w:vAlign w:val="bottom"/>
          </w:tcPr>
          <w:p>
            <w:pPr>
              <w:ind w:left="840"/>
              <w:spacing w:after="0"/>
              <w:rPr>
                <w:sz w:val="20"/>
                <w:szCs w:val="20"/>
                <w:color w:val="auto"/>
              </w:rPr>
            </w:pPr>
            <w:r>
              <w:rPr>
                <w:rFonts w:ascii="Arial" w:cs="Arial" w:eastAsia="Arial" w:hAnsi="Arial"/>
                <w:sz w:val="14"/>
                <w:szCs w:val="14"/>
                <w:color w:val="auto"/>
                <w:w w:val="91"/>
              </w:rPr>
              <w:t>– </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ind w:left="80"/>
              <w:spacing w:after="0"/>
              <w:rPr>
                <w:sz w:val="20"/>
                <w:szCs w:val="20"/>
                <w:color w:val="auto"/>
              </w:rPr>
            </w:pPr>
            <w:r>
              <w:rPr>
                <w:rFonts w:ascii="Arial" w:cs="Arial" w:eastAsia="Arial" w:hAnsi="Arial"/>
                <w:sz w:val="14"/>
                <w:szCs w:val="14"/>
                <w:i w:val="1"/>
                <w:iCs w:val="1"/>
                <w:color w:val="auto"/>
              </w:rPr>
              <w:t>$2,381,395</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Arial" w:cs="Arial" w:eastAsia="Arial" w:hAnsi="Arial"/>
                <w:sz w:val="14"/>
                <w:szCs w:val="14"/>
                <w:i w:val="1"/>
                <w:iCs w:val="1"/>
                <w:color w:val="auto"/>
              </w:rPr>
              <w:t>$2,556,784</w:t>
            </w:r>
          </w:p>
        </w:tc>
        <w:tc>
          <w:tcPr>
            <w:tcW w:w="1380" w:type="dxa"/>
            <w:vAlign w:val="bottom"/>
          </w:tcPr>
          <w:p>
            <w:pPr>
              <w:ind w:left="680"/>
              <w:spacing w:after="0"/>
              <w:rPr>
                <w:sz w:val="20"/>
                <w:szCs w:val="20"/>
                <w:color w:val="auto"/>
              </w:rPr>
            </w:pPr>
            <w:r>
              <w:rPr>
                <w:rFonts w:ascii="Arial" w:cs="Arial" w:eastAsia="Arial" w:hAnsi="Arial"/>
                <w:sz w:val="14"/>
                <w:szCs w:val="14"/>
                <w:color w:val="auto"/>
              </w:rPr>
              <w:t>–</w:t>
            </w: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David Thomson and Peter Thomson, both of whom are nominees, are brothers.</w:t>
      </w:r>
    </w:p>
    <w:p>
      <w:pPr>
        <w:spacing w:after="0" w:line="10" w:lineRule="exact"/>
        <w:rPr>
          <w:sz w:val="20"/>
          <w:szCs w:val="20"/>
          <w:color w:val="auto"/>
        </w:rPr>
      </w:pPr>
    </w:p>
    <w:p>
      <w:pPr>
        <w:ind w:left="40" w:right="140"/>
        <w:spacing w:after="0" w:line="247" w:lineRule="auto"/>
        <w:rPr>
          <w:sz w:val="20"/>
          <w:szCs w:val="20"/>
          <w:color w:val="auto"/>
        </w:rPr>
      </w:pPr>
      <w:r>
        <w:rPr>
          <w:rFonts w:ascii="Arial" w:cs="Arial" w:eastAsia="Arial" w:hAnsi="Arial"/>
          <w:sz w:val="13"/>
          <w:szCs w:val="13"/>
          <w:color w:val="auto"/>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-3175</wp:posOffset>
            </wp:positionV>
            <wp:extent cx="6929755" cy="3031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3031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60"/>
            <w:col w:w="834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Beth Wilson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Age: 55</w:t>
      </w:r>
    </w:p>
    <w:p>
      <w:pPr>
        <w:spacing w:after="0" w:line="64" w:lineRule="exact"/>
        <w:rPr>
          <w:sz w:val="20"/>
          <w:szCs w:val="20"/>
          <w:color w:val="auto"/>
        </w:rPr>
      </w:pPr>
    </w:p>
    <w:p>
      <w:pPr>
        <w:ind w:left="260" w:right="740"/>
        <w:spacing w:after="0" w:line="343" w:lineRule="auto"/>
        <w:rPr>
          <w:sz w:val="20"/>
          <w:szCs w:val="20"/>
          <w:color w:val="auto"/>
        </w:rPr>
      </w:pPr>
      <w:r>
        <w:rPr>
          <w:rFonts w:ascii="Arial" w:cs="Arial" w:eastAsia="Arial" w:hAnsi="Arial"/>
          <w:sz w:val="13"/>
          <w:szCs w:val="13"/>
          <w:color w:val="auto"/>
        </w:rPr>
        <w:t>Toronto, Ontario, Canada Director since 2022 independent</w:t>
      </w:r>
    </w:p>
    <w:p>
      <w:pPr>
        <w:spacing w:after="0" w:line="1" w:lineRule="exact"/>
        <w:rPr>
          <w:sz w:val="20"/>
          <w:szCs w:val="20"/>
          <w:color w:val="auto"/>
        </w:rPr>
      </w:pPr>
    </w:p>
    <w:p>
      <w:pPr>
        <w:ind w:left="260"/>
        <w:spacing w:after="0" w:line="256" w:lineRule="auto"/>
        <w:rPr>
          <w:sz w:val="20"/>
          <w:szCs w:val="20"/>
          <w:color w:val="auto"/>
        </w:rPr>
      </w:pPr>
      <w:r>
        <w:rPr>
          <w:rFonts w:ascii="Arial" w:cs="Arial" w:eastAsia="Arial" w:hAnsi="Arial"/>
          <w:sz w:val="13"/>
          <w:szCs w:val="13"/>
          <w:color w:val="auto"/>
        </w:rPr>
        <w:t>Primary areas of expertise: tax and accounting and legal industries, audit, executive leadership</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2023 annual meeting votes for:</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99.89%</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Beth Wilson</w:t>
      </w:r>
    </w:p>
    <w:p>
      <w:pPr>
        <w:spacing w:after="0" w:line="43" w:lineRule="exact"/>
        <w:rPr>
          <w:sz w:val="20"/>
          <w:szCs w:val="20"/>
          <w:color w:val="auto"/>
        </w:rPr>
      </w:pPr>
    </w:p>
    <w:p>
      <w:pPr>
        <w:ind w:left="60" w:right="20"/>
        <w:spacing w:after="0" w:line="244" w:lineRule="auto"/>
        <w:rPr>
          <w:sz w:val="20"/>
          <w:szCs w:val="20"/>
          <w:color w:val="auto"/>
        </w:rPr>
      </w:pPr>
      <w:r>
        <w:rPr>
          <w:rFonts w:ascii="Arial" w:cs="Arial" w:eastAsia="Arial" w:hAnsi="Arial"/>
          <w:sz w:val="14"/>
          <w:szCs w:val="14"/>
          <w:color w:val="auto"/>
        </w:rPr>
        <w:t>Beth Wilson has been Chair of the Chartered Professional Accountants of Canada since October 2023. Prior to that, she was the Vice-Chair of the Chartered Professional Accountants of Canada from October 2021 to October 2023. She is the former Chief Executive Officer of Dentons Canada LLP and was a member of the global leadership team, serving on the Global Board and Global Management Committee from July 2017 to January 2022. Prior to this role, Beth was an audit partner at KPMG from 2000 to 2016 and served as Managing Partner at KPMG in the Greater Toronto Area from 2009 to 2016. Between 2005 and 2016, she also served as a member of KPMG’s Management Committee in various leadership positions, including Canadian Managing Partner Community Leadership, Canadian Managing Partner Regions and Enterprise with responsibility for 24 regional offices across Canada, and Chief Human Resources Officer. Beth is currently a trustee at The Hospital for Sick Children, and a director at Woodgreen Foundation, and Traferox Technologies Inc. Beth has a BComm from the University of Toronto and is a CPA.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Board/committee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8"/>
        </w:trPr>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membership</w:t>
            </w:r>
          </w:p>
        </w:tc>
        <w:tc>
          <w:tcPr>
            <w:tcW w:w="2120" w:type="dxa"/>
            <w:vAlign w:val="bottom"/>
            <w:gridSpan w:val="3"/>
          </w:tcPr>
          <w:p>
            <w:pPr>
              <w:ind w:left="720"/>
              <w:spacing w:after="0"/>
              <w:rPr>
                <w:sz w:val="20"/>
                <w:szCs w:val="20"/>
                <w:color w:val="auto"/>
              </w:rPr>
            </w:pPr>
            <w:r>
              <w:rPr>
                <w:rFonts w:ascii="Arial" w:cs="Arial" w:eastAsia="Arial" w:hAnsi="Arial"/>
                <w:sz w:val="14"/>
                <w:szCs w:val="14"/>
                <w:b w:val="1"/>
                <w:bCs w:val="1"/>
                <w:color w:val="auto"/>
              </w:rPr>
              <w:t>2023 attendance</w:t>
            </w:r>
          </w:p>
        </w:tc>
        <w:tc>
          <w:tcPr>
            <w:tcW w:w="4140" w:type="dxa"/>
            <w:vAlign w:val="bottom"/>
            <w:gridSpan w:val="5"/>
          </w:tcPr>
          <w:p>
            <w:pPr>
              <w:ind w:left="6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82"/>
        </w:trPr>
        <w:tc>
          <w:tcPr>
            <w:tcW w:w="460" w:type="dxa"/>
            <w:vAlign w:val="bottom"/>
            <w:tcBorders>
              <w:bottom w:val="single" w:sz="8" w:color="AFAFAF"/>
            </w:tcBorders>
            <w:gridSpan w:val="3"/>
          </w:tcPr>
          <w:p>
            <w:pPr>
              <w:spacing w:after="0"/>
              <w:rPr>
                <w:sz w:val="7"/>
                <w:szCs w:val="7"/>
                <w:color w:val="auto"/>
              </w:rPr>
            </w:pPr>
          </w:p>
        </w:tc>
        <w:tc>
          <w:tcPr>
            <w:tcW w:w="1640" w:type="dxa"/>
            <w:vAlign w:val="bottom"/>
            <w:tcBorders>
              <w:bottom w:val="single" w:sz="8" w:color="AFAFAF"/>
            </w:tcBorders>
          </w:tcPr>
          <w:p>
            <w:pPr>
              <w:spacing w:after="0"/>
              <w:rPr>
                <w:sz w:val="7"/>
                <w:szCs w:val="7"/>
                <w:color w:val="auto"/>
              </w:rPr>
            </w:pPr>
          </w:p>
        </w:tc>
        <w:tc>
          <w:tcPr>
            <w:tcW w:w="1100" w:type="dxa"/>
            <w:vAlign w:val="bottom"/>
            <w:tcBorders>
              <w:bottom w:val="single" w:sz="8" w:color="AFAFAF"/>
            </w:tcBorders>
          </w:tcPr>
          <w:p>
            <w:pPr>
              <w:spacing w:after="0"/>
              <w:rPr>
                <w:sz w:val="7"/>
                <w:szCs w:val="7"/>
                <w:color w:val="auto"/>
              </w:rPr>
            </w:pPr>
          </w:p>
        </w:tc>
        <w:tc>
          <w:tcPr>
            <w:tcW w:w="260" w:type="dxa"/>
            <w:vAlign w:val="bottom"/>
            <w:tcBorders>
              <w:bottom w:val="single" w:sz="8" w:color="AFAFAF"/>
            </w:tcBorders>
          </w:tcPr>
          <w:p>
            <w:pPr>
              <w:spacing w:after="0"/>
              <w:rPr>
                <w:sz w:val="7"/>
                <w:szCs w:val="7"/>
                <w:color w:val="auto"/>
              </w:rPr>
            </w:pPr>
          </w:p>
        </w:tc>
        <w:tc>
          <w:tcPr>
            <w:tcW w:w="760" w:type="dxa"/>
            <w:vAlign w:val="bottom"/>
            <w:tcBorders>
              <w:bottom w:val="single" w:sz="8" w:color="AFAFAF"/>
            </w:tcBorders>
          </w:tcPr>
          <w:p>
            <w:pPr>
              <w:spacing w:after="0"/>
              <w:rPr>
                <w:sz w:val="7"/>
                <w:szCs w:val="7"/>
                <w:color w:val="auto"/>
              </w:rPr>
            </w:pPr>
          </w:p>
        </w:tc>
        <w:tc>
          <w:tcPr>
            <w:tcW w:w="1820" w:type="dxa"/>
            <w:vAlign w:val="bottom"/>
            <w:tcBorders>
              <w:bottom w:val="single" w:sz="8" w:color="AFAFAF"/>
            </w:tcBorders>
            <w:gridSpan w:val="3"/>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460" w:type="dxa"/>
            <w:vAlign w:val="bottom"/>
            <w:gridSpan w:val="3"/>
          </w:tcPr>
          <w:p>
            <w:pPr>
              <w:ind w:left="60"/>
              <w:spacing w:after="0"/>
              <w:rPr>
                <w:sz w:val="20"/>
                <w:szCs w:val="20"/>
                <w:color w:val="auto"/>
              </w:rPr>
            </w:pPr>
            <w:r>
              <w:rPr>
                <w:rFonts w:ascii="Arial" w:cs="Arial" w:eastAsia="Arial" w:hAnsi="Arial"/>
                <w:sz w:val="14"/>
                <w:szCs w:val="14"/>
                <w:color w:val="auto"/>
              </w:rPr>
              <w:t>Board</w:t>
            </w:r>
          </w:p>
        </w:tc>
        <w:tc>
          <w:tcPr>
            <w:tcW w:w="1640" w:type="dxa"/>
            <w:vAlign w:val="bottom"/>
          </w:tcPr>
          <w:p>
            <w:pPr>
              <w:spacing w:after="0"/>
              <w:rPr>
                <w:sz w:val="15"/>
                <w:szCs w:val="15"/>
                <w:color w:val="auto"/>
              </w:rPr>
            </w:pPr>
          </w:p>
        </w:tc>
        <w:tc>
          <w:tcPr>
            <w:tcW w:w="1100" w:type="dxa"/>
            <w:vAlign w:val="bottom"/>
          </w:tcPr>
          <w:p>
            <w:pPr>
              <w:ind w:left="720"/>
              <w:spacing w:after="0"/>
              <w:rPr>
                <w:sz w:val="20"/>
                <w:szCs w:val="20"/>
                <w:color w:val="auto"/>
              </w:rPr>
            </w:pPr>
            <w:r>
              <w:rPr>
                <w:rFonts w:ascii="Arial" w:cs="Arial" w:eastAsia="Arial" w:hAnsi="Arial"/>
                <w:sz w:val="14"/>
                <w:szCs w:val="14"/>
                <w:color w:val="auto"/>
              </w:rPr>
              <w:t>7 of 9</w:t>
            </w:r>
          </w:p>
        </w:tc>
        <w:tc>
          <w:tcPr>
            <w:tcW w:w="26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Arial" w:cs="Arial" w:eastAsia="Arial" w:hAnsi="Arial"/>
                <w:sz w:val="14"/>
                <w:szCs w:val="14"/>
                <w:color w:val="auto"/>
              </w:rPr>
              <w:t>78%</w:t>
            </w:r>
          </w:p>
        </w:tc>
        <w:tc>
          <w:tcPr>
            <w:tcW w:w="1820" w:type="dxa"/>
            <w:vAlign w:val="bottom"/>
            <w:gridSpan w:val="3"/>
          </w:tcPr>
          <w:p>
            <w:pPr>
              <w:ind w:left="60"/>
              <w:spacing w:after="0"/>
              <w:rPr>
                <w:sz w:val="20"/>
                <w:szCs w:val="20"/>
                <w:color w:val="auto"/>
              </w:rPr>
            </w:pPr>
            <w:r>
              <w:rPr>
                <w:rFonts w:ascii="Arial" w:cs="Arial" w:eastAsia="Arial" w:hAnsi="Arial"/>
                <w:sz w:val="14"/>
                <w:szCs w:val="14"/>
                <w:color w:val="auto"/>
              </w:rPr>
              <w:t>IGM Financial Inc.</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460" w:type="dxa"/>
            <w:vAlign w:val="bottom"/>
            <w:gridSpan w:val="3"/>
          </w:tcPr>
          <w:p>
            <w:pPr>
              <w:ind w:left="60"/>
              <w:spacing w:after="0"/>
              <w:rPr>
                <w:sz w:val="20"/>
                <w:szCs w:val="20"/>
                <w:color w:val="auto"/>
              </w:rPr>
            </w:pPr>
            <w:r>
              <w:rPr>
                <w:rFonts w:ascii="Arial" w:cs="Arial" w:eastAsia="Arial" w:hAnsi="Arial"/>
                <w:sz w:val="14"/>
                <w:szCs w:val="14"/>
                <w:color w:val="auto"/>
              </w:rPr>
              <w:t>Audit</w:t>
            </w:r>
          </w:p>
        </w:tc>
        <w:tc>
          <w:tcPr>
            <w:tcW w:w="1640" w:type="dxa"/>
            <w:vAlign w:val="bottom"/>
          </w:tcPr>
          <w:p>
            <w:pPr>
              <w:spacing w:after="0"/>
              <w:rPr>
                <w:sz w:val="18"/>
                <w:szCs w:val="18"/>
                <w:color w:val="auto"/>
              </w:rPr>
            </w:pPr>
          </w:p>
        </w:tc>
        <w:tc>
          <w:tcPr>
            <w:tcW w:w="1100" w:type="dxa"/>
            <w:vAlign w:val="bottom"/>
          </w:tcPr>
          <w:p>
            <w:pPr>
              <w:ind w:left="720"/>
              <w:spacing w:after="0"/>
              <w:rPr>
                <w:sz w:val="20"/>
                <w:szCs w:val="20"/>
                <w:color w:val="auto"/>
              </w:rPr>
            </w:pPr>
            <w:r>
              <w:rPr>
                <w:rFonts w:ascii="Arial" w:cs="Arial" w:eastAsia="Arial" w:hAnsi="Arial"/>
                <w:sz w:val="14"/>
                <w:szCs w:val="14"/>
                <w:color w:val="auto"/>
              </w:rPr>
              <w:t>6 of 7</w:t>
            </w:r>
          </w:p>
        </w:tc>
        <w:tc>
          <w:tcPr>
            <w:tcW w:w="26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Arial" w:cs="Arial" w:eastAsia="Arial" w:hAnsi="Arial"/>
                <w:sz w:val="14"/>
                <w:szCs w:val="14"/>
                <w:color w:val="auto"/>
              </w:rPr>
              <w:t>86%</w:t>
            </w:r>
          </w:p>
        </w:tc>
        <w:tc>
          <w:tcPr>
            <w:tcW w:w="2760" w:type="dxa"/>
            <w:vAlign w:val="bottom"/>
            <w:gridSpan w:val="4"/>
          </w:tcPr>
          <w:p>
            <w:pPr>
              <w:ind w:left="60"/>
              <w:spacing w:after="0"/>
              <w:rPr>
                <w:sz w:val="20"/>
                <w:szCs w:val="20"/>
                <w:color w:val="auto"/>
              </w:rPr>
            </w:pPr>
            <w:r>
              <w:rPr>
                <w:rFonts w:ascii="Arial" w:cs="Arial" w:eastAsia="Arial" w:hAnsi="Arial"/>
                <w:sz w:val="14"/>
                <w:szCs w:val="14"/>
                <w:color w:val="auto"/>
              </w:rPr>
              <w:t>Power Corporation of Canada</w:t>
            </w:r>
          </w:p>
        </w:tc>
        <w:tc>
          <w:tcPr>
            <w:tcW w:w="1380" w:type="dxa"/>
            <w:vAlign w:val="bottom"/>
          </w:tcPr>
          <w:p>
            <w:pPr>
              <w:spacing w:after="0"/>
              <w:rPr>
                <w:sz w:val="18"/>
                <w:szCs w:val="18"/>
                <w:color w:val="auto"/>
              </w:rPr>
            </w:pPr>
          </w:p>
        </w:tc>
      </w:tr>
      <w:tr>
        <w:trPr>
          <w:trHeight w:val="227"/>
        </w:trPr>
        <w:tc>
          <w:tcPr>
            <w:tcW w:w="300" w:type="dxa"/>
            <w:vAlign w:val="bottom"/>
            <w:gridSpan w:val="2"/>
          </w:tcPr>
          <w:p>
            <w:pPr>
              <w:ind w:left="60"/>
              <w:spacing w:after="0"/>
              <w:rPr>
                <w:sz w:val="20"/>
                <w:szCs w:val="20"/>
                <w:color w:val="auto"/>
              </w:rPr>
            </w:pPr>
            <w:r>
              <w:rPr>
                <w:rFonts w:ascii="Arial" w:cs="Arial" w:eastAsia="Arial" w:hAnsi="Arial"/>
                <w:sz w:val="14"/>
                <w:szCs w:val="14"/>
                <w:color w:val="auto"/>
              </w:rPr>
              <w:t>HR</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ind w:left="720"/>
              <w:spacing w:after="0"/>
              <w:rPr>
                <w:sz w:val="20"/>
                <w:szCs w:val="20"/>
                <w:color w:val="auto"/>
              </w:rPr>
            </w:pPr>
            <w:r>
              <w:rPr>
                <w:rFonts w:ascii="Arial" w:cs="Arial" w:eastAsia="Arial" w:hAnsi="Arial"/>
                <w:sz w:val="14"/>
                <w:szCs w:val="14"/>
                <w:color w:val="auto"/>
              </w:rPr>
              <w:t>6 of 6</w:t>
            </w:r>
          </w:p>
        </w:tc>
        <w:tc>
          <w:tcPr>
            <w:tcW w:w="26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88"/>
        </w:trPr>
        <w:tc>
          <w:tcPr>
            <w:tcW w:w="460" w:type="dxa"/>
            <w:vAlign w:val="bottom"/>
            <w:tcBorders>
              <w:bottom w:val="single" w:sz="8" w:color="AFAFAF"/>
            </w:tcBorders>
            <w:gridSpan w:val="3"/>
          </w:tcPr>
          <w:p>
            <w:pPr>
              <w:spacing w:after="0"/>
              <w:rPr>
                <w:sz w:val="7"/>
                <w:szCs w:val="7"/>
                <w:color w:val="auto"/>
              </w:rPr>
            </w:pPr>
          </w:p>
        </w:tc>
        <w:tc>
          <w:tcPr>
            <w:tcW w:w="1640" w:type="dxa"/>
            <w:vAlign w:val="bottom"/>
            <w:tcBorders>
              <w:bottom w:val="single" w:sz="8" w:color="AFAFAF"/>
            </w:tcBorders>
          </w:tcPr>
          <w:p>
            <w:pPr>
              <w:spacing w:after="0"/>
              <w:rPr>
                <w:sz w:val="7"/>
                <w:szCs w:val="7"/>
                <w:color w:val="auto"/>
              </w:rPr>
            </w:pPr>
          </w:p>
        </w:tc>
        <w:tc>
          <w:tcPr>
            <w:tcW w:w="1360" w:type="dxa"/>
            <w:vAlign w:val="bottom"/>
            <w:tcBorders>
              <w:bottom w:val="single" w:sz="8" w:color="AFAFAF"/>
            </w:tcBorders>
            <w:gridSpan w:val="2"/>
          </w:tcPr>
          <w:p>
            <w:pPr>
              <w:spacing w:after="0"/>
              <w:rPr>
                <w:sz w:val="7"/>
                <w:szCs w:val="7"/>
                <w:color w:val="auto"/>
              </w:rPr>
            </w:pPr>
          </w:p>
        </w:tc>
        <w:tc>
          <w:tcPr>
            <w:tcW w:w="76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8"/>
        </w:trPr>
        <w:tc>
          <w:tcPr>
            <w:tcW w:w="4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16"/>
                <w:szCs w:val="16"/>
                <w:color w:val="auto"/>
              </w:rPr>
            </w:pPr>
          </w:p>
        </w:tc>
        <w:tc>
          <w:tcPr>
            <w:tcW w:w="1360" w:type="dxa"/>
            <w:vAlign w:val="bottom"/>
            <w:gridSpan w:val="2"/>
          </w:tcPr>
          <w:p>
            <w:pPr>
              <w:ind w:left="720"/>
              <w:spacing w:after="0"/>
              <w:rPr>
                <w:sz w:val="20"/>
                <w:szCs w:val="20"/>
                <w:color w:val="auto"/>
              </w:rPr>
            </w:pPr>
            <w:r>
              <w:rPr>
                <w:rFonts w:ascii="Arial" w:cs="Arial" w:eastAsia="Arial" w:hAnsi="Arial"/>
                <w:sz w:val="14"/>
                <w:szCs w:val="14"/>
                <w:b w:val="1"/>
                <w:bCs w:val="1"/>
                <w:color w:val="auto"/>
              </w:rPr>
              <w:t>19 of 22</w:t>
            </w: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86%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2"/>
        </w:trPr>
        <w:tc>
          <w:tcPr>
            <w:tcW w:w="2100" w:type="dxa"/>
            <w:vAlign w:val="bottom"/>
            <w:tcBorders>
              <w:bottom w:val="single" w:sz="8" w:color="AFAFAF"/>
            </w:tcBorders>
            <w:gridSpan w:val="4"/>
          </w:tcPr>
          <w:p>
            <w:pPr>
              <w:spacing w:after="0"/>
              <w:rPr>
                <w:sz w:val="6"/>
                <w:szCs w:val="6"/>
                <w:color w:val="auto"/>
              </w:rPr>
            </w:pPr>
          </w:p>
        </w:tc>
        <w:tc>
          <w:tcPr>
            <w:tcW w:w="1100" w:type="dxa"/>
            <w:vAlign w:val="bottom"/>
            <w:tcBorders>
              <w:bottom w:val="single" w:sz="8" w:color="AFAFAF"/>
            </w:tcBorders>
          </w:tcPr>
          <w:p>
            <w:pPr>
              <w:spacing w:after="0"/>
              <w:rPr>
                <w:sz w:val="6"/>
                <w:szCs w:val="6"/>
                <w:color w:val="auto"/>
              </w:rPr>
            </w:pPr>
          </w:p>
        </w:tc>
        <w:tc>
          <w:tcPr>
            <w:tcW w:w="260" w:type="dxa"/>
            <w:vAlign w:val="bottom"/>
            <w:tcBorders>
              <w:bottom w:val="single" w:sz="8" w:color="AFAFAF"/>
            </w:tcBorders>
          </w:tcPr>
          <w:p>
            <w:pPr>
              <w:spacing w:after="0"/>
              <w:rPr>
                <w:sz w:val="6"/>
                <w:szCs w:val="6"/>
                <w:color w:val="auto"/>
              </w:rPr>
            </w:pPr>
          </w:p>
        </w:tc>
        <w:tc>
          <w:tcPr>
            <w:tcW w:w="760" w:type="dxa"/>
            <w:vAlign w:val="bottom"/>
            <w:tcBorders>
              <w:bottom w:val="single" w:sz="8" w:color="AFAFAF"/>
            </w:tcBorders>
          </w:tcPr>
          <w:p>
            <w:pPr>
              <w:spacing w:after="0"/>
              <w:rPr>
                <w:sz w:val="6"/>
                <w:szCs w:val="6"/>
                <w:color w:val="auto"/>
              </w:rPr>
            </w:pPr>
          </w:p>
        </w:tc>
        <w:tc>
          <w:tcPr>
            <w:tcW w:w="160" w:type="dxa"/>
            <w:vAlign w:val="bottom"/>
            <w:tcBorders>
              <w:bottom w:val="single" w:sz="8" w:color="AFAFAF"/>
            </w:tcBorders>
          </w:tcPr>
          <w:p>
            <w:pPr>
              <w:spacing w:after="0"/>
              <w:rPr>
                <w:sz w:val="6"/>
                <w:szCs w:val="6"/>
                <w:color w:val="auto"/>
              </w:rPr>
            </w:pPr>
          </w:p>
        </w:tc>
        <w:tc>
          <w:tcPr>
            <w:tcW w:w="580" w:type="dxa"/>
            <w:vAlign w:val="bottom"/>
            <w:tcBorders>
              <w:bottom w:val="single" w:sz="8" w:color="AFAFAF"/>
            </w:tcBorders>
          </w:tcPr>
          <w:p>
            <w:pPr>
              <w:spacing w:after="0"/>
              <w:rPr>
                <w:sz w:val="6"/>
                <w:szCs w:val="6"/>
                <w:color w:val="auto"/>
              </w:rPr>
            </w:pPr>
          </w:p>
        </w:tc>
        <w:tc>
          <w:tcPr>
            <w:tcW w:w="1080" w:type="dxa"/>
            <w:vAlign w:val="bottom"/>
            <w:tcBorders>
              <w:bottom w:val="single" w:sz="8" w:color="AFAFAF"/>
            </w:tcBorders>
          </w:tcPr>
          <w:p>
            <w:pPr>
              <w:spacing w:after="0"/>
              <w:rPr>
                <w:sz w:val="6"/>
                <w:szCs w:val="6"/>
                <w:color w:val="auto"/>
              </w:rPr>
            </w:pPr>
          </w:p>
        </w:tc>
        <w:tc>
          <w:tcPr>
            <w:tcW w:w="940" w:type="dxa"/>
            <w:vAlign w:val="bottom"/>
            <w:tcBorders>
              <w:bottom w:val="single" w:sz="8" w:color="AFAFAF"/>
            </w:tcBorders>
          </w:tcPr>
          <w:p>
            <w:pPr>
              <w:spacing w:after="0"/>
              <w:rPr>
                <w:sz w:val="6"/>
                <w:szCs w:val="6"/>
                <w:color w:val="auto"/>
              </w:rPr>
            </w:pPr>
          </w:p>
        </w:tc>
        <w:tc>
          <w:tcPr>
            <w:tcW w:w="1380" w:type="dxa"/>
            <w:vAlign w:val="bottom"/>
            <w:tcBorders>
              <w:bottom w:val="single" w:sz="8" w:color="AFAFAF"/>
            </w:tcBorders>
          </w:tcPr>
          <w:p>
            <w:pPr>
              <w:spacing w:after="0"/>
              <w:rPr>
                <w:sz w:val="6"/>
                <w:szCs w:val="6"/>
                <w:color w:val="auto"/>
              </w:rPr>
            </w:pPr>
          </w:p>
        </w:tc>
      </w:tr>
      <w:tr>
        <w:trPr>
          <w:trHeight w:val="145"/>
        </w:trPr>
        <w:tc>
          <w:tcPr>
            <w:tcW w:w="2100" w:type="dxa"/>
            <w:vAlign w:val="bottom"/>
            <w:gridSpan w:val="4"/>
          </w:tcPr>
          <w:p>
            <w:pPr>
              <w:ind w:left="60"/>
              <w:spacing w:after="0" w:line="145" w:lineRule="exact"/>
              <w:rPr>
                <w:sz w:val="20"/>
                <w:szCs w:val="20"/>
                <w:color w:val="auto"/>
              </w:rPr>
            </w:pPr>
            <w:r>
              <w:rPr>
                <w:rFonts w:ascii="Arial" w:cs="Arial" w:eastAsia="Arial" w:hAnsi="Arial"/>
                <w:sz w:val="14"/>
                <w:szCs w:val="14"/>
                <w:b w:val="1"/>
                <w:bCs w:val="1"/>
                <w:color w:val="auto"/>
              </w:rPr>
              <w:t>Securities held</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ind w:left="200"/>
              <w:spacing w:after="0" w:line="145" w:lineRule="exact"/>
              <w:rPr>
                <w:sz w:val="20"/>
                <w:szCs w:val="20"/>
                <w:color w:val="auto"/>
              </w:rPr>
            </w:pPr>
            <w:r>
              <w:rPr>
                <w:rFonts w:ascii="Arial" w:cs="Arial" w:eastAsia="Arial" w:hAnsi="Arial"/>
                <w:sz w:val="14"/>
                <w:szCs w:val="14"/>
                <w:b w:val="1"/>
                <w:bCs w:val="1"/>
                <w:color w:val="auto"/>
              </w:rPr>
              <w:t>Total shares</w:t>
            </w:r>
          </w:p>
        </w:tc>
        <w:tc>
          <w:tcPr>
            <w:tcW w:w="9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Total market</w:t>
            </w:r>
          </w:p>
        </w:tc>
        <w:tc>
          <w:tcPr>
            <w:tcW w:w="138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Ownership multiple</w:t>
            </w:r>
          </w:p>
        </w:tc>
      </w:tr>
      <w:tr>
        <w:trPr>
          <w:trHeight w:val="195"/>
        </w:trPr>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(number and value)</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and DSUs</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rPr>
              <w:t>of annual retainer</w:t>
            </w:r>
          </w:p>
        </w:tc>
      </w:tr>
      <w:tr>
        <w:trPr>
          <w:trHeight w:val="95"/>
        </w:trPr>
        <w:tc>
          <w:tcPr>
            <w:tcW w:w="2100" w:type="dxa"/>
            <w:vAlign w:val="bottom"/>
            <w:tcBorders>
              <w:bottom w:val="single" w:sz="8" w:color="AFAFAF"/>
            </w:tcBorders>
            <w:gridSpan w:val="4"/>
          </w:tcPr>
          <w:p>
            <w:pPr>
              <w:spacing w:after="0"/>
              <w:rPr>
                <w:sz w:val="8"/>
                <w:szCs w:val="8"/>
                <w:color w:val="auto"/>
              </w:rPr>
            </w:pPr>
          </w:p>
        </w:tc>
        <w:tc>
          <w:tcPr>
            <w:tcW w:w="1100" w:type="dxa"/>
            <w:vAlign w:val="bottom"/>
            <w:tcBorders>
              <w:bottom w:val="single" w:sz="8" w:color="AFAFAF"/>
            </w:tcBorders>
          </w:tcPr>
          <w:p>
            <w:pPr>
              <w:spacing w:after="0"/>
              <w:rPr>
                <w:sz w:val="8"/>
                <w:szCs w:val="8"/>
                <w:color w:val="auto"/>
              </w:rPr>
            </w:pPr>
          </w:p>
        </w:tc>
        <w:tc>
          <w:tcPr>
            <w:tcW w:w="260" w:type="dxa"/>
            <w:vAlign w:val="bottom"/>
            <w:tcBorders>
              <w:bottom w:val="single" w:sz="8" w:color="AFAFAF"/>
            </w:tcBorders>
          </w:tcPr>
          <w:p>
            <w:pPr>
              <w:spacing w:after="0"/>
              <w:rPr>
                <w:sz w:val="8"/>
                <w:szCs w:val="8"/>
                <w:color w:val="auto"/>
              </w:rPr>
            </w:pPr>
          </w:p>
        </w:tc>
        <w:tc>
          <w:tcPr>
            <w:tcW w:w="760" w:type="dxa"/>
            <w:vAlign w:val="bottom"/>
            <w:tcBorders>
              <w:bottom w:val="single" w:sz="8" w:color="AFAFAF"/>
            </w:tcBorders>
          </w:tcPr>
          <w:p>
            <w:pPr>
              <w:spacing w:after="0"/>
              <w:rPr>
                <w:sz w:val="8"/>
                <w:szCs w:val="8"/>
                <w:color w:val="auto"/>
              </w:rPr>
            </w:pPr>
          </w:p>
        </w:tc>
        <w:tc>
          <w:tcPr>
            <w:tcW w:w="740" w:type="dxa"/>
            <w:vAlign w:val="bottom"/>
            <w:tcBorders>
              <w:bottom w:val="single" w:sz="8" w:color="AFAFAF"/>
            </w:tcBorders>
            <w:gridSpan w:val="2"/>
          </w:tcPr>
          <w:p>
            <w:pPr>
              <w:spacing w:after="0"/>
              <w:rPr>
                <w:sz w:val="8"/>
                <w:szCs w:val="8"/>
                <w:color w:val="auto"/>
              </w:rPr>
            </w:pPr>
          </w:p>
        </w:tc>
        <w:tc>
          <w:tcPr>
            <w:tcW w:w="1080" w:type="dxa"/>
            <w:vAlign w:val="bottom"/>
            <w:tcBorders>
              <w:bottom w:val="single" w:sz="8" w:color="AFAFAF"/>
            </w:tcBorders>
          </w:tcPr>
          <w:p>
            <w:pPr>
              <w:spacing w:after="0"/>
              <w:rPr>
                <w:sz w:val="8"/>
                <w:szCs w:val="8"/>
                <w:color w:val="auto"/>
              </w:rPr>
            </w:pPr>
          </w:p>
        </w:tc>
        <w:tc>
          <w:tcPr>
            <w:tcW w:w="940" w:type="dxa"/>
            <w:vAlign w:val="bottom"/>
            <w:tcBorders>
              <w:bottom w:val="single" w:sz="8" w:color="AFAFAF"/>
            </w:tcBorders>
          </w:tcPr>
          <w:p>
            <w:pPr>
              <w:spacing w:after="0"/>
              <w:rPr>
                <w:sz w:val="8"/>
                <w:szCs w:val="8"/>
                <w:color w:val="auto"/>
              </w:rPr>
            </w:pPr>
          </w:p>
        </w:tc>
        <w:tc>
          <w:tcPr>
            <w:tcW w:w="1380" w:type="dxa"/>
            <w:vAlign w:val="bottom"/>
            <w:tcBorders>
              <w:bottom w:val="single" w:sz="8" w:color="AFAFAF"/>
            </w:tcBorders>
          </w:tcPr>
          <w:p>
            <w:pPr>
              <w:spacing w:after="0"/>
              <w:rPr>
                <w:sz w:val="8"/>
                <w:szCs w:val="8"/>
                <w:color w:val="auto"/>
              </w:rPr>
            </w:pPr>
          </w:p>
        </w:tc>
      </w:tr>
      <w:tr>
        <w:trPr>
          <w:trHeight w:val="145"/>
        </w:trPr>
        <w:tc>
          <w:tcPr>
            <w:tcW w:w="2100" w:type="dxa"/>
            <w:vAlign w:val="bottom"/>
            <w:gridSpan w:val="4"/>
          </w:tcPr>
          <w:p>
            <w:pPr>
              <w:ind w:left="60"/>
              <w:spacing w:after="0" w:line="145" w:lineRule="exact"/>
              <w:rPr>
                <w:sz w:val="20"/>
                <w:szCs w:val="20"/>
                <w:color w:val="auto"/>
              </w:rPr>
            </w:pPr>
            <w:r>
              <w:rPr>
                <w:rFonts w:ascii="Arial" w:cs="Arial" w:eastAsia="Arial" w:hAnsi="Arial"/>
                <w:sz w:val="14"/>
                <w:szCs w:val="14"/>
                <w:color w:val="auto"/>
              </w:rPr>
              <w:t>Common shares</w:t>
            </w:r>
          </w:p>
        </w:tc>
        <w:tc>
          <w:tcPr>
            <w:tcW w:w="1100" w:type="dxa"/>
            <w:vAlign w:val="bottom"/>
          </w:tcPr>
          <w:p>
            <w:pPr>
              <w:ind w:left="720"/>
              <w:spacing w:after="0" w:line="145" w:lineRule="exact"/>
              <w:rPr>
                <w:sz w:val="20"/>
                <w:szCs w:val="20"/>
                <w:color w:val="auto"/>
              </w:rPr>
            </w:pPr>
            <w:r>
              <w:rPr>
                <w:rFonts w:ascii="Arial" w:cs="Arial" w:eastAsia="Arial" w:hAnsi="Arial"/>
                <w:sz w:val="14"/>
                <w:szCs w:val="14"/>
                <w:color w:val="auto"/>
                <w:w w:val="98"/>
              </w:rPr>
              <w:t>RSUs</w:t>
            </w:r>
          </w:p>
        </w:tc>
        <w:tc>
          <w:tcPr>
            <w:tcW w:w="260" w:type="dxa"/>
            <w:vAlign w:val="bottom"/>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Arial" w:cs="Arial" w:eastAsia="Arial" w:hAnsi="Arial"/>
                <w:sz w:val="14"/>
                <w:szCs w:val="14"/>
                <w:color w:val="auto"/>
              </w:rPr>
              <w:t>DSUs</w:t>
            </w:r>
          </w:p>
        </w:tc>
        <w:tc>
          <w:tcPr>
            <w:tcW w:w="7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Options</w:t>
            </w: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2"/>
        </w:trPr>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640" w:type="dxa"/>
            <w:vAlign w:val="bottom"/>
          </w:tcPr>
          <w:p>
            <w:pPr>
              <w:ind w:left="20"/>
              <w:spacing w:after="0"/>
              <w:rPr>
                <w:sz w:val="20"/>
                <w:szCs w:val="20"/>
                <w:color w:val="auto"/>
              </w:rPr>
            </w:pPr>
            <w:r>
              <w:rPr>
                <w:rFonts w:ascii="Arial" w:cs="Arial" w:eastAsia="Arial" w:hAnsi="Arial"/>
                <w:sz w:val="14"/>
                <w:szCs w:val="14"/>
                <w:color w:val="auto"/>
              </w:rPr>
              <w:t> –</w:t>
            </w:r>
          </w:p>
        </w:tc>
        <w:tc>
          <w:tcPr>
            <w:tcW w:w="1100" w:type="dxa"/>
            <w:vAlign w:val="bottom"/>
          </w:tcPr>
          <w:p>
            <w:pPr>
              <w:ind w:left="900"/>
              <w:spacing w:after="0"/>
              <w:rPr>
                <w:sz w:val="20"/>
                <w:szCs w:val="20"/>
                <w:color w:val="auto"/>
              </w:rPr>
            </w:pPr>
            <w:r>
              <w:rPr>
                <w:rFonts w:ascii="Arial" w:cs="Arial" w:eastAsia="Arial" w:hAnsi="Arial"/>
                <w:sz w:val="14"/>
                <w:szCs w:val="14"/>
                <w:color w:val="auto"/>
                <w:w w:val="82"/>
              </w:rPr>
              <w:t>– </w:t>
            </w:r>
          </w:p>
        </w:tc>
        <w:tc>
          <w:tcPr>
            <w:tcW w:w="260" w:type="dxa"/>
            <w:vAlign w:val="bottom"/>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20"/>
              <w:spacing w:after="0"/>
              <w:rPr>
                <w:sz w:val="20"/>
                <w:szCs w:val="20"/>
                <w:color w:val="auto"/>
              </w:rPr>
            </w:pPr>
            <w:r>
              <w:rPr>
                <w:rFonts w:ascii="Arial" w:cs="Arial" w:eastAsia="Arial" w:hAnsi="Arial"/>
                <w:sz w:val="14"/>
                <w:szCs w:val="14"/>
                <w:color w:val="auto"/>
              </w:rPr>
              <w:t>3,313</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200"/>
              <w:spacing w:after="0"/>
              <w:rPr>
                <w:sz w:val="20"/>
                <w:szCs w:val="20"/>
                <w:color w:val="auto"/>
              </w:rPr>
            </w:pPr>
            <w:r>
              <w:rPr>
                <w:rFonts w:ascii="Arial" w:cs="Arial" w:eastAsia="Arial" w:hAnsi="Arial"/>
                <w:sz w:val="14"/>
                <w:szCs w:val="14"/>
                <w:color w:val="auto"/>
              </w:rPr>
              <w:t>3,313</w:t>
            </w: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
        </w:trPr>
        <w:tc>
          <w:tcPr>
            <w:tcW w:w="14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1640" w:type="dxa"/>
            <w:vAlign w:val="bottom"/>
            <w:tcBorders>
              <w:bottom w:val="single" w:sz="8" w:color="AFAFAF"/>
            </w:tcBorders>
          </w:tcPr>
          <w:p>
            <w:pPr>
              <w:spacing w:after="0"/>
              <w:rPr>
                <w:sz w:val="7"/>
                <w:szCs w:val="7"/>
                <w:color w:val="auto"/>
              </w:rPr>
            </w:pPr>
          </w:p>
        </w:tc>
        <w:tc>
          <w:tcPr>
            <w:tcW w:w="1100" w:type="dxa"/>
            <w:vAlign w:val="bottom"/>
            <w:tcBorders>
              <w:bottom w:val="single" w:sz="8" w:color="AFAFAF"/>
            </w:tcBorders>
          </w:tcPr>
          <w:p>
            <w:pPr>
              <w:spacing w:after="0"/>
              <w:rPr>
                <w:sz w:val="7"/>
                <w:szCs w:val="7"/>
                <w:color w:val="auto"/>
              </w:rPr>
            </w:pPr>
          </w:p>
        </w:tc>
        <w:tc>
          <w:tcPr>
            <w:tcW w:w="260" w:type="dxa"/>
            <w:vAlign w:val="bottom"/>
            <w:tcBorders>
              <w:bottom w:val="single" w:sz="8" w:color="AFAFAF"/>
            </w:tcBorders>
          </w:tcPr>
          <w:p>
            <w:pPr>
              <w:spacing w:after="0"/>
              <w:rPr>
                <w:sz w:val="7"/>
                <w:szCs w:val="7"/>
                <w:color w:val="auto"/>
              </w:rPr>
            </w:pPr>
          </w:p>
        </w:tc>
        <w:tc>
          <w:tcPr>
            <w:tcW w:w="760" w:type="dxa"/>
            <w:vAlign w:val="bottom"/>
            <w:tcBorders>
              <w:bottom w:val="single" w:sz="8" w:color="AFAFAF"/>
            </w:tcBorders>
          </w:tcPr>
          <w:p>
            <w:pPr>
              <w:spacing w:after="0"/>
              <w:rPr>
                <w:sz w:val="7"/>
                <w:szCs w:val="7"/>
                <w:color w:val="auto"/>
              </w:rPr>
            </w:pPr>
          </w:p>
        </w:tc>
        <w:tc>
          <w:tcPr>
            <w:tcW w:w="160" w:type="dxa"/>
            <w:vAlign w:val="bottom"/>
            <w:tcBorders>
              <w:bottom w:val="single" w:sz="8" w:color="AFAFAF"/>
            </w:tcBorders>
          </w:tcPr>
          <w:p>
            <w:pPr>
              <w:spacing w:after="0"/>
              <w:rPr>
                <w:sz w:val="7"/>
                <w:szCs w:val="7"/>
                <w:color w:val="auto"/>
              </w:rPr>
            </w:pPr>
          </w:p>
        </w:tc>
        <w:tc>
          <w:tcPr>
            <w:tcW w:w="580" w:type="dxa"/>
            <w:vAlign w:val="bottom"/>
            <w:tcBorders>
              <w:bottom w:val="single" w:sz="8" w:color="AFAFAF"/>
            </w:tcBorders>
          </w:tcPr>
          <w:p>
            <w:pPr>
              <w:spacing w:after="0"/>
              <w:rPr>
                <w:sz w:val="7"/>
                <w:szCs w:val="7"/>
                <w:color w:val="auto"/>
              </w:rPr>
            </w:pPr>
          </w:p>
        </w:tc>
        <w:tc>
          <w:tcPr>
            <w:tcW w:w="108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c>
          <w:tcPr>
            <w:tcW w:w="1380" w:type="dxa"/>
            <w:vAlign w:val="bottom"/>
            <w:tcBorders>
              <w:bottom w:val="single" w:sz="8" w:color="AFAFAF"/>
            </w:tcBorders>
          </w:tcPr>
          <w:p>
            <w:pPr>
              <w:spacing w:after="0"/>
              <w:rPr>
                <w:sz w:val="7"/>
                <w:szCs w:val="7"/>
                <w:color w:val="auto"/>
              </w:rPr>
            </w:pPr>
          </w:p>
        </w:tc>
      </w:tr>
      <w:tr>
        <w:trPr>
          <w:trHeight w:val="182"/>
        </w:trPr>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1640" w:type="dxa"/>
            <w:vAlign w:val="bottom"/>
          </w:tcPr>
          <w:p>
            <w:pPr>
              <w:ind w:left="20"/>
              <w:spacing w:after="0"/>
              <w:rPr>
                <w:sz w:val="20"/>
                <w:szCs w:val="20"/>
                <w:color w:val="auto"/>
              </w:rPr>
            </w:pPr>
            <w:r>
              <w:rPr>
                <w:rFonts w:ascii="Arial" w:cs="Arial" w:eastAsia="Arial" w:hAnsi="Arial"/>
                <w:sz w:val="14"/>
                <w:szCs w:val="14"/>
                <w:color w:val="auto"/>
              </w:rPr>
              <w:t> –</w:t>
            </w:r>
          </w:p>
        </w:tc>
        <w:tc>
          <w:tcPr>
            <w:tcW w:w="1100" w:type="dxa"/>
            <w:vAlign w:val="bottom"/>
          </w:tcPr>
          <w:p>
            <w:pPr>
              <w:ind w:left="900"/>
              <w:spacing w:after="0"/>
              <w:rPr>
                <w:sz w:val="20"/>
                <w:szCs w:val="20"/>
                <w:color w:val="auto"/>
              </w:rPr>
            </w:pPr>
            <w:r>
              <w:rPr>
                <w:rFonts w:ascii="Arial" w:cs="Arial" w:eastAsia="Arial" w:hAnsi="Arial"/>
                <w:sz w:val="14"/>
                <w:szCs w:val="14"/>
                <w:color w:val="auto"/>
                <w:w w:val="82"/>
              </w:rPr>
              <w:t>– </w:t>
            </w:r>
          </w:p>
        </w:tc>
        <w:tc>
          <w:tcPr>
            <w:tcW w:w="260" w:type="dxa"/>
            <w:vAlign w:val="bottom"/>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20"/>
              <w:spacing w:after="0"/>
              <w:rPr>
                <w:sz w:val="20"/>
                <w:szCs w:val="20"/>
                <w:color w:val="auto"/>
              </w:rPr>
            </w:pPr>
            <w:r>
              <w:rPr>
                <w:rFonts w:ascii="Arial" w:cs="Arial" w:eastAsia="Arial" w:hAnsi="Arial"/>
                <w:sz w:val="14"/>
                <w:szCs w:val="14"/>
                <w:i w:val="1"/>
                <w:iCs w:val="1"/>
                <w:color w:val="auto"/>
              </w:rPr>
              <w:t>$504,835</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i w:val="1"/>
                <w:iCs w:val="1"/>
                <w:color w:val="auto"/>
              </w:rPr>
              <w:t>$504,835</w:t>
            </w:r>
          </w:p>
        </w:tc>
        <w:tc>
          <w:tcPr>
            <w:tcW w:w="1380" w:type="dxa"/>
            <w:vAlign w:val="bottom"/>
          </w:tcPr>
          <w:p>
            <w:pPr>
              <w:ind w:left="580"/>
              <w:spacing w:after="0"/>
              <w:rPr>
                <w:sz w:val="20"/>
                <w:szCs w:val="20"/>
                <w:color w:val="auto"/>
              </w:rPr>
            </w:pPr>
            <w:r>
              <w:rPr>
                <w:rFonts w:ascii="Arial" w:cs="Arial" w:eastAsia="Arial" w:hAnsi="Arial"/>
                <w:sz w:val="14"/>
                <w:szCs w:val="14"/>
                <w:i w:val="1"/>
                <w:iCs w:val="1"/>
                <w:color w:val="auto"/>
              </w:rPr>
              <w:t>2.0x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49530</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185420</wp:posOffset>
            </wp:positionV>
            <wp:extent cx="6929755" cy="33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20"/>
            <w:col w:w="8360"/>
          </w:cols>
          <w:pgMar w:left="320" w:top="454" w:right="499" w:bottom="1440" w:gutter="0" w:footer="0" w:header="0"/>
          <w:type w:val="continuous"/>
        </w:sect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26 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auto"/>
        </w:rPr>
        <w:t>Director Compensation and Share Ownership</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Approach and Philosophy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approach and philosophy for director compensation is to:</w:t>
      </w:r>
    </w:p>
    <w:p>
      <w:pPr>
        <w:sectPr>
          <w:pgSz w:w="11900" w:h="16838" w:orient="portrait"/>
          <w:cols w:equalWidth="0" w:num="1">
            <w:col w:w="11080"/>
          </w:cols>
          <w:pgMar w:left="320" w:top="454" w:right="49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5120"/>
        <w:spacing w:after="0" w:line="379" w:lineRule="auto"/>
        <w:rPr>
          <w:sz w:val="20"/>
          <w:szCs w:val="20"/>
          <w:color w:val="auto"/>
        </w:rPr>
      </w:pPr>
      <w:r>
        <w:rPr>
          <w:rFonts w:ascii="Arial" w:cs="Arial" w:eastAsia="Arial" w:hAnsi="Arial"/>
          <w:sz w:val="18"/>
          <w:szCs w:val="18"/>
          <w:color w:val="auto"/>
        </w:rPr>
        <w:t>align the interests of our directors with those of our shareholders; and provide competitive compensation.</w:t>
      </w:r>
    </w:p>
    <w:p>
      <w:pPr>
        <w:spacing w:after="0" w:line="2"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The compensation program for our directors considers:</w:t>
      </w:r>
    </w:p>
    <w:p>
      <w:pPr>
        <w:sectPr>
          <w:pgSz w:w="11900" w:h="16838" w:orient="portrait"/>
          <w:cols w:equalWidth="0" w:num="1">
            <w:col w:w="11080"/>
          </w:cols>
          <w:pgMar w:left="320" w:top="454" w:right="499" w:bottom="1440" w:gutter="0" w:footer="0" w:header="0"/>
          <w:type w:val="continuous"/>
        </w:sectPr>
      </w:pPr>
    </w:p>
    <w:p>
      <w:pPr>
        <w:spacing w:after="0" w:line="1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size, scope and complexity of our organization;</w:t>
      </w:r>
    </w:p>
    <w:p>
      <w:pPr>
        <w:spacing w:after="0" w:line="127"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the time commitment, contributions and effort required of directors to serve on the Board and one or more Board committees, as applicable (including Board/committee meetings and travel to and from Board/committee meetings and site visits);</w:t>
      </w:r>
    </w:p>
    <w:p>
      <w:pPr>
        <w:spacing w:after="0" w:line="64"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experience and skills of our directors;</w:t>
      </w:r>
    </w:p>
    <w:p>
      <w:pPr>
        <w:spacing w:after="0" w:line="127"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compensation levels for boards of directors of other large comparable U.S. and Canada-based multinational public companies in order for amounts paid to our directors to be competitive to attract new candidates and to retain existing directors;</w:t>
      </w:r>
    </w:p>
    <w:p>
      <w:pPr>
        <w:spacing w:after="0" w:line="64"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480" w:right="40" w:hanging="313"/>
        <w:spacing w:after="0" w:line="265" w:lineRule="auto"/>
        <w:tabs>
          <w:tab w:leader="none" w:pos="480" w:val="left"/>
        </w:tabs>
        <w:numPr>
          <w:ilvl w:val="0"/>
          <w:numId w:val="10"/>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an increasing trend in U.S. and Canadian public company director compensation programs to require a combination of mandatory and optional equity components to further align directors’ interests with shareholders; and</w:t>
      </w:r>
    </w:p>
    <w:p>
      <w:pPr>
        <w:spacing w:after="0" w:line="64"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10"/>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our desire to have a flat fee structure.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Corporate Governance Committee is responsible for periodically reviewing the adequacy and form of directors’ compensation. Beginning in January 2023, on the recommendation of the Corporate Governance Committee that more of the annual retainer be paid in the form of DSUs as opposed to cash, the Board approved an increase to the amount of the annual retainer required to be paid in equity in the form of DSUs from 33% to 50%. Additionally, beginning in January 2024, the Board increased the annual retainer payable to non-management directors (excluding the Chairman of the Board) by $25,000, payable entirely in the form of DSUs.</w:t>
      </w:r>
    </w:p>
    <w:p>
      <w:pPr>
        <w:spacing w:after="0" w:line="75"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color w:val="auto"/>
        </w:rPr>
        <w:t>In periodically benchmarking director compensation, the Corporate Governance Committee evaluates publicly available data related to director compensation paid by the same peer group of companies utilized by the HR Committee for executive compensation benchmarking purposes.</w:t>
      </w:r>
    </w:p>
    <w:p>
      <w:pPr>
        <w:spacing w:after="0" w:line="65"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We do not grant stock options, RSUs or bonuses to our non-management directors. In addition, we do not provide our non-management directors with retirement/pension benefits, healthcare coverage or perquisites, other than reimbursement of reasonable travel and out-of-pocket expenses incurred in connection with their Thomson Reuters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left="160" w:right="20"/>
        <w:spacing w:after="0" w:line="249" w:lineRule="auto"/>
        <w:rPr>
          <w:sz w:val="20"/>
          <w:szCs w:val="20"/>
          <w:color w:val="auto"/>
        </w:rPr>
      </w:pPr>
      <w:r>
        <w:rPr>
          <w:rFonts w:ascii="Arial" w:cs="Arial" w:eastAsia="Arial" w:hAnsi="Arial"/>
          <w:sz w:val="27"/>
          <w:szCs w:val="27"/>
          <w:color w:val="auto"/>
        </w:rPr>
        <w:t>As discussed later in this section, we require our directors to hold a minimum value of common shares and/or deferred share units (DSUs) and our director compensation program encourages directors to invest in our company beyond their minimum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193040</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345440</wp:posOffset>
            </wp:positionV>
            <wp:extent cx="6929755" cy="3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27</w:t>
      </w:r>
    </w:p>
    <w:p>
      <w:pPr>
        <w:sectPr>
          <w:pgSz w:w="11900" w:h="16838" w:orient="portrait"/>
          <w:cols w:equalWidth="0" w:num="1">
            <w:col w:w="11080"/>
          </w:cols>
          <w:pgMar w:left="320" w:top="454" w:right="4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0" w:right="400"/>
        <w:spacing w:after="0" w:line="302" w:lineRule="auto"/>
        <w:rPr>
          <w:sz w:val="20"/>
          <w:szCs w:val="20"/>
          <w:color w:val="auto"/>
        </w:rPr>
      </w:pPr>
      <w:r>
        <w:rPr>
          <w:rFonts w:ascii="Arial" w:cs="Arial" w:eastAsia="Arial" w:hAnsi="Arial"/>
          <w:sz w:val="26"/>
          <w:szCs w:val="26"/>
          <w:color w:val="auto"/>
        </w:rPr>
        <w:t xml:space="preserve">Our directors have a mandatory equity component for their compensation. Approximately </w:t>
      </w:r>
      <w:r>
        <w:rPr>
          <w:rFonts w:ascii="Arial" w:cs="Arial" w:eastAsia="Arial" w:hAnsi="Arial"/>
          <w:sz w:val="26"/>
          <w:szCs w:val="26"/>
          <w:b w:val="1"/>
          <w:bCs w:val="1"/>
          <w:color w:val="B94831"/>
        </w:rPr>
        <w:t xml:space="preserve">97% </w:t>
      </w:r>
      <w:r>
        <w:rPr>
          <w:rFonts w:ascii="Arial" w:cs="Arial" w:eastAsia="Arial" w:hAnsi="Arial"/>
          <w:sz w:val="26"/>
          <w:szCs w:val="26"/>
          <w:color w:val="000000"/>
        </w:rPr>
        <w:t>of director compensation was paid in equity (DSUs or common shares)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Components of Director Compensation</w:t>
      </w:r>
    </w:p>
    <w:p>
      <w:pPr>
        <w:spacing w:after="0" w:line="42" w:lineRule="exact"/>
        <w:rPr>
          <w:sz w:val="20"/>
          <w:szCs w:val="20"/>
          <w:color w:val="auto"/>
        </w:rPr>
      </w:pPr>
    </w:p>
    <w:p>
      <w:pPr>
        <w:ind w:left="160" w:right="480"/>
        <w:spacing w:after="0" w:line="241" w:lineRule="auto"/>
        <w:rPr>
          <w:sz w:val="20"/>
          <w:szCs w:val="20"/>
          <w:color w:val="auto"/>
        </w:rPr>
      </w:pPr>
      <w:r>
        <w:rPr>
          <w:rFonts w:ascii="Arial" w:cs="Arial" w:eastAsia="Arial" w:hAnsi="Arial"/>
          <w:sz w:val="18"/>
          <w:szCs w:val="18"/>
          <w:color w:val="auto"/>
        </w:rPr>
        <w:t>The table below sets forth the annual retainers that were payable to our non-management directors in 2023. Directors do not receive separate attendance or meeting fees. Chairs of the Board’s standing committees receive additional fees given their increased responsibilities and workloads. Additional information regarding the different components of our director compensation structure is provided following this table.</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560" w:type="dxa"/>
            <w:vAlign w:val="bottom"/>
            <w:tcBorders>
              <w:bottom w:val="single" w:sz="8" w:color="B94831"/>
              <w:right w:val="single" w:sz="8" w:color="262626"/>
            </w:tcBorders>
          </w:tcPr>
          <w:p>
            <w:pPr>
              <w:spacing w:after="0"/>
              <w:rPr>
                <w:sz w:val="16"/>
                <w:szCs w:val="16"/>
                <w:color w:val="auto"/>
              </w:rPr>
            </w:pPr>
          </w:p>
        </w:tc>
        <w:tc>
          <w:tcPr>
            <w:tcW w:w="7340" w:type="dxa"/>
            <w:vAlign w:val="bottom"/>
            <w:tcBorders>
              <w:bottom w:val="single" w:sz="8" w:color="B94831"/>
            </w:tcBorders>
            <w:shd w:val="clear" w:color="auto" w:fill="262626"/>
          </w:tcPr>
          <w:p>
            <w:pPr>
              <w:jc w:val="center"/>
              <w:ind w:left="30"/>
              <w:spacing w:after="0"/>
              <w:rPr>
                <w:sz w:val="20"/>
                <w:szCs w:val="20"/>
                <w:color w:val="auto"/>
              </w:rPr>
            </w:pPr>
            <w:r>
              <w:rPr>
                <w:rFonts w:ascii="Arial" w:cs="Arial" w:eastAsia="Arial" w:hAnsi="Arial"/>
                <w:sz w:val="15"/>
                <w:szCs w:val="15"/>
                <w:b w:val="1"/>
                <w:bCs w:val="1"/>
                <w:color w:val="FFFFFF"/>
              </w:rPr>
              <w:t>2023 ($)</w:t>
            </w:r>
          </w:p>
        </w:tc>
      </w:tr>
      <w:tr>
        <w:trPr>
          <w:trHeight w:val="145"/>
        </w:trPr>
        <w:tc>
          <w:tcPr>
            <w:tcW w:w="20" w:type="dxa"/>
            <w:vAlign w:val="bottom"/>
          </w:tcPr>
          <w:p>
            <w:pPr>
              <w:spacing w:after="0"/>
              <w:rPr>
                <w:sz w:val="12"/>
                <w:szCs w:val="12"/>
                <w:color w:val="auto"/>
              </w:rPr>
            </w:pPr>
          </w:p>
        </w:tc>
        <w:tc>
          <w:tcPr>
            <w:tcW w:w="3560" w:type="dxa"/>
            <w:vAlign w:val="bottom"/>
            <w:tcBorders>
              <w:right w:val="single" w:sz="8" w:color="AFAFAF"/>
            </w:tcBorders>
          </w:tcPr>
          <w:p>
            <w:pPr>
              <w:spacing w:after="0" w:line="145" w:lineRule="exact"/>
              <w:rPr>
                <w:sz w:val="20"/>
                <w:szCs w:val="20"/>
                <w:color w:val="auto"/>
              </w:rPr>
            </w:pPr>
            <w:r>
              <w:rPr>
                <w:rFonts w:ascii="Arial" w:cs="Arial" w:eastAsia="Arial" w:hAnsi="Arial"/>
                <w:sz w:val="11"/>
                <w:szCs w:val="11"/>
                <w:b w:val="1"/>
                <w:bCs w:val="1"/>
                <w:color w:val="auto"/>
              </w:rPr>
              <w:t>   Non-management directors</w:t>
            </w:r>
            <w:r>
              <w:rPr>
                <w:rFonts w:ascii="Arial" w:cs="Arial" w:eastAsia="Arial" w:hAnsi="Arial"/>
                <w:sz w:val="16"/>
                <w:szCs w:val="16"/>
                <w:b w:val="1"/>
                <w:bCs w:val="1"/>
                <w:color w:val="auto"/>
                <w:vertAlign w:val="superscript"/>
              </w:rPr>
              <w:t>1</w:t>
            </w:r>
          </w:p>
        </w:tc>
        <w:tc>
          <w:tcPr>
            <w:tcW w:w="7340" w:type="dxa"/>
            <w:vAlign w:val="bottom"/>
          </w:tcPr>
          <w:p>
            <w:pPr>
              <w:jc w:val="center"/>
              <w:ind w:left="10"/>
              <w:spacing w:after="0" w:line="145" w:lineRule="exact"/>
              <w:rPr>
                <w:sz w:val="20"/>
                <w:szCs w:val="20"/>
                <w:color w:val="auto"/>
              </w:rPr>
            </w:pPr>
            <w:r>
              <w:rPr>
                <w:rFonts w:ascii="Arial" w:cs="Arial" w:eastAsia="Arial" w:hAnsi="Arial"/>
                <w:sz w:val="11"/>
                <w:szCs w:val="11"/>
                <w:color w:val="auto"/>
              </w:rPr>
              <w:t>225,000</w:t>
            </w:r>
            <w:r>
              <w:rPr>
                <w:rFonts w:ascii="Arial" w:cs="Arial" w:eastAsia="Arial" w:hAnsi="Arial"/>
                <w:sz w:val="16"/>
                <w:szCs w:val="16"/>
                <w:b w:val="1"/>
                <w:bCs w:val="1"/>
                <w:color w:val="auto"/>
                <w:vertAlign w:val="superscript"/>
              </w:rPr>
              <w:t>2</w:t>
            </w:r>
          </w:p>
        </w:tc>
      </w:tr>
      <w:tr>
        <w:trPr>
          <w:trHeight w:val="183"/>
        </w:trPr>
        <w:tc>
          <w:tcPr>
            <w:tcW w:w="20" w:type="dxa"/>
            <w:vAlign w:val="bottom"/>
          </w:tcPr>
          <w:p>
            <w:pPr>
              <w:spacing w:after="0"/>
              <w:rPr>
                <w:sz w:val="15"/>
                <w:szCs w:val="15"/>
                <w:color w:val="auto"/>
              </w:rPr>
            </w:pPr>
          </w:p>
        </w:tc>
        <w:tc>
          <w:tcPr>
            <w:tcW w:w="3560" w:type="dxa"/>
            <w:vAlign w:val="bottom"/>
            <w:tcBorders>
              <w:bottom w:val="single" w:sz="8" w:color="AFAFAF"/>
              <w:right w:val="single" w:sz="8" w:color="AFAFAF"/>
            </w:tcBorders>
          </w:tcPr>
          <w:p>
            <w:pPr>
              <w:spacing w:after="0"/>
              <w:rPr>
                <w:sz w:val="15"/>
                <w:szCs w:val="15"/>
                <w:color w:val="auto"/>
              </w:rPr>
            </w:pPr>
          </w:p>
        </w:tc>
        <w:tc>
          <w:tcPr>
            <w:tcW w:w="7340" w:type="dxa"/>
            <w:vAlign w:val="bottom"/>
            <w:tcBorders>
              <w:bottom w:val="single" w:sz="8" w:color="AFAFAF"/>
            </w:tcBorders>
          </w:tcPr>
          <w:p>
            <w:pPr>
              <w:jc w:val="center"/>
              <w:ind w:left="30"/>
              <w:spacing w:after="0"/>
              <w:rPr>
                <w:sz w:val="20"/>
                <w:szCs w:val="20"/>
                <w:color w:val="auto"/>
              </w:rPr>
            </w:pPr>
            <w:r>
              <w:rPr>
                <w:rFonts w:ascii="Arial" w:cs="Arial" w:eastAsia="Arial" w:hAnsi="Arial"/>
                <w:sz w:val="14"/>
                <w:szCs w:val="14"/>
                <w:color w:val="auto"/>
              </w:rPr>
              <w:t>(112,500 of which was required to be paid in deferred share units, or DSUs)</w:t>
            </w:r>
          </w:p>
        </w:tc>
      </w:tr>
      <w:tr>
        <w:trPr>
          <w:trHeight w:val="154"/>
        </w:trPr>
        <w:tc>
          <w:tcPr>
            <w:tcW w:w="20" w:type="dxa"/>
            <w:vAlign w:val="bottom"/>
            <w:tcBorders>
              <w:bottom w:val="single" w:sz="8" w:color="AFAFAF"/>
            </w:tcBorders>
          </w:tcPr>
          <w:p>
            <w:pPr>
              <w:spacing w:after="0"/>
              <w:rPr>
                <w:sz w:val="13"/>
                <w:szCs w:val="13"/>
                <w:color w:val="auto"/>
              </w:rPr>
            </w:pPr>
          </w:p>
        </w:tc>
        <w:tc>
          <w:tcPr>
            <w:tcW w:w="356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 Chairman of the Board</w:t>
            </w:r>
          </w:p>
        </w:tc>
        <w:tc>
          <w:tcPr>
            <w:tcW w:w="7340" w:type="dxa"/>
            <w:vAlign w:val="bottom"/>
            <w:tcBorders>
              <w:bottom w:val="single" w:sz="8" w:color="AFAFAF"/>
            </w:tcBorders>
          </w:tcPr>
          <w:p>
            <w:pPr>
              <w:jc w:val="center"/>
              <w:ind w:left="30"/>
              <w:spacing w:after="0" w:line="154" w:lineRule="exact"/>
              <w:rPr>
                <w:sz w:val="20"/>
                <w:szCs w:val="20"/>
                <w:color w:val="auto"/>
              </w:rPr>
            </w:pPr>
            <w:r>
              <w:rPr>
                <w:rFonts w:ascii="Arial" w:cs="Arial" w:eastAsia="Arial" w:hAnsi="Arial"/>
                <w:sz w:val="14"/>
                <w:szCs w:val="14"/>
                <w:color w:val="auto"/>
              </w:rPr>
              <w:t>600,000</w:t>
            </w:r>
          </w:p>
        </w:tc>
      </w:tr>
      <w:tr>
        <w:trPr>
          <w:trHeight w:val="154"/>
        </w:trPr>
        <w:tc>
          <w:tcPr>
            <w:tcW w:w="3580" w:type="dxa"/>
            <w:vAlign w:val="bottom"/>
            <w:tcBorders>
              <w:right w:val="single" w:sz="8" w:color="AFAFAF"/>
            </w:tcBorders>
            <w:gridSpan w:val="2"/>
          </w:tcPr>
          <w:p>
            <w:pPr>
              <w:spacing w:after="0" w:line="154" w:lineRule="exact"/>
              <w:rPr>
                <w:sz w:val="20"/>
                <w:szCs w:val="20"/>
                <w:color w:val="auto"/>
              </w:rPr>
            </w:pPr>
            <w:r>
              <w:rPr>
                <w:rFonts w:ascii="Arial" w:cs="Arial" w:eastAsia="Arial" w:hAnsi="Arial"/>
                <w:sz w:val="14"/>
                <w:szCs w:val="14"/>
                <w:b w:val="1"/>
                <w:bCs w:val="1"/>
                <w:color w:val="auto"/>
              </w:rPr>
              <w:t>   Additional retainers</w:t>
            </w:r>
          </w:p>
        </w:tc>
        <w:tc>
          <w:tcPr>
            <w:tcW w:w="73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560" w:type="dxa"/>
            <w:vAlign w:val="bottom"/>
            <w:tcBorders>
              <w:top w:val="single" w:sz="8" w:color="AFAFAF"/>
              <w:bottom w:val="single" w:sz="8" w:color="AFAFAF"/>
              <w:right w:val="single" w:sz="8" w:color="AFAFAF"/>
            </w:tcBorders>
          </w:tcPr>
          <w:p>
            <w:pPr>
              <w:ind w:left="140"/>
              <w:spacing w:after="0" w:line="154" w:lineRule="exact"/>
              <w:rPr>
                <w:sz w:val="20"/>
                <w:szCs w:val="20"/>
                <w:color w:val="auto"/>
              </w:rPr>
            </w:pPr>
            <w:r>
              <w:rPr>
                <w:rFonts w:ascii="Arial" w:cs="Arial" w:eastAsia="Arial" w:hAnsi="Arial"/>
                <w:sz w:val="14"/>
                <w:szCs w:val="14"/>
                <w:color w:val="auto"/>
              </w:rPr>
              <w:t>   Deputy Chairman of the Board</w:t>
            </w:r>
          </w:p>
        </w:tc>
        <w:tc>
          <w:tcPr>
            <w:tcW w:w="7340" w:type="dxa"/>
            <w:vAlign w:val="bottom"/>
            <w:tcBorders>
              <w:top w:val="single" w:sz="8" w:color="AFAFAF"/>
              <w:bottom w:val="single" w:sz="8" w:color="AFAFAF"/>
            </w:tcBorders>
          </w:tcPr>
          <w:p>
            <w:pPr>
              <w:jc w:val="center"/>
              <w:ind w:left="30"/>
              <w:spacing w:after="0" w:line="154" w:lineRule="exact"/>
              <w:rPr>
                <w:sz w:val="20"/>
                <w:szCs w:val="20"/>
                <w:color w:val="auto"/>
              </w:rPr>
            </w:pPr>
            <w:r>
              <w:rPr>
                <w:rFonts w:ascii="Arial" w:cs="Arial" w:eastAsia="Arial" w:hAnsi="Arial"/>
                <w:sz w:val="14"/>
                <w:szCs w:val="14"/>
                <w:color w:val="auto"/>
              </w:rPr>
              <w:t>150,000 (paid in DSUs)</w:t>
            </w:r>
          </w:p>
        </w:tc>
      </w:tr>
      <w:tr>
        <w:trPr>
          <w:trHeight w:val="154"/>
        </w:trPr>
        <w:tc>
          <w:tcPr>
            <w:tcW w:w="20" w:type="dxa"/>
            <w:vAlign w:val="bottom"/>
          </w:tcPr>
          <w:p>
            <w:pPr>
              <w:spacing w:after="0"/>
              <w:rPr>
                <w:sz w:val="13"/>
                <w:szCs w:val="13"/>
                <w:color w:val="auto"/>
              </w:rPr>
            </w:pPr>
          </w:p>
        </w:tc>
        <w:tc>
          <w:tcPr>
            <w:tcW w:w="3560" w:type="dxa"/>
            <w:vAlign w:val="bottom"/>
            <w:tcBorders>
              <w:bottom w:val="single" w:sz="8" w:color="AFAFAF"/>
              <w:right w:val="single" w:sz="8" w:color="AFAFAF"/>
            </w:tcBorders>
          </w:tcPr>
          <w:p>
            <w:pPr>
              <w:ind w:left="140"/>
              <w:spacing w:after="0" w:line="154" w:lineRule="exact"/>
              <w:rPr>
                <w:sz w:val="20"/>
                <w:szCs w:val="20"/>
                <w:color w:val="auto"/>
              </w:rPr>
            </w:pPr>
            <w:r>
              <w:rPr>
                <w:rFonts w:ascii="Arial" w:cs="Arial" w:eastAsia="Arial" w:hAnsi="Arial"/>
                <w:sz w:val="14"/>
                <w:szCs w:val="14"/>
                <w:color w:val="auto"/>
              </w:rPr>
              <w:t>   Lead Independent Director</w:t>
            </w:r>
          </w:p>
        </w:tc>
        <w:tc>
          <w:tcPr>
            <w:tcW w:w="7340" w:type="dxa"/>
            <w:vAlign w:val="bottom"/>
            <w:tcBorders>
              <w:bottom w:val="single" w:sz="8" w:color="AFAFAF"/>
            </w:tcBorders>
          </w:tcPr>
          <w:p>
            <w:pPr>
              <w:jc w:val="center"/>
              <w:ind w:left="30"/>
              <w:spacing w:after="0" w:line="154" w:lineRule="exact"/>
              <w:rPr>
                <w:sz w:val="20"/>
                <w:szCs w:val="20"/>
                <w:color w:val="auto"/>
              </w:rPr>
            </w:pPr>
            <w:r>
              <w:rPr>
                <w:rFonts w:ascii="Arial" w:cs="Arial" w:eastAsia="Arial" w:hAnsi="Arial"/>
                <w:sz w:val="14"/>
                <w:szCs w:val="14"/>
                <w:color w:val="auto"/>
              </w:rPr>
              <w:t>150,000 (paid in DSUs)</w:t>
            </w:r>
          </w:p>
        </w:tc>
      </w:tr>
      <w:tr>
        <w:trPr>
          <w:trHeight w:val="145"/>
        </w:trPr>
        <w:tc>
          <w:tcPr>
            <w:tcW w:w="20" w:type="dxa"/>
            <w:vAlign w:val="bottom"/>
          </w:tcPr>
          <w:p>
            <w:pPr>
              <w:spacing w:after="0"/>
              <w:rPr>
                <w:sz w:val="12"/>
                <w:szCs w:val="12"/>
                <w:color w:val="auto"/>
              </w:rPr>
            </w:pPr>
          </w:p>
        </w:tc>
        <w:tc>
          <w:tcPr>
            <w:tcW w:w="3560" w:type="dxa"/>
            <w:vAlign w:val="bottom"/>
            <w:tcBorders>
              <w:right w:val="single" w:sz="8" w:color="AFAFAF"/>
            </w:tcBorders>
          </w:tcPr>
          <w:p>
            <w:pPr>
              <w:spacing w:after="0" w:line="145" w:lineRule="exact"/>
              <w:rPr>
                <w:sz w:val="20"/>
                <w:szCs w:val="20"/>
                <w:color w:val="auto"/>
              </w:rPr>
            </w:pPr>
            <w:r>
              <w:rPr>
                <w:rFonts w:ascii="Arial" w:cs="Arial" w:eastAsia="Arial" w:hAnsi="Arial"/>
                <w:sz w:val="14"/>
                <w:szCs w:val="14"/>
                <w:b w:val="1"/>
                <w:bCs w:val="1"/>
                <w:color w:val="auto"/>
              </w:rPr>
              <w:t>   Committee chairs – Audit, Corporate Governance,</w:t>
            </w:r>
          </w:p>
        </w:tc>
        <w:tc>
          <w:tcPr>
            <w:tcW w:w="734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3560" w:type="dxa"/>
            <w:vAlign w:val="bottom"/>
            <w:tcBorders>
              <w:bottom w:val="single" w:sz="8" w:color="B94831"/>
              <w:right w:val="single" w:sz="8" w:color="AFAFAF"/>
            </w:tcBorders>
          </w:tcPr>
          <w:p>
            <w:pPr>
              <w:ind w:left="140"/>
              <w:spacing w:after="0"/>
              <w:rPr>
                <w:sz w:val="20"/>
                <w:szCs w:val="20"/>
                <w:color w:val="auto"/>
              </w:rPr>
            </w:pPr>
            <w:r>
              <w:rPr>
                <w:rFonts w:ascii="Arial" w:cs="Arial" w:eastAsia="Arial" w:hAnsi="Arial"/>
                <w:sz w:val="14"/>
                <w:szCs w:val="14"/>
                <w:b w:val="1"/>
                <w:bCs w:val="1"/>
                <w:color w:val="auto"/>
              </w:rPr>
              <w:t>HR and Risk</w:t>
            </w:r>
          </w:p>
        </w:tc>
        <w:tc>
          <w:tcPr>
            <w:tcW w:w="7340" w:type="dxa"/>
            <w:vAlign w:val="bottom"/>
            <w:tcBorders>
              <w:bottom w:val="single" w:sz="8" w:color="B94831"/>
            </w:tcBorders>
          </w:tcPr>
          <w:p>
            <w:pPr>
              <w:jc w:val="center"/>
              <w:ind w:left="30"/>
              <w:spacing w:after="0"/>
              <w:rPr>
                <w:sz w:val="20"/>
                <w:szCs w:val="20"/>
                <w:color w:val="auto"/>
              </w:rPr>
            </w:pPr>
            <w:r>
              <w:rPr>
                <w:rFonts w:ascii="Arial" w:cs="Arial" w:eastAsia="Arial" w:hAnsi="Arial"/>
                <w:sz w:val="14"/>
                <w:szCs w:val="14"/>
                <w:color w:val="auto"/>
              </w:rPr>
              <w:t>50,000 (paid in DSUs)</w:t>
            </w:r>
          </w:p>
        </w:tc>
      </w:tr>
    </w:tbl>
    <w:p>
      <w:pPr>
        <w:spacing w:after="0" w:line="111" w:lineRule="exact"/>
        <w:rPr>
          <w:sz w:val="20"/>
          <w:szCs w:val="20"/>
          <w:color w:val="auto"/>
        </w:rPr>
      </w:pPr>
    </w:p>
    <w:p>
      <w:pPr>
        <w:ind w:left="600" w:hanging="433"/>
        <w:spacing w:after="0"/>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Directors other than the Chairman and the CEO.</w:t>
      </w:r>
    </w:p>
    <w:p>
      <w:pPr>
        <w:spacing w:after="0" w:line="13" w:lineRule="exact"/>
        <w:rPr>
          <w:sz w:val="20"/>
          <w:szCs w:val="20"/>
          <w:color w:val="auto"/>
        </w:rPr>
      </w:pPr>
    </w:p>
    <w:p>
      <w:pPr>
        <w:ind w:left="600" w:right="440" w:hanging="433"/>
        <w:spacing w:after="0" w:line="260"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Effective January 2024, the Board increased the annual retainer payable to non-management directors (excluding the Chairman of the Board) to $250,000, with $137,500 required to be paid in equity in the form of DSUs.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Retainers / Mandatory Equity Component</w:t>
      </w:r>
    </w:p>
    <w:p>
      <w:pPr>
        <w:spacing w:after="0" w:line="5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In 2023, we required a minimum of $112,500 of each non-management director’s $225,000 annual retainer to be paid in equity in the form of DSUs (payable quarterly). Our non-management directors then elect to receive the remaining $112,500 of their annual retainer in the form of DSUs, common shares or cash (or a mix thereof – payable quarterly). Effective January 2024, the Board increased the annual retainer payable to non-management directors (excluding the Chairman of the Board) to $250,000, with $137,500 required to be paid in equity in the form of DSUs.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DSUs</w:t>
      </w:r>
    </w:p>
    <w:p>
      <w:pPr>
        <w:spacing w:after="0" w:line="5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Each DSU has the same value as one common share, though DSUs do not have voting rights. DSUs are not performance-based units. If a director elects to receive DSUs, units representing the value of common shares are credited to the director’s account. DSUs accumulate additional units based on notional equivalents of dividends paid on our common shares. DSUs are fully vested upon grant, but they are only settled in common shares or, at the election of our company, in cash, following termination of the director’s Board service. Any common shares delivered to a director in connection with the settlement of DSUs are purchased in the open market.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Common Shares</w:t>
      </w:r>
    </w:p>
    <w:p>
      <w:pPr>
        <w:spacing w:after="0" w:line="42"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If a director elects to receive common shares, the cash amount (net of withholding taxes) is provided to our broker who uses such amount to buy shares in the open market.</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Committee Fees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Committee chair fees, which are payable entirely in DSUs, are reflected in the table above.</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Chairman and Deputy Chairman Retainer</w:t>
      </w:r>
    </w:p>
    <w:p>
      <w:pPr>
        <w:spacing w:after="0" w:line="5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The Chairman’s annual retainer is $600,000. When there is a Deputy Chairman, the annual retainer is $150,000, which is payable entirely in DSUs. The Deputy Chairman would also receive the same $225,000 ($250,000 effective January 2024) annual retainer paid to other non-management directors. Additional information about the Chairman and the Deputy Chairman is provided later in the “Corporate Governance Practices”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28 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Lead Independent Director Retainer</w:t>
      </w:r>
    </w:p>
    <w:p>
      <w:pPr>
        <w:spacing w:after="0" w:line="51" w:lineRule="exact"/>
        <w:rPr>
          <w:sz w:val="20"/>
          <w:szCs w:val="20"/>
          <w:color w:val="auto"/>
        </w:rPr>
      </w:pPr>
    </w:p>
    <w:p>
      <w:pPr>
        <w:ind w:left="160" w:right="420"/>
        <w:spacing w:after="0" w:line="270" w:lineRule="auto"/>
        <w:rPr>
          <w:sz w:val="20"/>
          <w:szCs w:val="20"/>
          <w:color w:val="auto"/>
        </w:rPr>
      </w:pPr>
      <w:r>
        <w:rPr>
          <w:rFonts w:ascii="Arial" w:cs="Arial" w:eastAsia="Arial" w:hAnsi="Arial"/>
          <w:sz w:val="17"/>
          <w:szCs w:val="17"/>
          <w:color w:val="auto"/>
        </w:rPr>
        <w:t>The Lead Independent Director’s annual retainer is $150,000, which is payable entirely in DSUs. The Lead Independent Director also receives the same annual $225,000 ($250,000 effective January 2024) retainer paid to other non-management directors. Additional information about the Lead Independent Director is provided later in the “Corporate Governance Practices” section of this circular.</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Benchmarking Director Compensation</w:t>
      </w:r>
    </w:p>
    <w:p>
      <w:pPr>
        <w:spacing w:after="0" w:line="5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In setting 2023 director compensation, the Corporate Governance Committee evaluated publicly available data related to director compensation paid by the same global peer group of companies utilized by the HR Committee for executive compensation benchmarking purposes.</w:t>
      </w:r>
    </w:p>
    <w:p>
      <w:pPr>
        <w:spacing w:after="0" w:line="65"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In its most recent benchmarking review in November 2023, the Corporate Governance Committee reviewed director compensation at the following companies in Thomson Reuters’ global peer group for executive compensation purposes. As part of its review, the Corporate Governance Committee evaluated data for North American-based companies in the peer group as Thomson Reuters is headquartered in Canada and most of its directors reside in Canada or the United States. The Corporate Governance Committee also acknowledged that director compensation for U.S. companies is generally higher than Canadian companies.</w:t>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3100" w:type="dxa"/>
            <w:vAlign w:val="bottom"/>
            <w:tcBorders>
              <w:top w:val="single" w:sz="8" w:color="B94831"/>
            </w:tcBorders>
          </w:tcPr>
          <w:p>
            <w:pPr>
              <w:spacing w:after="0"/>
              <w:rPr>
                <w:sz w:val="20"/>
                <w:szCs w:val="20"/>
                <w:color w:val="auto"/>
              </w:rPr>
            </w:pPr>
            <w:r>
              <w:rPr>
                <w:rFonts w:ascii="Arial" w:cs="Arial" w:eastAsia="Arial" w:hAnsi="Arial"/>
                <w:sz w:val="16"/>
                <w:szCs w:val="16"/>
                <w:color w:val="auto"/>
              </w:rPr>
              <w:t>Automatic Data Processing Inc.</w:t>
            </w:r>
          </w:p>
        </w:tc>
        <w:tc>
          <w:tcPr>
            <w:tcW w:w="4120" w:type="dxa"/>
            <w:vAlign w:val="bottom"/>
            <w:tcBorders>
              <w:top w:val="single" w:sz="8" w:color="B94831"/>
            </w:tcBorders>
          </w:tcPr>
          <w:p>
            <w:pPr>
              <w:ind w:left="860"/>
              <w:spacing w:after="0"/>
              <w:rPr>
                <w:sz w:val="20"/>
                <w:szCs w:val="20"/>
                <w:color w:val="auto"/>
              </w:rPr>
            </w:pPr>
            <w:r>
              <w:rPr>
                <w:rFonts w:ascii="Arial" w:cs="Arial" w:eastAsia="Arial" w:hAnsi="Arial"/>
                <w:sz w:val="16"/>
                <w:szCs w:val="16"/>
                <w:color w:val="auto"/>
              </w:rPr>
              <w:t>Gartner Inc.</w:t>
            </w:r>
          </w:p>
        </w:tc>
        <w:tc>
          <w:tcPr>
            <w:tcW w:w="440" w:type="dxa"/>
            <w:vAlign w:val="bottom"/>
            <w:tcBorders>
              <w:top w:val="single" w:sz="8" w:color="B94831"/>
            </w:tcBorders>
          </w:tcPr>
          <w:p>
            <w:pPr>
              <w:ind w:left="340"/>
              <w:spacing w:after="0"/>
              <w:rPr>
                <w:sz w:val="20"/>
                <w:szCs w:val="20"/>
                <w:color w:val="auto"/>
              </w:rPr>
            </w:pPr>
            <w:r>
              <w:rPr>
                <w:rFonts w:ascii="Arial" w:cs="Arial" w:eastAsia="Arial" w:hAnsi="Arial"/>
                <w:sz w:val="11"/>
                <w:szCs w:val="11"/>
                <w:color w:val="auto"/>
                <w:w w:val="72"/>
              </w:rPr>
              <w:t> </w:t>
            </w:r>
          </w:p>
        </w:tc>
        <w:tc>
          <w:tcPr>
            <w:tcW w:w="160" w:type="dxa"/>
            <w:vAlign w:val="bottom"/>
            <w:tcBorders>
              <w:top w:val="single" w:sz="8" w:color="B94831"/>
            </w:tcBorders>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Borders>
              <w:top w:val="single" w:sz="8" w:color="B94831"/>
            </w:tcBorders>
          </w:tcPr>
          <w:p>
            <w:pPr>
              <w:ind w:left="60"/>
              <w:spacing w:after="0"/>
              <w:rPr>
                <w:sz w:val="20"/>
                <w:szCs w:val="20"/>
                <w:color w:val="auto"/>
              </w:rPr>
            </w:pPr>
            <w:r>
              <w:rPr>
                <w:rFonts w:ascii="Arial" w:cs="Arial" w:eastAsia="Arial" w:hAnsi="Arial"/>
                <w:sz w:val="11"/>
                <w:szCs w:val="11"/>
                <w:color w:val="auto"/>
                <w:w w:val="72"/>
              </w:rPr>
              <w:t> </w:t>
            </w:r>
          </w:p>
        </w:tc>
        <w:tc>
          <w:tcPr>
            <w:tcW w:w="2940" w:type="dxa"/>
            <w:vAlign w:val="bottom"/>
            <w:tcBorders>
              <w:top w:val="single" w:sz="8" w:color="B94831"/>
            </w:tcBorders>
          </w:tcPr>
          <w:p>
            <w:pPr>
              <w:ind w:left="60"/>
              <w:spacing w:after="0"/>
              <w:rPr>
                <w:sz w:val="20"/>
                <w:szCs w:val="20"/>
                <w:color w:val="auto"/>
              </w:rPr>
            </w:pPr>
            <w:r>
              <w:rPr>
                <w:rFonts w:ascii="Arial" w:cs="Arial" w:eastAsia="Arial" w:hAnsi="Arial"/>
                <w:sz w:val="16"/>
                <w:szCs w:val="16"/>
                <w:color w:val="auto"/>
              </w:rPr>
              <w:t> RELX PLC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CGI Group Inc.</w:t>
            </w:r>
          </w:p>
        </w:tc>
        <w:tc>
          <w:tcPr>
            <w:tcW w:w="4120" w:type="dxa"/>
            <w:vAlign w:val="bottom"/>
          </w:tcPr>
          <w:p>
            <w:pPr>
              <w:ind w:left="860"/>
              <w:spacing w:after="0"/>
              <w:rPr>
                <w:sz w:val="20"/>
                <w:szCs w:val="20"/>
                <w:color w:val="auto"/>
              </w:rPr>
            </w:pPr>
            <w:r>
              <w:rPr>
                <w:rFonts w:ascii="Arial" w:cs="Arial" w:eastAsia="Arial" w:hAnsi="Arial"/>
                <w:sz w:val="16"/>
                <w:szCs w:val="16"/>
                <w:color w:val="auto"/>
              </w:rPr>
              <w:t>The Interpublic Group of Companies, Inc.</w:t>
            </w:r>
          </w:p>
        </w:tc>
        <w:tc>
          <w:tcPr>
            <w:tcW w:w="440" w:type="dxa"/>
            <w:vAlign w:val="bottom"/>
          </w:tcPr>
          <w:p>
            <w:pPr>
              <w:ind w:left="3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940" w:type="dxa"/>
            <w:vAlign w:val="bottom"/>
          </w:tcPr>
          <w:p>
            <w:pPr>
              <w:ind w:left="60"/>
              <w:spacing w:after="0"/>
              <w:rPr>
                <w:sz w:val="20"/>
                <w:szCs w:val="20"/>
                <w:color w:val="auto"/>
              </w:rPr>
            </w:pPr>
            <w:r>
              <w:rPr>
                <w:rFonts w:ascii="Arial" w:cs="Arial" w:eastAsia="Arial" w:hAnsi="Arial"/>
                <w:sz w:val="16"/>
                <w:szCs w:val="16"/>
                <w:color w:val="auto"/>
              </w:rPr>
              <w:t> S&amp;P Global Inc.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eBay Inc.</w:t>
            </w:r>
          </w:p>
        </w:tc>
        <w:tc>
          <w:tcPr>
            <w:tcW w:w="4120" w:type="dxa"/>
            <w:vAlign w:val="bottom"/>
          </w:tcPr>
          <w:p>
            <w:pPr>
              <w:ind w:left="860"/>
              <w:spacing w:after="0"/>
              <w:rPr>
                <w:sz w:val="20"/>
                <w:szCs w:val="20"/>
                <w:color w:val="auto"/>
              </w:rPr>
            </w:pPr>
            <w:r>
              <w:rPr>
                <w:rFonts w:ascii="Arial" w:cs="Arial" w:eastAsia="Arial" w:hAnsi="Arial"/>
                <w:sz w:val="16"/>
                <w:szCs w:val="16"/>
                <w:color w:val="auto"/>
              </w:rPr>
              <w:t>Intuit Inc.</w:t>
            </w:r>
          </w:p>
        </w:tc>
        <w:tc>
          <w:tcPr>
            <w:tcW w:w="440" w:type="dxa"/>
            <w:vAlign w:val="bottom"/>
          </w:tcPr>
          <w:p>
            <w:pPr>
              <w:ind w:left="3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940" w:type="dxa"/>
            <w:vAlign w:val="bottom"/>
          </w:tcPr>
          <w:p>
            <w:pPr>
              <w:ind w:left="60"/>
              <w:spacing w:after="0"/>
              <w:rPr>
                <w:sz w:val="20"/>
                <w:szCs w:val="20"/>
                <w:color w:val="auto"/>
              </w:rPr>
            </w:pPr>
            <w:r>
              <w:rPr>
                <w:rFonts w:ascii="Arial" w:cs="Arial" w:eastAsia="Arial" w:hAnsi="Arial"/>
                <w:sz w:val="16"/>
                <w:szCs w:val="16"/>
                <w:color w:val="auto"/>
              </w:rPr>
              <w:t> TransUnion</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Equifax Inc.</w:t>
            </w:r>
          </w:p>
        </w:tc>
        <w:tc>
          <w:tcPr>
            <w:tcW w:w="4120" w:type="dxa"/>
            <w:vAlign w:val="bottom"/>
          </w:tcPr>
          <w:p>
            <w:pPr>
              <w:ind w:left="860"/>
              <w:spacing w:after="0"/>
              <w:rPr>
                <w:sz w:val="20"/>
                <w:szCs w:val="20"/>
                <w:color w:val="auto"/>
              </w:rPr>
            </w:pPr>
            <w:r>
              <w:rPr>
                <w:rFonts w:ascii="Arial" w:cs="Arial" w:eastAsia="Arial" w:hAnsi="Arial"/>
                <w:sz w:val="16"/>
                <w:szCs w:val="16"/>
                <w:color w:val="auto"/>
              </w:rPr>
              <w:t>Moody’s Corp.</w:t>
            </w:r>
          </w:p>
        </w:tc>
        <w:tc>
          <w:tcPr>
            <w:tcW w:w="440" w:type="dxa"/>
            <w:vAlign w:val="bottom"/>
          </w:tcPr>
          <w:p>
            <w:pPr>
              <w:ind w:left="3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940" w:type="dxa"/>
            <w:vAlign w:val="bottom"/>
          </w:tcPr>
          <w:p>
            <w:pPr>
              <w:ind w:left="60"/>
              <w:spacing w:after="0"/>
              <w:rPr>
                <w:sz w:val="20"/>
                <w:szCs w:val="20"/>
                <w:color w:val="auto"/>
              </w:rPr>
            </w:pPr>
            <w:r>
              <w:rPr>
                <w:rFonts w:ascii="Arial" w:cs="Arial" w:eastAsia="Arial" w:hAnsi="Arial"/>
                <w:sz w:val="16"/>
                <w:szCs w:val="16"/>
                <w:color w:val="auto"/>
              </w:rPr>
              <w:t> Verisk Analytics, Inc.</w:t>
            </w:r>
          </w:p>
        </w:tc>
      </w:tr>
      <w:tr>
        <w:trPr>
          <w:trHeight w:val="213"/>
        </w:trPr>
        <w:tc>
          <w:tcPr>
            <w:tcW w:w="3100" w:type="dxa"/>
            <w:vAlign w:val="bottom"/>
            <w:tcBorders>
              <w:bottom w:val="single" w:sz="8" w:color="B94831"/>
            </w:tcBorders>
          </w:tcPr>
          <w:p>
            <w:pPr>
              <w:spacing w:after="0"/>
              <w:rPr>
                <w:sz w:val="20"/>
                <w:szCs w:val="20"/>
                <w:color w:val="auto"/>
              </w:rPr>
            </w:pPr>
            <w:r>
              <w:rPr>
                <w:rFonts w:ascii="Arial" w:cs="Arial" w:eastAsia="Arial" w:hAnsi="Arial"/>
                <w:sz w:val="16"/>
                <w:szCs w:val="16"/>
                <w:color w:val="auto"/>
              </w:rPr>
              <w:t>Experian Plc</w:t>
            </w:r>
          </w:p>
        </w:tc>
        <w:tc>
          <w:tcPr>
            <w:tcW w:w="4120" w:type="dxa"/>
            <w:vAlign w:val="bottom"/>
            <w:tcBorders>
              <w:bottom w:val="single" w:sz="8" w:color="B94831"/>
            </w:tcBorders>
          </w:tcPr>
          <w:p>
            <w:pPr>
              <w:ind w:left="860"/>
              <w:spacing w:after="0"/>
              <w:rPr>
                <w:sz w:val="20"/>
                <w:szCs w:val="20"/>
                <w:color w:val="auto"/>
              </w:rPr>
            </w:pPr>
            <w:r>
              <w:rPr>
                <w:rFonts w:ascii="Arial" w:cs="Arial" w:eastAsia="Arial" w:hAnsi="Arial"/>
                <w:sz w:val="16"/>
                <w:szCs w:val="16"/>
                <w:color w:val="auto"/>
              </w:rPr>
              <w:t>Omnicom Group Inc.</w:t>
            </w:r>
          </w:p>
        </w:tc>
        <w:tc>
          <w:tcPr>
            <w:tcW w:w="440" w:type="dxa"/>
            <w:vAlign w:val="bottom"/>
            <w:tcBorders>
              <w:bottom w:val="single" w:sz="8" w:color="B94831"/>
            </w:tcBorders>
          </w:tcPr>
          <w:p>
            <w:pPr>
              <w:ind w:left="340"/>
              <w:spacing w:after="0"/>
              <w:rPr>
                <w:sz w:val="20"/>
                <w:szCs w:val="20"/>
                <w:color w:val="auto"/>
              </w:rPr>
            </w:pPr>
            <w:r>
              <w:rPr>
                <w:rFonts w:ascii="Arial" w:cs="Arial" w:eastAsia="Arial" w:hAnsi="Arial"/>
                <w:sz w:val="11"/>
                <w:szCs w:val="11"/>
                <w:color w:val="auto"/>
                <w:w w:val="72"/>
              </w:rPr>
              <w:t> </w:t>
            </w:r>
          </w:p>
        </w:tc>
        <w:tc>
          <w:tcPr>
            <w:tcW w:w="160" w:type="dxa"/>
            <w:vAlign w:val="bottom"/>
            <w:tcBorders>
              <w:bottom w:val="single" w:sz="8" w:color="B94831"/>
            </w:tcBorders>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Borders>
              <w:bottom w:val="single" w:sz="8" w:color="B94831"/>
            </w:tcBorders>
          </w:tcPr>
          <w:p>
            <w:pPr>
              <w:ind w:left="60"/>
              <w:spacing w:after="0"/>
              <w:rPr>
                <w:sz w:val="20"/>
                <w:szCs w:val="20"/>
                <w:color w:val="auto"/>
              </w:rPr>
            </w:pPr>
            <w:r>
              <w:rPr>
                <w:rFonts w:ascii="Arial" w:cs="Arial" w:eastAsia="Arial" w:hAnsi="Arial"/>
                <w:sz w:val="11"/>
                <w:szCs w:val="11"/>
                <w:color w:val="auto"/>
                <w:w w:val="72"/>
              </w:rPr>
              <w:t> </w:t>
            </w:r>
          </w:p>
        </w:tc>
        <w:tc>
          <w:tcPr>
            <w:tcW w:w="2940" w:type="dxa"/>
            <w:vAlign w:val="bottom"/>
            <w:tcBorders>
              <w:bottom w:val="single" w:sz="8" w:color="B94831"/>
            </w:tcBorders>
          </w:tcPr>
          <w:p>
            <w:pPr>
              <w:ind w:left="60"/>
              <w:spacing w:after="0"/>
              <w:rPr>
                <w:sz w:val="20"/>
                <w:szCs w:val="20"/>
                <w:color w:val="auto"/>
              </w:rPr>
            </w:pPr>
            <w:r>
              <w:rPr>
                <w:rFonts w:ascii="Arial" w:cs="Arial" w:eastAsia="Arial" w:hAnsi="Arial"/>
                <w:sz w:val="16"/>
                <w:szCs w:val="16"/>
                <w:color w:val="auto"/>
              </w:rPr>
              <w:t> Wolters Kluwer NV</w:t>
            </w: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Total Director Compensation</w:t>
      </w:r>
    </w:p>
    <w:p>
      <w:pPr>
        <w:spacing w:after="0" w:line="42" w:lineRule="exact"/>
        <w:rPr>
          <w:sz w:val="20"/>
          <w:szCs w:val="20"/>
          <w:color w:val="auto"/>
        </w:rPr>
      </w:pPr>
    </w:p>
    <w:p>
      <w:pPr>
        <w:ind w:left="160" w:right="340"/>
        <w:spacing w:after="0" w:line="259" w:lineRule="auto"/>
        <w:rPr>
          <w:sz w:val="20"/>
          <w:szCs w:val="20"/>
          <w:color w:val="auto"/>
        </w:rPr>
      </w:pPr>
      <w:r>
        <w:rPr>
          <w:rFonts w:ascii="Arial" w:cs="Arial" w:eastAsia="Arial" w:hAnsi="Arial"/>
          <w:sz w:val="18"/>
          <w:szCs w:val="18"/>
          <w:color w:val="auto"/>
        </w:rPr>
        <w:t>The table below reflects compensation earned by our directors in 2023. Approximately 97% of 2023 director compensation was paid in equity (DSUs or common shares).</w:t>
      </w:r>
    </w:p>
    <w:p>
      <w:pPr>
        <w:spacing w:after="0" w:line="56" w:lineRule="exact"/>
        <w:rPr>
          <w:sz w:val="20"/>
          <w:szCs w:val="20"/>
          <w:color w:val="auto"/>
        </w:rPr>
      </w:pPr>
    </w:p>
    <w:p>
      <w:pPr>
        <w:ind w:left="160" w:right="600"/>
        <w:spacing w:after="0" w:line="265" w:lineRule="auto"/>
        <w:rPr>
          <w:sz w:val="20"/>
          <w:szCs w:val="20"/>
          <w:color w:val="auto"/>
        </w:rPr>
      </w:pPr>
      <w:r>
        <w:rPr>
          <w:rFonts w:ascii="Arial" w:cs="Arial" w:eastAsia="Arial" w:hAnsi="Arial"/>
          <w:sz w:val="18"/>
          <w:szCs w:val="18"/>
          <w:color w:val="auto"/>
        </w:rPr>
        <w:t>As President and CEO of Thomson Reuters, Steve Hasker does not receive compensation for his service as a director. We discuss aspects of Steve Hasker’s compensation in the “Compensation Discussion and Analysis” section of this circular.</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520" w:type="dxa"/>
            <w:vAlign w:val="bottom"/>
            <w:tcBorders>
              <w:right w:val="single" w:sz="8" w:color="BFBFBF"/>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1500" w:type="dxa"/>
            <w:vAlign w:val="bottom"/>
            <w:tcBorders>
              <w:right w:val="single" w:sz="8" w:color="BFBFBF"/>
            </w:tcBorders>
            <w:shd w:val="clear" w:color="auto" w:fill="BFBFBF"/>
          </w:tcPr>
          <w:p>
            <w:pPr>
              <w:spacing w:after="0"/>
              <w:rPr>
                <w:sz w:val="16"/>
                <w:szCs w:val="16"/>
                <w:color w:val="auto"/>
              </w:rPr>
            </w:pPr>
          </w:p>
        </w:tc>
        <w:tc>
          <w:tcPr>
            <w:tcW w:w="1980" w:type="dxa"/>
            <w:vAlign w:val="bottom"/>
            <w:gridSpan w:val="2"/>
            <w:shd w:val="clear" w:color="auto" w:fill="BFBFBF"/>
          </w:tcPr>
          <w:p>
            <w:pPr>
              <w:ind w:left="740"/>
              <w:spacing w:after="0"/>
              <w:rPr>
                <w:sz w:val="20"/>
                <w:szCs w:val="20"/>
                <w:color w:val="auto"/>
              </w:rPr>
            </w:pPr>
            <w:r>
              <w:rPr>
                <w:rFonts w:ascii="Arial" w:cs="Arial" w:eastAsia="Arial" w:hAnsi="Arial"/>
                <w:sz w:val="14"/>
                <w:szCs w:val="14"/>
                <w:b w:val="1"/>
                <w:bCs w:val="1"/>
                <w:color w:val="auto"/>
              </w:rPr>
              <w:t>Fees Earned ($)</w:t>
            </w:r>
          </w:p>
        </w:tc>
        <w:tc>
          <w:tcPr>
            <w:tcW w:w="1560" w:type="dxa"/>
            <w:vAlign w:val="bottom"/>
            <w:tcBorders>
              <w:right w:val="single" w:sz="8" w:color="BFBFBF"/>
            </w:tcBorders>
            <w:shd w:val="clear" w:color="auto" w:fill="BFBFBF"/>
          </w:tcPr>
          <w:p>
            <w:pPr>
              <w:spacing w:after="0"/>
              <w:rPr>
                <w:sz w:val="16"/>
                <w:szCs w:val="16"/>
                <w:color w:val="auto"/>
              </w:rPr>
            </w:pPr>
          </w:p>
        </w:tc>
        <w:tc>
          <w:tcPr>
            <w:tcW w:w="1500" w:type="dxa"/>
            <w:vAlign w:val="bottom"/>
            <w:shd w:val="clear" w:color="auto" w:fill="BFBFBF"/>
          </w:tcPr>
          <w:p>
            <w:pPr>
              <w:spacing w:after="0"/>
              <w:rPr>
                <w:sz w:val="16"/>
                <w:szCs w:val="16"/>
                <w:color w:val="auto"/>
              </w:rPr>
            </w:pPr>
          </w:p>
        </w:tc>
      </w:tr>
      <w:tr>
        <w:trPr>
          <w:trHeight w:val="178"/>
        </w:trPr>
        <w:tc>
          <w:tcPr>
            <w:tcW w:w="3520" w:type="dxa"/>
            <w:vAlign w:val="bottom"/>
            <w:tcBorders>
              <w:right w:val="single" w:sz="8" w:color="262626"/>
            </w:tcBorders>
            <w:shd w:val="clear" w:color="auto" w:fill="262626"/>
          </w:tcPr>
          <w:p>
            <w:pPr>
              <w:spacing w:after="0"/>
              <w:rPr>
                <w:sz w:val="20"/>
                <w:szCs w:val="20"/>
                <w:color w:val="auto"/>
              </w:rPr>
            </w:pPr>
            <w:r>
              <w:rPr>
                <w:rFonts w:ascii="Arial" w:cs="Arial" w:eastAsia="Arial" w:hAnsi="Arial"/>
                <w:sz w:val="14"/>
                <w:szCs w:val="14"/>
                <w:b w:val="1"/>
                <w:bCs w:val="1"/>
                <w:color w:val="FFFFFF"/>
              </w:rPr>
              <w:t>   Director</w:t>
            </w:r>
          </w:p>
        </w:tc>
        <w:tc>
          <w:tcPr>
            <w:tcW w:w="860" w:type="dxa"/>
            <w:vAlign w:val="bottom"/>
            <w:tcBorders>
              <w:right w:val="single" w:sz="8" w:color="262626"/>
            </w:tcBorders>
            <w:shd w:val="clear" w:color="auto" w:fill="262626"/>
          </w:tcPr>
          <w:p>
            <w:pPr>
              <w:ind w:left="340"/>
              <w:spacing w:after="0"/>
              <w:rPr>
                <w:sz w:val="20"/>
                <w:szCs w:val="20"/>
                <w:color w:val="auto"/>
              </w:rPr>
            </w:pPr>
            <w:r>
              <w:rPr>
                <w:rFonts w:ascii="Arial" w:cs="Arial" w:eastAsia="Arial" w:hAnsi="Arial"/>
                <w:sz w:val="14"/>
                <w:szCs w:val="14"/>
                <w:b w:val="1"/>
                <w:bCs w:val="1"/>
                <w:color w:val="FFFFFF"/>
              </w:rPr>
              <w:t>Cash</w:t>
            </w:r>
          </w:p>
        </w:tc>
        <w:tc>
          <w:tcPr>
            <w:tcW w:w="1500" w:type="dxa"/>
            <w:vAlign w:val="bottom"/>
            <w:tcBorders>
              <w:right w:val="single" w:sz="8" w:color="262626"/>
            </w:tcBorders>
            <w:shd w:val="clear" w:color="auto" w:fill="262626"/>
          </w:tcPr>
          <w:p>
            <w:pPr>
              <w:jc w:val="right"/>
              <w:ind w:right="489"/>
              <w:spacing w:after="0"/>
              <w:rPr>
                <w:sz w:val="20"/>
                <w:szCs w:val="20"/>
                <w:color w:val="auto"/>
              </w:rPr>
            </w:pPr>
            <w:r>
              <w:rPr>
                <w:rFonts w:ascii="Arial" w:cs="Arial" w:eastAsia="Arial" w:hAnsi="Arial"/>
                <w:sz w:val="14"/>
                <w:szCs w:val="14"/>
                <w:b w:val="1"/>
                <w:bCs w:val="1"/>
                <w:color w:val="FFFFFF"/>
              </w:rPr>
              <w:t>DSUs</w:t>
            </w:r>
          </w:p>
        </w:tc>
        <w:tc>
          <w:tcPr>
            <w:tcW w:w="1980" w:type="dxa"/>
            <w:vAlign w:val="bottom"/>
            <w:gridSpan w:val="2"/>
            <w:shd w:val="clear" w:color="auto" w:fill="262626"/>
          </w:tcPr>
          <w:p>
            <w:pPr>
              <w:ind w:left="460"/>
              <w:spacing w:after="0"/>
              <w:rPr>
                <w:sz w:val="20"/>
                <w:szCs w:val="20"/>
                <w:color w:val="auto"/>
              </w:rPr>
            </w:pPr>
            <w:r>
              <w:rPr>
                <w:rFonts w:ascii="Arial" w:cs="Arial" w:eastAsia="Arial" w:hAnsi="Arial"/>
                <w:sz w:val="14"/>
                <w:szCs w:val="14"/>
                <w:b w:val="1"/>
                <w:bCs w:val="1"/>
                <w:color w:val="FFFFFF"/>
              </w:rPr>
              <w:t>Common Shares</w:t>
            </w:r>
          </w:p>
        </w:tc>
        <w:tc>
          <w:tcPr>
            <w:tcW w:w="1560" w:type="dxa"/>
            <w:vAlign w:val="bottom"/>
            <w:tcBorders>
              <w:right w:val="single" w:sz="8" w:color="262626"/>
            </w:tcBorders>
            <w:shd w:val="clear" w:color="auto" w:fill="262626"/>
          </w:tcPr>
          <w:p>
            <w:pPr>
              <w:jc w:val="center"/>
              <w:spacing w:after="0"/>
              <w:rPr>
                <w:sz w:val="20"/>
                <w:szCs w:val="20"/>
                <w:color w:val="auto"/>
              </w:rPr>
            </w:pPr>
            <w:r>
              <w:rPr>
                <w:rFonts w:ascii="Arial" w:cs="Arial" w:eastAsia="Arial" w:hAnsi="Arial"/>
                <w:sz w:val="14"/>
                <w:szCs w:val="14"/>
                <w:b w:val="1"/>
                <w:bCs w:val="1"/>
                <w:color w:val="FFFFFF"/>
              </w:rPr>
              <w:t>All Other</w:t>
            </w:r>
          </w:p>
        </w:tc>
        <w:tc>
          <w:tcPr>
            <w:tcW w:w="1500" w:type="dxa"/>
            <w:vAlign w:val="bottom"/>
            <w:shd w:val="clear" w:color="auto" w:fill="262626"/>
          </w:tcPr>
          <w:p>
            <w:pPr>
              <w:jc w:val="right"/>
              <w:ind w:right="389"/>
              <w:spacing w:after="0"/>
              <w:rPr>
                <w:sz w:val="20"/>
                <w:szCs w:val="20"/>
                <w:color w:val="auto"/>
              </w:rPr>
            </w:pPr>
            <w:r>
              <w:rPr>
                <w:rFonts w:ascii="Arial" w:cs="Arial" w:eastAsia="Arial" w:hAnsi="Arial"/>
                <w:sz w:val="14"/>
                <w:szCs w:val="14"/>
                <w:b w:val="1"/>
                <w:bCs w:val="1"/>
                <w:color w:val="FFFFFF"/>
              </w:rPr>
              <w:t>Total ($)</w:t>
            </w:r>
          </w:p>
        </w:tc>
      </w:tr>
      <w:tr>
        <w:trPr>
          <w:trHeight w:val="183"/>
        </w:trPr>
        <w:tc>
          <w:tcPr>
            <w:tcW w:w="3520" w:type="dxa"/>
            <w:vAlign w:val="bottom"/>
            <w:tcBorders>
              <w:right w:val="single" w:sz="8" w:color="262626"/>
            </w:tcBorders>
            <w:shd w:val="clear" w:color="auto" w:fill="262626"/>
          </w:tcPr>
          <w:p>
            <w:pPr>
              <w:spacing w:after="0"/>
              <w:rPr>
                <w:sz w:val="15"/>
                <w:szCs w:val="15"/>
                <w:color w:val="auto"/>
              </w:rPr>
            </w:pPr>
          </w:p>
        </w:tc>
        <w:tc>
          <w:tcPr>
            <w:tcW w:w="860" w:type="dxa"/>
            <w:vAlign w:val="bottom"/>
            <w:tcBorders>
              <w:right w:val="single" w:sz="8" w:color="262626"/>
            </w:tcBorders>
            <w:shd w:val="clear" w:color="auto" w:fill="262626"/>
          </w:tcPr>
          <w:p>
            <w:pPr>
              <w:spacing w:after="0"/>
              <w:rPr>
                <w:sz w:val="15"/>
                <w:szCs w:val="15"/>
                <w:color w:val="auto"/>
              </w:rPr>
            </w:pPr>
          </w:p>
        </w:tc>
        <w:tc>
          <w:tcPr>
            <w:tcW w:w="1500" w:type="dxa"/>
            <w:vAlign w:val="bottom"/>
            <w:tcBorders>
              <w:right w:val="single" w:sz="8" w:color="262626"/>
            </w:tcBorders>
            <w:shd w:val="clear" w:color="auto" w:fill="262626"/>
          </w:tcPr>
          <w:p>
            <w:pPr>
              <w:spacing w:after="0"/>
              <w:rPr>
                <w:sz w:val="15"/>
                <w:szCs w:val="15"/>
                <w:color w:val="auto"/>
              </w:rPr>
            </w:pPr>
          </w:p>
        </w:tc>
        <w:tc>
          <w:tcPr>
            <w:tcW w:w="1780" w:type="dxa"/>
            <w:vAlign w:val="bottom"/>
            <w:tcBorders>
              <w:right w:val="single" w:sz="8" w:color="262626"/>
            </w:tcBorders>
            <w:shd w:val="clear" w:color="auto" w:fill="262626"/>
          </w:tcPr>
          <w:p>
            <w:pPr>
              <w:spacing w:after="0"/>
              <w:rPr>
                <w:sz w:val="15"/>
                <w:szCs w:val="15"/>
                <w:color w:val="auto"/>
              </w:rPr>
            </w:pPr>
          </w:p>
        </w:tc>
        <w:tc>
          <w:tcPr>
            <w:tcW w:w="200" w:type="dxa"/>
            <w:vAlign w:val="bottom"/>
            <w:shd w:val="clear" w:color="auto" w:fill="262626"/>
          </w:tcPr>
          <w:p>
            <w:pPr>
              <w:spacing w:after="0"/>
              <w:rPr>
                <w:sz w:val="15"/>
                <w:szCs w:val="15"/>
                <w:color w:val="auto"/>
              </w:rPr>
            </w:pPr>
          </w:p>
        </w:tc>
        <w:tc>
          <w:tcPr>
            <w:tcW w:w="1560" w:type="dxa"/>
            <w:vAlign w:val="bottom"/>
            <w:tcBorders>
              <w:right w:val="single" w:sz="8" w:color="262626"/>
            </w:tcBorders>
            <w:shd w:val="clear" w:color="auto" w:fill="262626"/>
          </w:tcPr>
          <w:p>
            <w:pPr>
              <w:jc w:val="center"/>
              <w:spacing w:after="0"/>
              <w:rPr>
                <w:sz w:val="20"/>
                <w:szCs w:val="20"/>
                <w:color w:val="auto"/>
              </w:rPr>
            </w:pPr>
            <w:r>
              <w:rPr>
                <w:rFonts w:ascii="Arial" w:cs="Arial" w:eastAsia="Arial" w:hAnsi="Arial"/>
                <w:sz w:val="14"/>
                <w:szCs w:val="14"/>
                <w:b w:val="1"/>
                <w:bCs w:val="1"/>
                <w:color w:val="FFFFFF"/>
              </w:rPr>
              <w:t>Compensation ($)</w:t>
            </w:r>
          </w:p>
        </w:tc>
        <w:tc>
          <w:tcPr>
            <w:tcW w:w="1500" w:type="dxa"/>
            <w:vAlign w:val="bottom"/>
            <w:shd w:val="clear" w:color="auto" w:fill="262626"/>
          </w:tcPr>
          <w:p>
            <w:pPr>
              <w:spacing w:after="0"/>
              <w:rPr>
                <w:sz w:val="15"/>
                <w:szCs w:val="15"/>
                <w:color w:val="auto"/>
              </w:rPr>
            </w:pPr>
          </w:p>
        </w:tc>
      </w:tr>
      <w:tr>
        <w:trPr>
          <w:trHeight w:val="160"/>
        </w:trPr>
        <w:tc>
          <w:tcPr>
            <w:tcW w:w="3520" w:type="dxa"/>
            <w:vAlign w:val="bottom"/>
            <w:tcBorders>
              <w:bottom w:val="single" w:sz="8" w:color="AFAFAF"/>
              <w:right w:val="single" w:sz="8" w:color="AFAFAF"/>
            </w:tcBorders>
          </w:tcPr>
          <w:p>
            <w:pPr>
              <w:spacing w:after="0" w:line="161" w:lineRule="exact"/>
              <w:rPr>
                <w:sz w:val="20"/>
                <w:szCs w:val="20"/>
                <w:color w:val="auto"/>
              </w:rPr>
            </w:pPr>
            <w:r>
              <w:rPr>
                <w:rFonts w:ascii="Arial" w:cs="Arial" w:eastAsia="Arial" w:hAnsi="Arial"/>
                <w:sz w:val="12"/>
                <w:szCs w:val="12"/>
                <w:b w:val="1"/>
                <w:bCs w:val="1"/>
                <w:color w:val="auto"/>
              </w:rPr>
              <w:t>   David Thomson</w:t>
            </w:r>
            <w:r>
              <w:rPr>
                <w:rFonts w:ascii="Arial" w:cs="Arial" w:eastAsia="Arial" w:hAnsi="Arial"/>
                <w:sz w:val="18"/>
                <w:szCs w:val="18"/>
                <w:b w:val="1"/>
                <w:bCs w:val="1"/>
                <w:color w:val="auto"/>
                <w:vertAlign w:val="superscript"/>
              </w:rPr>
              <w:t>1</w:t>
            </w:r>
          </w:p>
        </w:tc>
        <w:tc>
          <w:tcPr>
            <w:tcW w:w="860" w:type="dxa"/>
            <w:vAlign w:val="bottom"/>
            <w:tcBorders>
              <w:bottom w:val="single" w:sz="8" w:color="AFAFAF"/>
              <w:right w:val="single" w:sz="8" w:color="AFAFAF"/>
            </w:tcBorders>
          </w:tcPr>
          <w:p>
            <w:pPr>
              <w:jc w:val="center"/>
              <w:ind w:left="10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rPr>
                <w:sz w:val="20"/>
                <w:szCs w:val="20"/>
                <w:color w:val="auto"/>
              </w:rPr>
            </w:pPr>
            <w:r>
              <w:rPr>
                <w:rFonts w:ascii="Arial" w:cs="Arial" w:eastAsia="Arial" w:hAnsi="Arial"/>
                <w:sz w:val="14"/>
                <w:szCs w:val="14"/>
                <w:color w:val="auto"/>
              </w:rPr>
              <w:t>600,000</w:t>
            </w:r>
          </w:p>
        </w:tc>
        <w:tc>
          <w:tcPr>
            <w:tcW w:w="1780" w:type="dxa"/>
            <w:vAlign w:val="bottom"/>
            <w:tcBorders>
              <w:bottom w:val="single" w:sz="8" w:color="AFAFAF"/>
              <w:right w:val="single" w:sz="8" w:color="AFAFAF"/>
            </w:tcBorders>
          </w:tcPr>
          <w:p>
            <w:pPr>
              <w:jc w:val="center"/>
              <w:ind w:left="1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rPr>
                <w:sz w:val="20"/>
                <w:szCs w:val="20"/>
                <w:color w:val="auto"/>
              </w:rPr>
            </w:pPr>
            <w:r>
              <w:rPr>
                <w:rFonts w:ascii="Arial" w:cs="Arial" w:eastAsia="Arial" w:hAnsi="Arial"/>
                <w:sz w:val="14"/>
                <w:szCs w:val="14"/>
                <w:color w:val="auto"/>
              </w:rPr>
              <w:t>600,000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2"/>
                <w:szCs w:val="12"/>
                <w:b w:val="1"/>
                <w:bCs w:val="1"/>
                <w:color w:val="auto"/>
              </w:rPr>
              <w:t>   Kirk Arnold</w:t>
            </w:r>
            <w:r>
              <w:rPr>
                <w:rFonts w:ascii="Arial" w:cs="Arial" w:eastAsia="Arial" w:hAnsi="Arial"/>
                <w:sz w:val="17"/>
                <w:szCs w:val="17"/>
                <w:b w:val="1"/>
                <w:bCs w:val="1"/>
                <w:color w:val="auto"/>
                <w:vertAlign w:val="superscript"/>
              </w:rPr>
              <w:t>2</w:t>
            </w:r>
          </w:p>
        </w:tc>
        <w:tc>
          <w:tcPr>
            <w:tcW w:w="860" w:type="dxa"/>
            <w:vAlign w:val="bottom"/>
            <w:tcBorders>
              <w:bottom w:val="single" w:sz="8" w:color="AFAFAF"/>
              <w:right w:val="single" w:sz="8" w:color="AFAFAF"/>
            </w:tcBorders>
          </w:tcPr>
          <w:p>
            <w:pPr>
              <w:jc w:val="center"/>
              <w:ind w:left="89"/>
              <w:spacing w:after="0" w:line="154" w:lineRule="exact"/>
              <w:rPr>
                <w:sz w:val="20"/>
                <w:szCs w:val="20"/>
                <w:color w:val="auto"/>
              </w:rPr>
            </w:pPr>
            <w:r>
              <w:rPr>
                <w:rFonts w:ascii="Arial" w:cs="Arial" w:eastAsia="Arial" w:hAnsi="Arial"/>
                <w:sz w:val="14"/>
                <w:szCs w:val="14"/>
                <w:color w:val="auto"/>
                <w:w w:val="98"/>
              </w:rPr>
              <w:t>112,500</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162,500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275,000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 LaVerne Council</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2"/>
                <w:szCs w:val="12"/>
                <w:b w:val="1"/>
                <w:bCs w:val="1"/>
                <w:color w:val="auto"/>
              </w:rPr>
              <w:t>   W. Edmund Clark, C.M.</w:t>
            </w:r>
            <w:r>
              <w:rPr>
                <w:rFonts w:ascii="Arial" w:cs="Arial" w:eastAsia="Arial" w:hAnsi="Arial"/>
                <w:sz w:val="17"/>
                <w:szCs w:val="17"/>
                <w:b w:val="1"/>
                <w:bCs w:val="1"/>
                <w:color w:val="auto"/>
                <w:vertAlign w:val="superscript"/>
              </w:rPr>
              <w:t>3</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275,000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275,000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2"/>
                <w:szCs w:val="12"/>
                <w:b w:val="1"/>
                <w:bCs w:val="1"/>
                <w:color w:val="auto"/>
              </w:rPr>
              <w:t>   Michael E. Daniels</w:t>
            </w:r>
            <w:r>
              <w:rPr>
                <w:rFonts w:ascii="Arial" w:cs="Arial" w:eastAsia="Arial" w:hAnsi="Arial"/>
                <w:sz w:val="17"/>
                <w:szCs w:val="17"/>
                <w:b w:val="1"/>
                <w:bCs w:val="1"/>
                <w:color w:val="auto"/>
                <w:vertAlign w:val="superscript"/>
              </w:rPr>
              <w:t>4</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425,000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425,000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 Kirk Koenigsbauer</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 Deanna Oppenheimer</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 Simon Paris</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 Kim M. Rivera</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2"/>
                <w:szCs w:val="12"/>
                <w:b w:val="1"/>
                <w:bCs w:val="1"/>
                <w:color w:val="auto"/>
              </w:rPr>
              <w:t>   Barry Salzberg</w:t>
            </w:r>
            <w:r>
              <w:rPr>
                <w:rFonts w:ascii="Arial" w:cs="Arial" w:eastAsia="Arial" w:hAnsi="Arial"/>
                <w:sz w:val="17"/>
                <w:szCs w:val="17"/>
                <w:b w:val="1"/>
                <w:bCs w:val="1"/>
                <w:color w:val="auto"/>
                <w:vertAlign w:val="superscript"/>
              </w:rPr>
              <w:t>5</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275,000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275,000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 Peter J. Thomson</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112,500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112,500</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 Beth Wilson</w:t>
            </w:r>
          </w:p>
        </w:tc>
        <w:tc>
          <w:tcPr>
            <w:tcW w:w="860" w:type="dxa"/>
            <w:vAlign w:val="bottom"/>
            <w:tcBorders>
              <w:bottom w:val="single" w:sz="8" w:color="AFAFAF"/>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225,000</w:t>
            </w:r>
          </w:p>
        </w:tc>
        <w:tc>
          <w:tcPr>
            <w:tcW w:w="1780" w:type="dxa"/>
            <w:vAlign w:val="bottom"/>
            <w:tcBorders>
              <w:bottom w:val="single" w:sz="8" w:color="AFAFAF"/>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FAFAF"/>
            </w:tcBorders>
          </w:tcPr>
          <w:p>
            <w:pPr>
              <w:jc w:val="right"/>
              <w:ind w:right="249"/>
              <w:spacing w:after="0" w:line="154" w:lineRule="exact"/>
              <w:rPr>
                <w:sz w:val="20"/>
                <w:szCs w:val="20"/>
                <w:color w:val="auto"/>
              </w:rPr>
            </w:pPr>
            <w:r>
              <w:rPr>
                <w:rFonts w:ascii="Arial" w:cs="Arial" w:eastAsia="Arial" w:hAnsi="Arial"/>
                <w:sz w:val="14"/>
                <w:szCs w:val="14"/>
                <w:color w:val="auto"/>
              </w:rPr>
              <w:t>225,000</w:t>
            </w:r>
          </w:p>
        </w:tc>
      </w:tr>
      <w:tr>
        <w:trPr>
          <w:trHeight w:val="154"/>
        </w:trPr>
        <w:tc>
          <w:tcPr>
            <w:tcW w:w="35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 Former directors</w:t>
            </w:r>
          </w:p>
        </w:tc>
        <w:tc>
          <w:tcPr>
            <w:tcW w:w="860" w:type="dxa"/>
            <w:vAlign w:val="bottom"/>
            <w:tcBorders>
              <w:bottom w:val="single" w:sz="8" w:color="AFAFAF"/>
              <w:right w:val="single" w:sz="8" w:color="AFAFAF"/>
            </w:tcBorders>
          </w:tcPr>
          <w:p>
            <w:pPr>
              <w:spacing w:after="0"/>
              <w:rPr>
                <w:sz w:val="13"/>
                <w:szCs w:val="13"/>
                <w:color w:val="auto"/>
              </w:rPr>
            </w:pPr>
          </w:p>
        </w:tc>
        <w:tc>
          <w:tcPr>
            <w:tcW w:w="1500" w:type="dxa"/>
            <w:vAlign w:val="bottom"/>
            <w:tcBorders>
              <w:bottom w:val="single" w:sz="8" w:color="AFAFAF"/>
              <w:right w:val="single" w:sz="8" w:color="AFAFAF"/>
            </w:tcBorders>
          </w:tcPr>
          <w:p>
            <w:pPr>
              <w:spacing w:after="0"/>
              <w:rPr>
                <w:sz w:val="13"/>
                <w:szCs w:val="13"/>
                <w:color w:val="auto"/>
              </w:rPr>
            </w:pPr>
          </w:p>
        </w:tc>
        <w:tc>
          <w:tcPr>
            <w:tcW w:w="1780" w:type="dxa"/>
            <w:vAlign w:val="bottom"/>
            <w:tcBorders>
              <w:bottom w:val="single" w:sz="8" w:color="AFAFAF"/>
              <w:right w:val="single" w:sz="8" w:color="AFAFAF"/>
            </w:tcBorders>
          </w:tcPr>
          <w:p>
            <w:pPr>
              <w:spacing w:after="0"/>
              <w:rPr>
                <w:sz w:val="13"/>
                <w:szCs w:val="13"/>
                <w:color w:val="auto"/>
              </w:rPr>
            </w:pPr>
          </w:p>
        </w:tc>
        <w:tc>
          <w:tcPr>
            <w:tcW w:w="200" w:type="dxa"/>
            <w:vAlign w:val="bottom"/>
            <w:tcBorders>
              <w:bottom w:val="single" w:sz="8" w:color="AFAFAF"/>
            </w:tcBorders>
          </w:tcPr>
          <w:p>
            <w:pPr>
              <w:spacing w:after="0"/>
              <w:rPr>
                <w:sz w:val="13"/>
                <w:szCs w:val="13"/>
                <w:color w:val="auto"/>
              </w:rPr>
            </w:pPr>
          </w:p>
        </w:tc>
        <w:tc>
          <w:tcPr>
            <w:tcW w:w="1560" w:type="dxa"/>
            <w:vAlign w:val="bottom"/>
            <w:tcBorders>
              <w:bottom w:val="single" w:sz="8" w:color="AFAFAF"/>
              <w:right w:val="single" w:sz="8" w:color="AFAFAF"/>
            </w:tcBorders>
          </w:tcPr>
          <w:p>
            <w:pPr>
              <w:spacing w:after="0"/>
              <w:rPr>
                <w:sz w:val="13"/>
                <w:szCs w:val="13"/>
                <w:color w:val="auto"/>
              </w:rPr>
            </w:pPr>
          </w:p>
        </w:tc>
        <w:tc>
          <w:tcPr>
            <w:tcW w:w="1500" w:type="dxa"/>
            <w:vAlign w:val="bottom"/>
            <w:tcBorders>
              <w:bottom w:val="single" w:sz="8" w:color="AFAFAF"/>
            </w:tcBorders>
          </w:tcPr>
          <w:p>
            <w:pPr>
              <w:spacing w:after="0"/>
              <w:rPr>
                <w:sz w:val="13"/>
                <w:szCs w:val="13"/>
                <w:color w:val="auto"/>
              </w:rPr>
            </w:pPr>
          </w:p>
        </w:tc>
      </w:tr>
      <w:tr>
        <w:trPr>
          <w:trHeight w:val="154"/>
        </w:trPr>
        <w:tc>
          <w:tcPr>
            <w:tcW w:w="3520" w:type="dxa"/>
            <w:vAlign w:val="bottom"/>
            <w:tcBorders>
              <w:bottom w:val="single" w:sz="8" w:color="B94831"/>
              <w:right w:val="single" w:sz="8" w:color="AFAFAF"/>
            </w:tcBorders>
          </w:tcPr>
          <w:p>
            <w:pPr>
              <w:spacing w:after="0" w:line="154" w:lineRule="exact"/>
              <w:rPr>
                <w:sz w:val="20"/>
                <w:szCs w:val="20"/>
                <w:color w:val="auto"/>
              </w:rPr>
            </w:pPr>
            <w:r>
              <w:rPr>
                <w:rFonts w:ascii="Arial" w:cs="Arial" w:eastAsia="Arial" w:hAnsi="Arial"/>
                <w:sz w:val="12"/>
                <w:szCs w:val="12"/>
                <w:b w:val="1"/>
                <w:bCs w:val="1"/>
                <w:color w:val="auto"/>
              </w:rPr>
              <w:t>   David W. Binet</w:t>
            </w:r>
            <w:r>
              <w:rPr>
                <w:rFonts w:ascii="Arial" w:cs="Arial" w:eastAsia="Arial" w:hAnsi="Arial"/>
                <w:sz w:val="17"/>
                <w:szCs w:val="17"/>
                <w:b w:val="1"/>
                <w:bCs w:val="1"/>
                <w:color w:val="auto"/>
                <w:vertAlign w:val="superscript"/>
              </w:rPr>
              <w:t>6</w:t>
            </w:r>
          </w:p>
        </w:tc>
        <w:tc>
          <w:tcPr>
            <w:tcW w:w="860" w:type="dxa"/>
            <w:vAlign w:val="bottom"/>
            <w:tcBorders>
              <w:bottom w:val="single" w:sz="8" w:color="B94831"/>
              <w:right w:val="single" w:sz="8" w:color="AFAFAF"/>
            </w:tcBorders>
          </w:tcPr>
          <w:p>
            <w:pPr>
              <w:jc w:val="center"/>
              <w:ind w:left="109"/>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B94831"/>
              <w:right w:val="single" w:sz="8" w:color="AFAFAF"/>
            </w:tcBorders>
          </w:tcPr>
          <w:p>
            <w:pPr>
              <w:jc w:val="right"/>
              <w:ind w:right="269"/>
              <w:spacing w:after="0" w:line="154" w:lineRule="exact"/>
              <w:rPr>
                <w:sz w:val="20"/>
                <w:szCs w:val="20"/>
                <w:color w:val="auto"/>
              </w:rPr>
            </w:pPr>
            <w:r>
              <w:rPr>
                <w:rFonts w:ascii="Arial" w:cs="Arial" w:eastAsia="Arial" w:hAnsi="Arial"/>
                <w:sz w:val="14"/>
                <w:szCs w:val="14"/>
                <w:color w:val="auto"/>
              </w:rPr>
              <w:t>269,178</w:t>
            </w:r>
          </w:p>
        </w:tc>
        <w:tc>
          <w:tcPr>
            <w:tcW w:w="1780" w:type="dxa"/>
            <w:vAlign w:val="bottom"/>
            <w:tcBorders>
              <w:bottom w:val="single" w:sz="8" w:color="B94831"/>
              <w:right w:val="single" w:sz="8" w:color="AFAFAF"/>
            </w:tcBorders>
          </w:tcPr>
          <w:p>
            <w:pPr>
              <w:jc w:val="center"/>
              <w:ind w:left="189"/>
              <w:spacing w:after="0" w:line="154"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B94831"/>
            </w:tcBorders>
          </w:tcPr>
          <w:p>
            <w:pPr>
              <w:spacing w:after="0"/>
              <w:rPr>
                <w:sz w:val="13"/>
                <w:szCs w:val="13"/>
                <w:color w:val="auto"/>
              </w:rPr>
            </w:pPr>
          </w:p>
        </w:tc>
        <w:tc>
          <w:tcPr>
            <w:tcW w:w="1560" w:type="dxa"/>
            <w:vAlign w:val="bottom"/>
            <w:tcBorders>
              <w:bottom w:val="single" w:sz="8" w:color="B94831"/>
              <w:right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B94831"/>
            </w:tcBorders>
          </w:tcPr>
          <w:p>
            <w:pPr>
              <w:jc w:val="right"/>
              <w:ind w:right="249"/>
              <w:spacing w:after="0" w:line="154" w:lineRule="exact"/>
              <w:rPr>
                <w:sz w:val="20"/>
                <w:szCs w:val="20"/>
                <w:color w:val="auto"/>
              </w:rPr>
            </w:pPr>
            <w:r>
              <w:rPr>
                <w:rFonts w:ascii="Arial" w:cs="Arial" w:eastAsia="Arial" w:hAnsi="Arial"/>
                <w:sz w:val="14"/>
                <w:szCs w:val="14"/>
                <w:color w:val="auto"/>
              </w:rPr>
              <w:t>269,178</w:t>
            </w:r>
          </w:p>
        </w:tc>
      </w:tr>
      <w:tr>
        <w:trPr>
          <w:trHeight w:val="154"/>
        </w:trPr>
        <w:tc>
          <w:tcPr>
            <w:tcW w:w="3520" w:type="dxa"/>
            <w:vAlign w:val="bottom"/>
            <w:tcBorders>
              <w:bottom w:val="single" w:sz="8" w:color="B94831"/>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 Total</w:t>
            </w:r>
          </w:p>
        </w:tc>
        <w:tc>
          <w:tcPr>
            <w:tcW w:w="860" w:type="dxa"/>
            <w:vAlign w:val="bottom"/>
            <w:tcBorders>
              <w:bottom w:val="single" w:sz="8" w:color="B94831"/>
              <w:right w:val="single" w:sz="8" w:color="AFAFAF"/>
            </w:tcBorders>
          </w:tcPr>
          <w:p>
            <w:pPr>
              <w:jc w:val="center"/>
              <w:ind w:left="89"/>
              <w:spacing w:after="0" w:line="154" w:lineRule="exact"/>
              <w:rPr>
                <w:sz w:val="20"/>
                <w:szCs w:val="20"/>
                <w:color w:val="auto"/>
              </w:rPr>
            </w:pPr>
            <w:r>
              <w:rPr>
                <w:rFonts w:ascii="Arial" w:cs="Arial" w:eastAsia="Arial" w:hAnsi="Arial"/>
                <w:sz w:val="14"/>
                <w:szCs w:val="14"/>
                <w:b w:val="1"/>
                <w:bCs w:val="1"/>
                <w:color w:val="auto"/>
                <w:w w:val="98"/>
              </w:rPr>
              <w:t>112,500</w:t>
            </w:r>
          </w:p>
        </w:tc>
        <w:tc>
          <w:tcPr>
            <w:tcW w:w="1500" w:type="dxa"/>
            <w:vAlign w:val="bottom"/>
            <w:tcBorders>
              <w:bottom w:val="single" w:sz="8" w:color="B94831"/>
              <w:right w:val="single" w:sz="8" w:color="AFAFAF"/>
            </w:tcBorders>
          </w:tcPr>
          <w:p>
            <w:pPr>
              <w:jc w:val="right"/>
              <w:ind w:right="269"/>
              <w:spacing w:after="0" w:line="154" w:lineRule="exact"/>
              <w:rPr>
                <w:sz w:val="20"/>
                <w:szCs w:val="20"/>
                <w:color w:val="auto"/>
              </w:rPr>
            </w:pPr>
            <w:r>
              <w:rPr>
                <w:rFonts w:ascii="Arial" w:cs="Arial" w:eastAsia="Arial" w:hAnsi="Arial"/>
                <w:sz w:val="14"/>
                <w:szCs w:val="14"/>
                <w:b w:val="1"/>
                <w:bCs w:val="1"/>
                <w:color w:val="auto"/>
              </w:rPr>
              <w:t>3,469,178</w:t>
            </w:r>
          </w:p>
        </w:tc>
        <w:tc>
          <w:tcPr>
            <w:tcW w:w="1780" w:type="dxa"/>
            <w:vAlign w:val="bottom"/>
            <w:tcBorders>
              <w:bottom w:val="single" w:sz="8" w:color="B94831"/>
              <w:right w:val="single" w:sz="8" w:color="AFAFAF"/>
            </w:tcBorders>
          </w:tcPr>
          <w:p>
            <w:pPr>
              <w:jc w:val="center"/>
              <w:ind w:left="189"/>
              <w:spacing w:after="0" w:line="154" w:lineRule="exact"/>
              <w:rPr>
                <w:sz w:val="20"/>
                <w:szCs w:val="20"/>
                <w:color w:val="auto"/>
              </w:rPr>
            </w:pPr>
            <w:r>
              <w:rPr>
                <w:rFonts w:ascii="Arial" w:cs="Arial" w:eastAsia="Arial" w:hAnsi="Arial"/>
                <w:sz w:val="14"/>
                <w:szCs w:val="14"/>
                <w:b w:val="1"/>
                <w:bCs w:val="1"/>
                <w:color w:val="auto"/>
              </w:rPr>
              <w:t>112,500</w:t>
            </w:r>
          </w:p>
        </w:tc>
        <w:tc>
          <w:tcPr>
            <w:tcW w:w="200" w:type="dxa"/>
            <w:vAlign w:val="bottom"/>
            <w:tcBorders>
              <w:bottom w:val="single" w:sz="8" w:color="B94831"/>
            </w:tcBorders>
          </w:tcPr>
          <w:p>
            <w:pPr>
              <w:spacing w:after="0"/>
              <w:rPr>
                <w:sz w:val="13"/>
                <w:szCs w:val="13"/>
                <w:color w:val="auto"/>
              </w:rPr>
            </w:pPr>
          </w:p>
        </w:tc>
        <w:tc>
          <w:tcPr>
            <w:tcW w:w="1560" w:type="dxa"/>
            <w:vAlign w:val="bottom"/>
            <w:tcBorders>
              <w:bottom w:val="single" w:sz="8" w:color="B94831"/>
              <w:right w:val="single" w:sz="8" w:color="AFAFAF"/>
            </w:tcBorders>
          </w:tcPr>
          <w:p>
            <w:pPr>
              <w:jc w:val="center"/>
              <w:spacing w:after="0" w:line="154" w:lineRule="exact"/>
              <w:rPr>
                <w:sz w:val="20"/>
                <w:szCs w:val="20"/>
                <w:color w:val="auto"/>
              </w:rPr>
            </w:pPr>
            <w:r>
              <w:rPr>
                <w:rFonts w:ascii="Arial" w:cs="Arial" w:eastAsia="Arial" w:hAnsi="Arial"/>
                <w:sz w:val="14"/>
                <w:szCs w:val="14"/>
                <w:b w:val="1"/>
                <w:bCs w:val="1"/>
                <w:color w:val="auto"/>
              </w:rPr>
              <w:t>0</w:t>
            </w:r>
          </w:p>
        </w:tc>
        <w:tc>
          <w:tcPr>
            <w:tcW w:w="1500" w:type="dxa"/>
            <w:vAlign w:val="bottom"/>
            <w:tcBorders>
              <w:bottom w:val="single" w:sz="8" w:color="B94831"/>
            </w:tcBorders>
          </w:tcPr>
          <w:p>
            <w:pPr>
              <w:jc w:val="right"/>
              <w:ind w:right="249"/>
              <w:spacing w:after="0" w:line="154" w:lineRule="exact"/>
              <w:rPr>
                <w:sz w:val="20"/>
                <w:szCs w:val="20"/>
                <w:color w:val="auto"/>
              </w:rPr>
            </w:pPr>
            <w:r>
              <w:rPr>
                <w:rFonts w:ascii="Arial" w:cs="Arial" w:eastAsia="Arial" w:hAnsi="Arial"/>
                <w:sz w:val="14"/>
                <w:szCs w:val="14"/>
                <w:b w:val="1"/>
                <w:bCs w:val="1"/>
                <w:color w:val="auto"/>
              </w:rPr>
              <w:t>3,694,178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-1884680</wp:posOffset>
            </wp:positionV>
            <wp:extent cx="8255" cy="229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22923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-1884680</wp:posOffset>
            </wp:positionV>
            <wp:extent cx="8255" cy="229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22923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-1884680</wp:posOffset>
            </wp:positionV>
            <wp:extent cx="8255" cy="229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22923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-1884680</wp:posOffset>
            </wp:positionV>
            <wp:extent cx="8255" cy="229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22923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-1884680</wp:posOffset>
            </wp:positionV>
            <wp:extent cx="8255" cy="229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229235"/>
                    </a:xfrm>
                    <a:prstGeom prst="rect">
                      <a:avLst/>
                    </a:prstGeom>
                    <a:noFill/>
                  </pic:spPr>
                </pic:pic>
              </a:graphicData>
            </a:graphic>
          </wp:anchor>
        </w:drawing>
      </w:r>
    </w:p>
    <w:p>
      <w:pPr>
        <w:spacing w:after="0" w:line="82" w:lineRule="exact"/>
        <w:rPr>
          <w:sz w:val="20"/>
          <w:szCs w:val="20"/>
          <w:color w:val="auto"/>
        </w:rPr>
      </w:pPr>
    </w:p>
    <w:p>
      <w:pPr>
        <w:ind w:left="320"/>
        <w:spacing w:after="0"/>
        <w:tabs>
          <w:tab w:leader="none" w:pos="460" w:val="left"/>
        </w:tabs>
        <w:rPr>
          <w:sz w:val="20"/>
          <w:szCs w:val="20"/>
          <w:color w:val="auto"/>
        </w:rPr>
      </w:pPr>
      <w:r>
        <w:rPr>
          <w:rFonts w:ascii="Arial" w:cs="Arial" w:eastAsia="Arial" w:hAnsi="Arial"/>
          <w:sz w:val="12"/>
          <w:szCs w:val="12"/>
          <w:color w:val="auto"/>
        </w:rPr>
        <w:t>1</w:t>
        <w:tab/>
        <w:t>David Thomson’s compensation reflects fees for serving as Chairman.</w:t>
      </w:r>
    </w:p>
    <w:p>
      <w:pPr>
        <w:spacing w:after="0" w:line="27" w:lineRule="exact"/>
        <w:rPr>
          <w:sz w:val="20"/>
          <w:szCs w:val="20"/>
          <w:color w:val="auto"/>
        </w:rPr>
      </w:pPr>
    </w:p>
    <w:p>
      <w:pPr>
        <w:ind w:left="480" w:hanging="168"/>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Kirk Arnold’s compensation includes fees for serving as Chair of the Risk Committee.</w:t>
      </w:r>
    </w:p>
    <w:p>
      <w:pPr>
        <w:spacing w:after="0" w:line="22"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3  Ed Clark’s compensation includes fees for serving as Chair of the HR Committee.</w:t>
      </w:r>
    </w:p>
    <w:p>
      <w:pPr>
        <w:spacing w:after="0" w:line="22"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4  Mike Daniels’ compensation includes fees for serving as Chair of the Corporate Governance Committee and Lead Independent Director.</w:t>
      </w:r>
    </w:p>
    <w:p>
      <w:pPr>
        <w:spacing w:after="0" w:line="22"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5  Barry Salzberg’s compensation includes fees for serving as Chair of the Audit Committee.</w:t>
      </w:r>
    </w:p>
    <w:p>
      <w:pPr>
        <w:spacing w:after="0" w:line="22"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6  David Binet served as a director through September 19, 2023. David’s compensation also includes fees for serving as Deputy Chairman from January 1, 2023 through September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150495</wp:posOffset>
            </wp:positionV>
            <wp:extent cx="6929755" cy="33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38"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29</w:t>
      </w:r>
    </w:p>
    <w:p>
      <w:pPr>
        <w:sectPr>
          <w:pgSz w:w="11900" w:h="16838" w:orient="portrait"/>
          <w:cols w:equalWidth="0" w:num="1">
            <w:col w:w="11080"/>
          </w:cols>
          <w:pgMar w:left="320" w:top="45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Stock Option and RSU Grants</w:t>
      </w:r>
    </w:p>
    <w:p>
      <w:pPr>
        <w:spacing w:after="0" w:line="117"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Our non-management directors are not eligible to receive stock option grants and no non-management director currently holds any options. None of our non-management directors currently hold RSUs. Options and RSUs held by Steve Hasker are described later in the circular.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Share Ownership Guidelines</w:t>
      </w:r>
    </w:p>
    <w:p>
      <w:pPr>
        <w:spacing w:after="0" w:line="51" w:lineRule="exact"/>
        <w:rPr>
          <w:sz w:val="20"/>
          <w:szCs w:val="20"/>
          <w:color w:val="auto"/>
        </w:rPr>
      </w:pPr>
    </w:p>
    <w:p>
      <w:pPr>
        <w:ind w:left="160" w:right="220"/>
        <w:spacing w:after="0" w:line="238" w:lineRule="auto"/>
        <w:rPr>
          <w:sz w:val="20"/>
          <w:szCs w:val="20"/>
          <w:color w:val="auto"/>
        </w:rPr>
      </w:pPr>
      <w:r>
        <w:rPr>
          <w:rFonts w:ascii="Arial" w:cs="Arial" w:eastAsia="Arial" w:hAnsi="Arial"/>
          <w:sz w:val="18"/>
          <w:szCs w:val="18"/>
          <w:color w:val="auto"/>
        </w:rPr>
        <w:t>Directors are currently required to hold common shares and/or DSUs with a value equal to three times their annual retainer, which is currently $750,000. Directors are required to meet their ownership requirement within five years of the date of their initial appointment to the Thomson Reuters Board. Share prices of all public companies are subject to market volatility. As a result, director share ownership guidelines reflect a “once met, always met” standard. This means that if a director has met his or her applicable ownership guideline multiple and a subsequent decline in the Thomson Reuters share price causes the value of his or her ownership to fall below the applicable threshold, the director will be considered to be in compliance with the guidelines so long as he or she continues to hold the number of shares that were owned at the time when he or she achieved the guidelines.</w:t>
      </w:r>
    </w:p>
    <w:p>
      <w:pPr>
        <w:spacing w:after="0" w:line="74"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Ownership of common shares and DSUs by our director nominees can be found in each nominee’s biography in this circular. David Thomson and Peter Thomson are substantial shareholders of our company as members of the family that owns the equity of Woodbridge. As of April 19, 2024 (unchanged from April 12, 2024), Woodbridge beneficially owned approximately 69% of our common shares. For more information, see the “Principal Shareholder and Share Capital” section of this circular. The following table shows each non-management director’s progress towards his or her share ownership guidelines. All ownership multiples and each director’s ownership are as of April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143510</wp:posOffset>
            </wp:positionV>
            <wp:extent cx="8255" cy="229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2292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143510</wp:posOffset>
            </wp:positionV>
            <wp:extent cx="8255" cy="229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22923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143510</wp:posOffset>
            </wp:positionV>
            <wp:extent cx="8255" cy="229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22923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2320" w:type="dxa"/>
            <w:vAlign w:val="bottom"/>
            <w:tcBorders>
              <w:right w:val="single" w:sz="8" w:color="262626"/>
            </w:tcBorders>
            <w:shd w:val="clear" w:color="auto" w:fill="262626"/>
          </w:tcPr>
          <w:p>
            <w:pPr>
              <w:ind w:left="160"/>
              <w:spacing w:after="0"/>
              <w:rPr>
                <w:sz w:val="20"/>
                <w:szCs w:val="20"/>
                <w:color w:val="auto"/>
              </w:rPr>
            </w:pPr>
            <w:r>
              <w:rPr>
                <w:rFonts w:ascii="Arial" w:cs="Arial" w:eastAsia="Arial" w:hAnsi="Arial"/>
                <w:sz w:val="14"/>
                <w:szCs w:val="14"/>
                <w:b w:val="1"/>
                <w:bCs w:val="1"/>
                <w:color w:val="FFFFFF"/>
              </w:rPr>
              <w:t>    Name</w:t>
            </w:r>
          </w:p>
        </w:tc>
        <w:tc>
          <w:tcPr>
            <w:tcW w:w="1960" w:type="dxa"/>
            <w:vAlign w:val="bottom"/>
            <w:tcBorders>
              <w:right w:val="single" w:sz="8" w:color="262626"/>
            </w:tcBorders>
            <w:shd w:val="clear" w:color="auto" w:fill="262626"/>
          </w:tcPr>
          <w:p>
            <w:pPr>
              <w:ind w:left="200"/>
              <w:spacing w:after="0"/>
              <w:rPr>
                <w:sz w:val="20"/>
                <w:szCs w:val="20"/>
                <w:color w:val="auto"/>
              </w:rPr>
            </w:pPr>
            <w:r>
              <w:rPr>
                <w:rFonts w:ascii="Arial" w:cs="Arial" w:eastAsia="Arial" w:hAnsi="Arial"/>
                <w:sz w:val="14"/>
                <w:szCs w:val="14"/>
                <w:b w:val="1"/>
                <w:bCs w:val="1"/>
                <w:color w:val="FFFFFF"/>
              </w:rPr>
              <w:t xml:space="preserve">Ownership multiple of    </w:t>
            </w:r>
          </w:p>
        </w:tc>
        <w:tc>
          <w:tcPr>
            <w:tcW w:w="6640" w:type="dxa"/>
            <w:vAlign w:val="bottom"/>
            <w:shd w:val="clear" w:color="auto" w:fill="262626"/>
          </w:tcPr>
          <w:p>
            <w:pPr>
              <w:ind w:left="200"/>
              <w:spacing w:after="0"/>
              <w:rPr>
                <w:sz w:val="20"/>
                <w:szCs w:val="20"/>
                <w:color w:val="auto"/>
              </w:rPr>
            </w:pPr>
            <w:r>
              <w:rPr>
                <w:rFonts w:ascii="Arial" w:cs="Arial" w:eastAsia="Arial" w:hAnsi="Arial"/>
                <w:sz w:val="14"/>
                <w:szCs w:val="14"/>
                <w:b w:val="1"/>
                <w:bCs w:val="1"/>
                <w:color w:val="FFFFFF"/>
              </w:rPr>
              <w:t>Progress towards guidelines</w:t>
            </w:r>
          </w:p>
        </w:tc>
      </w:tr>
      <w:tr>
        <w:trPr>
          <w:trHeight w:val="183"/>
        </w:trPr>
        <w:tc>
          <w:tcPr>
            <w:tcW w:w="2320" w:type="dxa"/>
            <w:vAlign w:val="bottom"/>
            <w:tcBorders>
              <w:right w:val="single" w:sz="8" w:color="262626"/>
            </w:tcBorders>
            <w:shd w:val="clear" w:color="auto" w:fill="262626"/>
          </w:tcPr>
          <w:p>
            <w:pPr>
              <w:spacing w:after="0"/>
              <w:rPr>
                <w:sz w:val="15"/>
                <w:szCs w:val="15"/>
                <w:color w:val="auto"/>
              </w:rPr>
            </w:pPr>
          </w:p>
        </w:tc>
        <w:tc>
          <w:tcPr>
            <w:tcW w:w="1960" w:type="dxa"/>
            <w:vAlign w:val="bottom"/>
            <w:tcBorders>
              <w:right w:val="single" w:sz="8" w:color="262626"/>
            </w:tcBorders>
            <w:shd w:val="clear" w:color="auto" w:fill="262626"/>
          </w:tcPr>
          <w:p>
            <w:pPr>
              <w:ind w:left="200"/>
              <w:spacing w:after="0"/>
              <w:rPr>
                <w:sz w:val="20"/>
                <w:szCs w:val="20"/>
                <w:color w:val="auto"/>
              </w:rPr>
            </w:pPr>
            <w:r>
              <w:rPr>
                <w:rFonts w:ascii="Arial" w:cs="Arial" w:eastAsia="Arial" w:hAnsi="Arial"/>
                <w:sz w:val="14"/>
                <w:szCs w:val="14"/>
                <w:b w:val="1"/>
                <w:bCs w:val="1"/>
                <w:color w:val="FFFFFF"/>
              </w:rPr>
              <w:t>annual retainer</w:t>
            </w:r>
          </w:p>
        </w:tc>
        <w:tc>
          <w:tcPr>
            <w:tcW w:w="6640" w:type="dxa"/>
            <w:vAlign w:val="bottom"/>
            <w:shd w:val="clear" w:color="auto" w:fill="262626"/>
          </w:tcPr>
          <w:p>
            <w:pPr>
              <w:spacing w:after="0"/>
              <w:rPr>
                <w:sz w:val="15"/>
                <w:szCs w:val="15"/>
                <w:color w:val="auto"/>
              </w:rPr>
            </w:pPr>
          </w:p>
        </w:tc>
      </w:tr>
      <w:tr>
        <w:trPr>
          <w:trHeight w:val="174"/>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 David Thomson</w:t>
            </w:r>
          </w:p>
        </w:tc>
        <w:tc>
          <w:tcPr>
            <w:tcW w:w="1960" w:type="dxa"/>
            <w:vAlign w:val="bottom"/>
            <w:tcBorders>
              <w:bottom w:val="single" w:sz="8" w:color="AFAFAF"/>
              <w:right w:val="single" w:sz="8" w:color="AFAFAF"/>
            </w:tcBorders>
          </w:tcPr>
          <w:p>
            <w:pPr>
              <w:spacing w:after="0"/>
              <w:rPr>
                <w:sz w:val="15"/>
                <w:szCs w:val="15"/>
                <w:color w:val="auto"/>
              </w:rPr>
            </w:pPr>
          </w:p>
        </w:tc>
        <w:tc>
          <w:tcPr>
            <w:tcW w:w="6640" w:type="dxa"/>
            <w:vAlign w:val="bottom"/>
            <w:tcBorders>
              <w:bottom w:val="single" w:sz="8" w:color="AFAFAF"/>
            </w:tcBorders>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through Woodbridge’s ownership</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 Kirk E. Arnold</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 W. Edmund Clark, C.M.</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54"/>
        </w:trPr>
        <w:tc>
          <w:tcPr>
            <w:tcW w:w="2320" w:type="dxa"/>
            <w:vAlign w:val="bottom"/>
            <w:tcBorders>
              <w:bottom w:val="single" w:sz="8" w:color="AFAFAF"/>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 LaVerne Council</w:t>
            </w:r>
          </w:p>
        </w:tc>
        <w:tc>
          <w:tcPr>
            <w:tcW w:w="1960" w:type="dxa"/>
            <w:vAlign w:val="bottom"/>
            <w:tcBorders>
              <w:bottom w:val="single" w:sz="8" w:color="AFAFAF"/>
              <w:right w:val="single" w:sz="8" w:color="AFAFAF"/>
            </w:tcBorders>
          </w:tcPr>
          <w:p>
            <w:pPr>
              <w:spacing w:after="0"/>
              <w:rPr>
                <w:sz w:val="13"/>
                <w:szCs w:val="13"/>
                <w:color w:val="auto"/>
              </w:rPr>
            </w:pPr>
          </w:p>
        </w:tc>
        <w:tc>
          <w:tcPr>
            <w:tcW w:w="6640" w:type="dxa"/>
            <w:vAlign w:val="bottom"/>
            <w:tcBorders>
              <w:bottom w:val="single" w:sz="8" w:color="AFAFAF"/>
            </w:tcBorders>
          </w:tcPr>
          <w:p>
            <w:pPr>
              <w:ind w:left="200"/>
              <w:spacing w:after="0" w:line="154" w:lineRule="exact"/>
              <w:rPr>
                <w:sz w:val="20"/>
                <w:szCs w:val="20"/>
                <w:color w:val="auto"/>
              </w:rPr>
            </w:pPr>
            <w:r>
              <w:rPr>
                <w:rFonts w:ascii="Arial" w:cs="Arial" w:eastAsia="Arial" w:hAnsi="Arial"/>
                <w:sz w:val="14"/>
                <w:szCs w:val="14"/>
                <w:color w:val="auto"/>
              </w:rPr>
              <w:t>Required by January 12, 2027; 86.3% towards goal</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 Michael E. Daniels</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 Kirk Koenigsbauer</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 Deanna Oppenheimer</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 Simon Paris</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 Kim M. Rivera</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 Barry Salzberg</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167"/>
        </w:trPr>
        <w:tc>
          <w:tcPr>
            <w:tcW w:w="2320" w:type="dxa"/>
            <w:vAlign w:val="bottom"/>
            <w:tcBorders>
              <w:bottom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 Peter J. Thomson</w:t>
            </w:r>
          </w:p>
        </w:tc>
        <w:tc>
          <w:tcPr>
            <w:tcW w:w="1960" w:type="dxa"/>
            <w:vAlign w:val="bottom"/>
            <w:tcBorders>
              <w:bottom w:val="single" w:sz="8" w:color="AFAFAF"/>
              <w:right w:val="single" w:sz="8" w:color="AFAFAF"/>
            </w:tcBorders>
          </w:tcPr>
          <w:p>
            <w:pPr>
              <w:spacing w:after="0"/>
              <w:rPr>
                <w:sz w:val="14"/>
                <w:szCs w:val="14"/>
                <w:color w:val="auto"/>
              </w:rPr>
            </w:pPr>
          </w:p>
        </w:tc>
        <w:tc>
          <w:tcPr>
            <w:tcW w:w="6640" w:type="dxa"/>
            <w:vAlign w:val="bottom"/>
            <w:tcBorders>
              <w:bottom w:val="single" w:sz="8" w:color="AFAFAF"/>
            </w:tcBorders>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through Woodbridge’s ownership</w:t>
            </w:r>
          </w:p>
        </w:tc>
      </w:tr>
      <w:tr>
        <w:trPr>
          <w:trHeight w:val="154"/>
        </w:trPr>
        <w:tc>
          <w:tcPr>
            <w:tcW w:w="2320" w:type="dxa"/>
            <w:vAlign w:val="bottom"/>
            <w:tcBorders>
              <w:bottom w:val="single" w:sz="8" w:color="B94831"/>
              <w:right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   Beth Wilson</w:t>
            </w:r>
          </w:p>
        </w:tc>
        <w:tc>
          <w:tcPr>
            <w:tcW w:w="1960" w:type="dxa"/>
            <w:vAlign w:val="bottom"/>
            <w:tcBorders>
              <w:bottom w:val="single" w:sz="8" w:color="B94831"/>
              <w:right w:val="single" w:sz="8" w:color="AFAFAF"/>
            </w:tcBorders>
          </w:tcPr>
          <w:p>
            <w:pPr>
              <w:spacing w:after="0"/>
              <w:rPr>
                <w:sz w:val="13"/>
                <w:szCs w:val="13"/>
                <w:color w:val="auto"/>
              </w:rPr>
            </w:pPr>
          </w:p>
        </w:tc>
        <w:tc>
          <w:tcPr>
            <w:tcW w:w="6640" w:type="dxa"/>
            <w:vAlign w:val="bottom"/>
            <w:tcBorders>
              <w:bottom w:val="single" w:sz="8" w:color="B94831"/>
            </w:tcBorders>
          </w:tcPr>
          <w:p>
            <w:pPr>
              <w:ind w:left="200"/>
              <w:spacing w:after="0" w:line="154" w:lineRule="exact"/>
              <w:rPr>
                <w:sz w:val="20"/>
                <w:szCs w:val="20"/>
                <w:color w:val="auto"/>
              </w:rPr>
            </w:pPr>
            <w:r>
              <w:rPr>
                <w:rFonts w:ascii="Arial" w:cs="Arial" w:eastAsia="Arial" w:hAnsi="Arial"/>
                <w:sz w:val="14"/>
                <w:szCs w:val="14"/>
                <w:color w:val="auto"/>
              </w:rPr>
              <w:t>Required by June 8, 2027; 67.3% towards goal</w:t>
            </w:r>
          </w:p>
        </w:tc>
      </w:tr>
    </w:tbl>
    <w:p>
      <w:pPr>
        <w:spacing w:after="0" w:line="88" w:lineRule="exact"/>
        <w:rPr>
          <w:sz w:val="20"/>
          <w:szCs w:val="20"/>
          <w:color w:val="auto"/>
        </w:rPr>
      </w:pPr>
    </w:p>
    <w:p>
      <w:pPr>
        <w:ind w:left="160" w:right="760"/>
        <w:spacing w:after="0" w:line="265" w:lineRule="auto"/>
        <w:rPr>
          <w:sz w:val="20"/>
          <w:szCs w:val="20"/>
          <w:color w:val="auto"/>
        </w:rPr>
      </w:pPr>
      <w:r>
        <w:rPr>
          <w:rFonts w:ascii="Arial" w:cs="Arial" w:eastAsia="Arial" w:hAnsi="Arial"/>
          <w:sz w:val="18"/>
          <w:szCs w:val="18"/>
          <w:color w:val="auto"/>
        </w:rPr>
        <w:t>Steve Hasker is subject to separate ownership guidelines as CEO of our company. For more information, see the “Compensation Discussion and Analysis” section of this circular.</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Pensions</w:t>
      </w:r>
    </w:p>
    <w:p>
      <w:pPr>
        <w:spacing w:after="0" w:line="51"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Non-management directors do not receive any pension benefits from our company. Steve Hasker’s retirement benefits are described in the “Executive Compensation – Pension and Other Retirement Benefits” section of this circular.</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Service Contracts</w:t>
      </w:r>
    </w:p>
    <w:p>
      <w:pPr>
        <w:spacing w:after="0" w:line="42"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We have not entered into service contracts with our non-management directors. Our agreement with Steve Hasker regarding termination benefits is described in the “Executive Compensation – Termination Benefits” section of this circular.</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Liability Insurance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provide our directors with liability insurance in connection with their service on the Board.</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Director Expenses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reimburse directors for reasonable travel and out-of-pocket expenses incurred in connection with their Thomson Reuters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30 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Corporate Governance Practices</w:t>
      </w:r>
    </w:p>
    <w:p>
      <w:pPr>
        <w:spacing w:after="0" w:line="200" w:lineRule="exact"/>
        <w:rPr>
          <w:sz w:val="20"/>
          <w:szCs w:val="20"/>
          <w:color w:val="auto"/>
        </w:rPr>
      </w:pPr>
    </w:p>
    <w:p>
      <w:pPr>
        <w:spacing w:after="0" w:line="253"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Our Board is committed to high standards of corporate governance and believes that sound corporate governance practices are essential to the well-being of our company and for the promotion and protection of our shareholders’ interests. We believe that sustainable value creation for all shareholders is fostered through a Board that is informed and engaged and that functions independently of management.</w:t>
      </w:r>
    </w:p>
    <w:p>
      <w:pPr>
        <w:spacing w:after="0" w:line="49" w:lineRule="exact"/>
        <w:rPr>
          <w:sz w:val="20"/>
          <w:szCs w:val="20"/>
          <w:color w:val="auto"/>
        </w:rPr>
      </w:pPr>
    </w:p>
    <w:p>
      <w:pPr>
        <w:ind w:left="160" w:right="120"/>
        <w:spacing w:after="0" w:line="262" w:lineRule="auto"/>
        <w:rPr>
          <w:sz w:val="20"/>
          <w:szCs w:val="20"/>
          <w:color w:val="auto"/>
        </w:rPr>
      </w:pPr>
      <w:r>
        <w:rPr>
          <w:rFonts w:ascii="Arial" w:cs="Arial" w:eastAsia="Arial" w:hAnsi="Arial"/>
          <w:sz w:val="17"/>
          <w:szCs w:val="17"/>
          <w:color w:val="auto"/>
        </w:rPr>
        <w:t>As a public company with shares listed in Canada on the TSX and in the United States on the NYSE, our corporate governance practices are generally consistent with the best practice guidelines of the Canadian securities regulatory authorities and take into account the guidelines provided by the SEC. In addition, our corporate governance practices comply with most of the corporate governance listing standards of the NYSE, notwithstanding that we are exempt from most of those standards as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HIGHLIGHTS</w:t>
      </w:r>
    </w:p>
    <w:p>
      <w:pPr>
        <w:sectPr>
          <w:pgSz w:w="11900" w:h="16838" w:orient="portrait"/>
          <w:cols w:equalWidth="0" w:num="1">
            <w:col w:w="11080"/>
          </w:cols>
          <w:pgMar w:left="320" w:top="454" w:right="499" w:bottom="1440" w:gutter="0" w:footer="0" w:header="0"/>
        </w:sectPr>
      </w:pPr>
    </w:p>
    <w:p>
      <w:pPr>
        <w:spacing w:after="0" w:line="1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auto"/>
        </w:rPr>
        <w:t xml:space="preserve">Independence - </w:t>
      </w:r>
      <w:r>
        <w:rPr>
          <w:rFonts w:ascii="Arial" w:cs="Arial" w:eastAsia="Arial" w:hAnsi="Arial"/>
          <w:sz w:val="18"/>
          <w:szCs w:val="18"/>
          <w:color w:val="auto"/>
        </w:rPr>
        <w:t>A majority of our directors are independent and only one director (our CEO) is a member of management.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Board’s committees are comprised of a majority of independent directors. Our independent directors meet without management at each Board meeting;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Separation of Chairman and CEO - </w:t>
      </w:r>
      <w:r>
        <w:rPr>
          <w:rFonts w:ascii="Arial" w:cs="Arial" w:eastAsia="Arial" w:hAnsi="Arial"/>
          <w:sz w:val="18"/>
          <w:szCs w:val="18"/>
          <w:color w:val="auto"/>
        </w:rPr>
        <w:t>The roles and responsibilities of the Chairman and the CEO are separate;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ownership guidelines - </w:t>
      </w:r>
      <w:r>
        <w:rPr>
          <w:rFonts w:ascii="Arial" w:cs="Arial" w:eastAsia="Arial" w:hAnsi="Arial"/>
          <w:sz w:val="18"/>
          <w:szCs w:val="18"/>
          <w:color w:val="auto"/>
        </w:rPr>
        <w:t>Our directors and executive officers are required to maintain equity interests in our company;</w:t>
      </w:r>
    </w:p>
    <w:p>
      <w:pPr>
        <w:spacing w:after="0" w:line="127"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b w:val="1"/>
          <w:bCs w:val="1"/>
          <w:color w:val="auto"/>
        </w:rPr>
        <w:t xml:space="preserve">Risk oversight - </w:t>
      </w:r>
      <w:r>
        <w:rPr>
          <w:rFonts w:ascii="Arial" w:cs="Arial" w:eastAsia="Arial" w:hAnsi="Arial"/>
          <w:sz w:val="18"/>
          <w:szCs w:val="18"/>
          <w:color w:val="auto"/>
        </w:rPr>
        <w:t>We have a separate Risk Committee that helps oversee our enterprise risk management (ERM) program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risks not overseen by the Board and its other committees;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ESG oversight - </w:t>
      </w:r>
      <w:r>
        <w:rPr>
          <w:rFonts w:ascii="Arial" w:cs="Arial" w:eastAsia="Arial" w:hAnsi="Arial"/>
          <w:sz w:val="18"/>
          <w:szCs w:val="18"/>
          <w:color w:val="auto"/>
        </w:rPr>
        <w:t>ESG is overseen by our Board and its committees;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Voting structure - </w:t>
      </w:r>
      <w:r>
        <w:rPr>
          <w:rFonts w:ascii="Arial" w:cs="Arial" w:eastAsia="Arial" w:hAnsi="Arial"/>
          <w:sz w:val="18"/>
          <w:szCs w:val="18"/>
          <w:color w:val="auto"/>
        </w:rPr>
        <w:t>We do not have dual class or subordinate voting structures;</w:t>
      </w:r>
    </w:p>
    <w:p>
      <w:pPr>
        <w:spacing w:after="0" w:line="127"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b w:val="1"/>
          <w:bCs w:val="1"/>
          <w:color w:val="auto"/>
        </w:rPr>
        <w:t xml:space="preserve">Code of Business Conduct and Ethics - </w:t>
      </w:r>
      <w:r>
        <w:rPr>
          <w:rFonts w:ascii="Arial" w:cs="Arial" w:eastAsia="Arial" w:hAnsi="Arial"/>
          <w:sz w:val="18"/>
          <w:szCs w:val="18"/>
          <w:color w:val="auto"/>
        </w:rPr>
        <w:t>Our directors and executive officers must comply with our Code and other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policies;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orientation - </w:t>
      </w:r>
      <w:r>
        <w:rPr>
          <w:rFonts w:ascii="Arial" w:cs="Arial" w:eastAsia="Arial" w:hAnsi="Arial"/>
          <w:sz w:val="18"/>
          <w:szCs w:val="18"/>
          <w:color w:val="auto"/>
        </w:rPr>
        <w:t>We have an orientation program to onboard our new directors; and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Independent advice - </w:t>
      </w:r>
      <w:r>
        <w:rPr>
          <w:rFonts w:ascii="Arial" w:cs="Arial" w:eastAsia="Arial" w:hAnsi="Arial"/>
          <w:sz w:val="18"/>
          <w:szCs w:val="18"/>
          <w:color w:val="auto"/>
        </w:rPr>
        <w:t>The Board and each of its committees have the ability to retain independent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228600</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Board Composition and Responsibilities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Governance Structure</w:t>
      </w:r>
    </w:p>
    <w:p>
      <w:pPr>
        <w:spacing w:after="0" w:line="42"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The Board oversees our corporate governance structure, in part, through the work of the Corporate Governance Committee. Board practices are set out in Corporate Governance Guidelines, which the Corporate Governance Committee reviews annually. The Corporate Governance Guidelines deal with issues such as the Board’s duties and responsibilities, share ownership guidelines and conflicts of interest. In addition, each of the Board’s four standing committees (Audit, Corporate Governance, HR and Risk) has a charter. The charters are reviewed annually by the relevant committee and the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6" w:lineRule="exact"/>
        <w:rPr>
          <w:sz w:val="20"/>
          <w:szCs w:val="20"/>
          <w:color w:val="auto"/>
        </w:rPr>
      </w:pPr>
    </w:p>
    <w:p>
      <w:pPr>
        <w:ind w:left="160" w:right="480"/>
        <w:spacing w:after="0" w:line="271" w:lineRule="auto"/>
        <w:rPr>
          <w:sz w:val="20"/>
          <w:szCs w:val="20"/>
          <w:color w:val="auto"/>
        </w:rPr>
      </w:pPr>
      <w:r>
        <w:rPr>
          <w:rFonts w:ascii="Arial" w:cs="Arial" w:eastAsia="Arial" w:hAnsi="Arial"/>
          <w:sz w:val="27"/>
          <w:szCs w:val="27"/>
          <w:color w:val="auto"/>
        </w:rPr>
        <w:t>The Board’s principal responsibilities include strategic planning, risk management, talent oversight, financial reporting, disclosure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69297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Our Code of Business Conduct and Ethics (Code) applies to our employees, directors and officers, including our CEO, CFO and Controller. Our employees, directors and officers are required to submit an acknowledgment that they have received and read a copy of the Code and understand their obligations to comply with the principles and policies outlined in it. The Corporate Governance Committee receives an annual report regarding the Code from a member of the General Counsel’s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33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31</w:t>
      </w:r>
    </w:p>
    <w:p>
      <w:pPr>
        <w:sectPr>
          <w:pgSz w:w="11900" w:h="16838" w:orient="portrait"/>
          <w:cols w:equalWidth="0" w:num="1">
            <w:col w:w="11080"/>
          </w:cols>
          <w:pgMar w:left="320" w:top="454" w:right="4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Board Size</w:t>
      </w:r>
    </w:p>
    <w:p>
      <w:pPr>
        <w:spacing w:after="0" w:line="5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Board currently consists of 13 individuals and functions independently of management. The Board is currently comprised of 12 non-management directors and the CEO. Individual directors are proposed for election annually. We have proposed that 13 directors be nominated for election at the meeting, all of whom are currently directors. Each of the Board’s committees is discussed in more detail later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142240</wp:posOffset>
            </wp:positionV>
            <wp:extent cx="5146675" cy="12141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6675"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Key Responsibilities of the Board</w:t>
      </w:r>
    </w:p>
    <w:p>
      <w:pPr>
        <w:spacing w:after="0" w:line="117" w:lineRule="exact"/>
        <w:rPr>
          <w:sz w:val="20"/>
          <w:szCs w:val="20"/>
          <w:color w:val="auto"/>
        </w:rPr>
      </w:pPr>
    </w:p>
    <w:p>
      <w:pPr>
        <w:jc w:val="both"/>
        <w:ind w:left="160" w:right="260"/>
        <w:spacing w:after="0" w:line="249" w:lineRule="auto"/>
        <w:rPr>
          <w:sz w:val="20"/>
          <w:szCs w:val="20"/>
          <w:color w:val="auto"/>
        </w:rPr>
      </w:pPr>
      <w:r>
        <w:rPr>
          <w:rFonts w:ascii="Arial" w:cs="Arial" w:eastAsia="Arial" w:hAnsi="Arial"/>
          <w:sz w:val="18"/>
          <w:szCs w:val="18"/>
          <w:color w:val="auto"/>
        </w:rPr>
        <w:t>The fundamental responsibility of the Board is to supervise the management of the business and affairs of Thomson Reuters. The table below highlights primary activities and topics from the Board’s 2023 work plan for its regularly scheduled meetings. Five of the Board’s meetings in 2023 were regularly scheduled and four special meetings were held during the year.</w:t>
      </w:r>
    </w:p>
    <w:p>
      <w:pPr>
        <w:spacing w:after="0" w:line="97"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080" w:type="dxa"/>
            <w:vAlign w:val="bottom"/>
            <w:shd w:val="clear" w:color="auto" w:fill="262626"/>
          </w:tcPr>
          <w:p>
            <w:pPr>
              <w:spacing w:after="0"/>
              <w:rPr>
                <w:sz w:val="20"/>
                <w:szCs w:val="20"/>
                <w:color w:val="auto"/>
              </w:rPr>
            </w:pPr>
            <w:r>
              <w:rPr>
                <w:rFonts w:ascii="Arial" w:cs="Arial" w:eastAsia="Arial" w:hAnsi="Arial"/>
                <w:sz w:val="15"/>
                <w:szCs w:val="15"/>
                <w:b w:val="1"/>
                <w:bCs w:val="1"/>
                <w:color w:val="FFFFFF"/>
              </w:rPr>
              <w:t>   Meeting</w:t>
            </w:r>
          </w:p>
        </w:tc>
        <w:tc>
          <w:tcPr>
            <w:tcW w:w="9820" w:type="dxa"/>
            <w:vAlign w:val="bottom"/>
            <w:gridSpan w:val="2"/>
            <w:shd w:val="clear" w:color="auto" w:fill="262626"/>
          </w:tcPr>
          <w:p>
            <w:pPr>
              <w:ind w:left="220"/>
              <w:spacing w:after="0"/>
              <w:rPr>
                <w:sz w:val="20"/>
                <w:szCs w:val="20"/>
                <w:color w:val="auto"/>
              </w:rPr>
            </w:pPr>
            <w:r>
              <w:rPr>
                <w:rFonts w:ascii="Arial" w:cs="Arial" w:eastAsia="Arial" w:hAnsi="Arial"/>
                <w:sz w:val="15"/>
                <w:szCs w:val="15"/>
                <w:b w:val="1"/>
                <w:bCs w:val="1"/>
                <w:color w:val="FFFFFF"/>
              </w:rPr>
              <w:t>2023 Primary Activities/Topics</w:t>
            </w:r>
          </w:p>
        </w:tc>
      </w:tr>
      <w:tr>
        <w:trPr>
          <w:trHeight w:val="148"/>
        </w:trPr>
        <w:tc>
          <w:tcPr>
            <w:tcW w:w="20" w:type="dxa"/>
            <w:vAlign w:val="bottom"/>
          </w:tcPr>
          <w:p>
            <w:pPr>
              <w:spacing w:after="0"/>
              <w:rPr>
                <w:sz w:val="12"/>
                <w:szCs w:val="12"/>
                <w:color w:val="auto"/>
              </w:rPr>
            </w:pPr>
          </w:p>
        </w:tc>
        <w:tc>
          <w:tcPr>
            <w:tcW w:w="1080" w:type="dxa"/>
            <w:vAlign w:val="bottom"/>
          </w:tcPr>
          <w:p>
            <w:pPr>
              <w:spacing w:after="0" w:line="148" w:lineRule="exact"/>
              <w:rPr>
                <w:sz w:val="20"/>
                <w:szCs w:val="20"/>
                <w:color w:val="auto"/>
              </w:rPr>
            </w:pPr>
            <w:r>
              <w:rPr>
                <w:rFonts w:ascii="Arial" w:cs="Arial" w:eastAsia="Arial" w:hAnsi="Arial"/>
                <w:sz w:val="14"/>
                <w:szCs w:val="14"/>
                <w:b w:val="1"/>
                <w:bCs w:val="1"/>
                <w:color w:val="auto"/>
              </w:rPr>
              <w:t>   January</w:t>
            </w:r>
          </w:p>
        </w:tc>
        <w:tc>
          <w:tcPr>
            <w:tcW w:w="340" w:type="dxa"/>
            <w:vAlign w:val="bottom"/>
          </w:tcPr>
          <w:p>
            <w:pPr>
              <w:ind w:left="220"/>
              <w:spacing w:after="0" w:line="148"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Pr>
          <w:p>
            <w:pPr>
              <w:ind w:left="40"/>
              <w:spacing w:after="0" w:line="148" w:lineRule="exact"/>
              <w:rPr>
                <w:sz w:val="20"/>
                <w:szCs w:val="20"/>
                <w:color w:val="auto"/>
              </w:rPr>
            </w:pPr>
            <w:r>
              <w:rPr>
                <w:rFonts w:ascii="Arial" w:cs="Arial" w:eastAsia="Arial" w:hAnsi="Arial"/>
                <w:sz w:val="14"/>
                <w:szCs w:val="14"/>
                <w:color w:val="auto"/>
              </w:rPr>
              <w:t>Annual operating plan</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Dividend policy</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M&amp;A Update</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9820" w:type="dxa"/>
            <w:vAlign w:val="bottom"/>
            <w:tcBorders>
              <w:bottom w:val="single" w:sz="8" w:color="AFAFAF"/>
            </w:tcBorders>
            <w:gridSpan w:val="2"/>
          </w:tcPr>
          <w:p>
            <w:pPr>
              <w:ind w:left="2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International businesses update</w:t>
            </w:r>
          </w:p>
        </w:tc>
      </w:tr>
      <w:tr>
        <w:trPr>
          <w:trHeight w:val="141"/>
        </w:trPr>
        <w:tc>
          <w:tcPr>
            <w:tcW w:w="20" w:type="dxa"/>
            <w:vAlign w:val="bottom"/>
          </w:tcPr>
          <w:p>
            <w:pPr>
              <w:spacing w:after="0"/>
              <w:rPr>
                <w:sz w:val="12"/>
                <w:szCs w:val="12"/>
                <w:color w:val="auto"/>
              </w:rPr>
            </w:pPr>
          </w:p>
        </w:tc>
        <w:tc>
          <w:tcPr>
            <w:tcW w:w="1080" w:type="dxa"/>
            <w:vAlign w:val="bottom"/>
          </w:tcPr>
          <w:p>
            <w:pPr>
              <w:spacing w:after="0" w:line="141" w:lineRule="exact"/>
              <w:rPr>
                <w:sz w:val="20"/>
                <w:szCs w:val="20"/>
                <w:color w:val="auto"/>
              </w:rPr>
            </w:pPr>
            <w:r>
              <w:rPr>
                <w:rFonts w:ascii="Arial" w:cs="Arial" w:eastAsia="Arial" w:hAnsi="Arial"/>
                <w:sz w:val="14"/>
                <w:szCs w:val="14"/>
                <w:b w:val="1"/>
                <w:bCs w:val="1"/>
                <w:color w:val="auto"/>
              </w:rPr>
              <w:t>   March</w:t>
            </w:r>
          </w:p>
        </w:tc>
        <w:tc>
          <w:tcPr>
            <w:tcW w:w="340" w:type="dxa"/>
            <w:vAlign w:val="bottom"/>
          </w:tcPr>
          <w:p>
            <w:pPr>
              <w:ind w:left="22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Pr>
          <w:p>
            <w:pPr>
              <w:ind w:left="40"/>
              <w:spacing w:after="0" w:line="141" w:lineRule="exact"/>
              <w:rPr>
                <w:sz w:val="20"/>
                <w:szCs w:val="20"/>
                <w:color w:val="auto"/>
              </w:rPr>
            </w:pPr>
            <w:r>
              <w:rPr>
                <w:rFonts w:ascii="Arial" w:cs="Arial" w:eastAsia="Arial" w:hAnsi="Arial"/>
                <w:sz w:val="14"/>
                <w:szCs w:val="14"/>
                <w:color w:val="auto"/>
              </w:rPr>
              <w:t>Annual disclosure and corporate governance documents (annual report/financial statements and proxy circular)</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Financial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M&amp;A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Corporates segment update</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340" w:type="dxa"/>
            <w:vAlign w:val="bottom"/>
            <w:tcBorders>
              <w:bottom w:val="single" w:sz="8" w:color="AFAFAF"/>
            </w:tcBorders>
          </w:tcPr>
          <w:p>
            <w:pPr>
              <w:ind w:left="2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Executive compensation</w:t>
            </w:r>
          </w:p>
        </w:tc>
      </w:tr>
      <w:tr>
        <w:trPr>
          <w:trHeight w:val="141"/>
        </w:trPr>
        <w:tc>
          <w:tcPr>
            <w:tcW w:w="20" w:type="dxa"/>
            <w:vAlign w:val="bottom"/>
          </w:tcPr>
          <w:p>
            <w:pPr>
              <w:spacing w:after="0"/>
              <w:rPr>
                <w:sz w:val="12"/>
                <w:szCs w:val="12"/>
                <w:color w:val="auto"/>
              </w:rPr>
            </w:pPr>
          </w:p>
        </w:tc>
        <w:tc>
          <w:tcPr>
            <w:tcW w:w="1080" w:type="dxa"/>
            <w:vAlign w:val="bottom"/>
          </w:tcPr>
          <w:p>
            <w:pPr>
              <w:spacing w:after="0" w:line="141" w:lineRule="exact"/>
              <w:rPr>
                <w:sz w:val="20"/>
                <w:szCs w:val="20"/>
                <w:color w:val="auto"/>
              </w:rPr>
            </w:pPr>
            <w:r>
              <w:rPr>
                <w:rFonts w:ascii="Arial" w:cs="Arial" w:eastAsia="Arial" w:hAnsi="Arial"/>
                <w:sz w:val="14"/>
                <w:szCs w:val="14"/>
                <w:b w:val="1"/>
                <w:bCs w:val="1"/>
                <w:color w:val="auto"/>
              </w:rPr>
              <w:t>   June</w:t>
            </w:r>
          </w:p>
        </w:tc>
        <w:tc>
          <w:tcPr>
            <w:tcW w:w="340" w:type="dxa"/>
            <w:vAlign w:val="bottom"/>
          </w:tcPr>
          <w:p>
            <w:pPr>
              <w:ind w:left="22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9480" w:type="dxa"/>
            <w:vAlign w:val="bottom"/>
          </w:tcPr>
          <w:p>
            <w:pPr>
              <w:ind w:left="40"/>
              <w:spacing w:after="0" w:line="141" w:lineRule="exact"/>
              <w:rPr>
                <w:sz w:val="20"/>
                <w:szCs w:val="20"/>
                <w:color w:val="auto"/>
              </w:rPr>
            </w:pPr>
            <w:r>
              <w:rPr>
                <w:rFonts w:ascii="Arial" w:cs="Arial" w:eastAsia="Arial" w:hAnsi="Arial"/>
                <w:sz w:val="14"/>
                <w:szCs w:val="14"/>
                <w:color w:val="auto"/>
              </w:rPr>
              <w:t>Growth strategy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Reuters segment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Financial and investor relations update</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340" w:type="dxa"/>
            <w:vAlign w:val="bottom"/>
            <w:tcBorders>
              <w:bottom w:val="single" w:sz="8" w:color="AFAFAF"/>
            </w:tcBorders>
          </w:tcPr>
          <w:p>
            <w:pPr>
              <w:ind w:left="220"/>
              <w:spacing w:after="0" w:line="186"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21"/>
                <w:szCs w:val="21"/>
                <w:color w:val="000000"/>
                <w:vertAlign w:val="subscript"/>
              </w:rPr>
              <w:t xml:space="preserve"> </w:t>
            </w:r>
          </w:p>
        </w:tc>
        <w:tc>
          <w:tcPr>
            <w:tcW w:w="94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M&amp;A update</w:t>
            </w:r>
          </w:p>
        </w:tc>
      </w:tr>
      <w:tr>
        <w:trPr>
          <w:trHeight w:val="141"/>
        </w:trPr>
        <w:tc>
          <w:tcPr>
            <w:tcW w:w="20" w:type="dxa"/>
            <w:vAlign w:val="bottom"/>
          </w:tcPr>
          <w:p>
            <w:pPr>
              <w:spacing w:after="0"/>
              <w:rPr>
                <w:sz w:val="12"/>
                <w:szCs w:val="12"/>
                <w:color w:val="auto"/>
              </w:rPr>
            </w:pPr>
          </w:p>
        </w:tc>
        <w:tc>
          <w:tcPr>
            <w:tcW w:w="1080" w:type="dxa"/>
            <w:vAlign w:val="bottom"/>
          </w:tcPr>
          <w:p>
            <w:pPr>
              <w:spacing w:after="0" w:line="141" w:lineRule="exact"/>
              <w:rPr>
                <w:sz w:val="20"/>
                <w:szCs w:val="20"/>
                <w:color w:val="auto"/>
              </w:rPr>
            </w:pPr>
            <w:r>
              <w:rPr>
                <w:rFonts w:ascii="Arial" w:cs="Arial" w:eastAsia="Arial" w:hAnsi="Arial"/>
                <w:sz w:val="14"/>
                <w:szCs w:val="14"/>
                <w:b w:val="1"/>
                <w:bCs w:val="1"/>
                <w:color w:val="auto"/>
              </w:rPr>
              <w:t>   September</w:t>
            </w:r>
          </w:p>
        </w:tc>
        <w:tc>
          <w:tcPr>
            <w:tcW w:w="340" w:type="dxa"/>
            <w:vAlign w:val="bottom"/>
          </w:tcPr>
          <w:p>
            <w:pPr>
              <w:ind w:left="22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Pr>
          <w:p>
            <w:pPr>
              <w:ind w:left="40"/>
              <w:spacing w:after="0" w:line="141" w:lineRule="exact"/>
              <w:rPr>
                <w:sz w:val="20"/>
                <w:szCs w:val="20"/>
                <w:color w:val="auto"/>
              </w:rPr>
            </w:pPr>
            <w:r>
              <w:rPr>
                <w:rFonts w:ascii="Arial" w:cs="Arial" w:eastAsia="Arial" w:hAnsi="Arial"/>
                <w:sz w:val="14"/>
                <w:szCs w:val="14"/>
                <w:color w:val="auto"/>
              </w:rPr>
              <w:t>Financial and capital strategy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Corporates segment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Growth strategy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M&amp;A update</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9820" w:type="dxa"/>
            <w:vAlign w:val="bottom"/>
            <w:tcBorders>
              <w:bottom w:val="single" w:sz="8" w:color="AFAFAF"/>
            </w:tcBorders>
            <w:gridSpan w:val="2"/>
          </w:tcPr>
          <w:p>
            <w:pPr>
              <w:ind w:left="2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Generative AI update</w:t>
            </w:r>
          </w:p>
        </w:tc>
      </w:tr>
      <w:tr>
        <w:trPr>
          <w:trHeight w:val="141"/>
        </w:trPr>
        <w:tc>
          <w:tcPr>
            <w:tcW w:w="20" w:type="dxa"/>
            <w:vAlign w:val="bottom"/>
          </w:tcPr>
          <w:p>
            <w:pPr>
              <w:spacing w:after="0"/>
              <w:rPr>
                <w:sz w:val="12"/>
                <w:szCs w:val="12"/>
                <w:color w:val="auto"/>
              </w:rPr>
            </w:pPr>
          </w:p>
        </w:tc>
        <w:tc>
          <w:tcPr>
            <w:tcW w:w="1080" w:type="dxa"/>
            <w:vAlign w:val="bottom"/>
          </w:tcPr>
          <w:p>
            <w:pPr>
              <w:spacing w:after="0" w:line="141" w:lineRule="exact"/>
              <w:rPr>
                <w:sz w:val="20"/>
                <w:szCs w:val="20"/>
                <w:color w:val="auto"/>
              </w:rPr>
            </w:pPr>
            <w:r>
              <w:rPr>
                <w:rFonts w:ascii="Arial" w:cs="Arial" w:eastAsia="Arial" w:hAnsi="Arial"/>
                <w:sz w:val="14"/>
                <w:szCs w:val="14"/>
                <w:b w:val="1"/>
                <w:bCs w:val="1"/>
                <w:color w:val="auto"/>
              </w:rPr>
              <w:t>   November</w:t>
            </w:r>
          </w:p>
        </w:tc>
        <w:tc>
          <w:tcPr>
            <w:tcW w:w="340" w:type="dxa"/>
            <w:vAlign w:val="bottom"/>
          </w:tcPr>
          <w:p>
            <w:pPr>
              <w:ind w:left="22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9480" w:type="dxa"/>
            <w:vAlign w:val="bottom"/>
          </w:tcPr>
          <w:p>
            <w:pPr>
              <w:ind w:left="40"/>
              <w:spacing w:after="0" w:line="141" w:lineRule="exact"/>
              <w:rPr>
                <w:sz w:val="20"/>
                <w:szCs w:val="20"/>
                <w:color w:val="auto"/>
              </w:rPr>
            </w:pPr>
            <w:r>
              <w:rPr>
                <w:rFonts w:ascii="Arial" w:cs="Arial" w:eastAsia="Arial" w:hAnsi="Arial"/>
                <w:sz w:val="14"/>
                <w:szCs w:val="14"/>
                <w:color w:val="auto"/>
              </w:rPr>
              <w:t>Financial update and annual operating plan</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Legal Professionals segment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International businesses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Growth strategy update</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M&amp;A update</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340" w:type="dxa"/>
            <w:vAlign w:val="bottom"/>
            <w:tcBorders>
              <w:bottom w:val="single" w:sz="8" w:color="AFAFAF"/>
            </w:tcBorders>
          </w:tcPr>
          <w:p>
            <w:pPr>
              <w:ind w:left="220"/>
              <w:spacing w:after="0" w:line="186"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21"/>
                <w:szCs w:val="21"/>
                <w:color w:val="000000"/>
                <w:vertAlign w:val="subscript"/>
              </w:rPr>
              <w:t xml:space="preserve"> </w:t>
            </w:r>
          </w:p>
        </w:tc>
        <w:tc>
          <w:tcPr>
            <w:tcW w:w="94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Product updates</w:t>
            </w:r>
          </w:p>
        </w:tc>
      </w:tr>
      <w:tr>
        <w:trPr>
          <w:trHeight w:val="141"/>
        </w:trPr>
        <w:tc>
          <w:tcPr>
            <w:tcW w:w="20" w:type="dxa"/>
            <w:vAlign w:val="bottom"/>
          </w:tcPr>
          <w:p>
            <w:pPr>
              <w:spacing w:after="0"/>
              <w:rPr>
                <w:sz w:val="12"/>
                <w:szCs w:val="12"/>
                <w:color w:val="auto"/>
              </w:rPr>
            </w:pPr>
          </w:p>
        </w:tc>
        <w:tc>
          <w:tcPr>
            <w:tcW w:w="1080" w:type="dxa"/>
            <w:vAlign w:val="bottom"/>
          </w:tcPr>
          <w:p>
            <w:pPr>
              <w:spacing w:after="0" w:line="141" w:lineRule="exact"/>
              <w:rPr>
                <w:sz w:val="20"/>
                <w:szCs w:val="20"/>
                <w:color w:val="auto"/>
              </w:rPr>
            </w:pPr>
            <w:r>
              <w:rPr>
                <w:rFonts w:ascii="Arial" w:cs="Arial" w:eastAsia="Arial" w:hAnsi="Arial"/>
                <w:sz w:val="14"/>
                <w:szCs w:val="14"/>
                <w:b w:val="1"/>
                <w:bCs w:val="1"/>
                <w:color w:val="auto"/>
              </w:rPr>
              <w:t>   Each meeting</w:t>
            </w:r>
          </w:p>
        </w:tc>
        <w:tc>
          <w:tcPr>
            <w:tcW w:w="340" w:type="dxa"/>
            <w:vAlign w:val="bottom"/>
          </w:tcPr>
          <w:p>
            <w:pPr>
              <w:ind w:left="22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9480" w:type="dxa"/>
            <w:vAlign w:val="bottom"/>
          </w:tcPr>
          <w:p>
            <w:pPr>
              <w:ind w:left="40"/>
              <w:spacing w:after="0" w:line="141" w:lineRule="exact"/>
              <w:rPr>
                <w:sz w:val="20"/>
                <w:szCs w:val="20"/>
                <w:color w:val="auto"/>
              </w:rPr>
            </w:pPr>
            <w:r>
              <w:rPr>
                <w:rFonts w:ascii="Arial" w:cs="Arial" w:eastAsia="Arial" w:hAnsi="Arial"/>
                <w:sz w:val="14"/>
                <w:szCs w:val="14"/>
                <w:color w:val="auto"/>
              </w:rPr>
              <w:t>In-camera meetings with the CEO only (typically at the start and end of each meeting)</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0"/>
                <w:szCs w:val="10"/>
                <w:color w:val="B94831"/>
                <w:w w:val="72"/>
                <w:vertAlign w:val="superscript"/>
              </w:rPr>
              <w:t>·</w:t>
            </w:r>
            <w:r>
              <w:rPr>
                <w:rFonts w:ascii="Arial" w:cs="Arial" w:eastAsia="Arial" w:hAnsi="Arial"/>
                <w:sz w:val="9"/>
                <w:szCs w:val="9"/>
                <w:color w:val="auto"/>
                <w:w w:val="72"/>
              </w:rPr>
              <w:t xml:space="preserve">  </w:t>
            </w:r>
          </w:p>
        </w:tc>
        <w:tc>
          <w:tcPr>
            <w:tcW w:w="9480" w:type="dxa"/>
            <w:vAlign w:val="bottom"/>
          </w:tcPr>
          <w:p>
            <w:pPr>
              <w:ind w:left="80"/>
              <w:spacing w:after="0"/>
              <w:rPr>
                <w:sz w:val="20"/>
                <w:szCs w:val="20"/>
                <w:color w:val="auto"/>
              </w:rPr>
            </w:pPr>
            <w:r>
              <w:rPr>
                <w:rFonts w:ascii="Arial" w:cs="Arial" w:eastAsia="Arial" w:hAnsi="Arial"/>
                <w:sz w:val="14"/>
                <w:szCs w:val="14"/>
                <w:color w:val="auto"/>
              </w:rPr>
              <w:t>In-camera meetings of non-management directors only</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340" w:type="dxa"/>
            <w:vAlign w:val="bottom"/>
            <w:tcBorders>
              <w:bottom w:val="single" w:sz="8" w:color="AFAFAF"/>
            </w:tcBorders>
          </w:tcPr>
          <w:p>
            <w:pPr>
              <w:ind w:left="220"/>
              <w:spacing w:after="0"/>
              <w:rPr>
                <w:sz w:val="20"/>
                <w:szCs w:val="20"/>
                <w:color w:val="auto"/>
              </w:rPr>
            </w:pPr>
            <w:r>
              <w:rPr>
                <w:rFonts w:ascii="Times New Roman" w:cs="Times New Roman" w:eastAsia="Times New Roman" w:hAnsi="Times New Roman"/>
                <w:sz w:val="10"/>
                <w:szCs w:val="10"/>
                <w:color w:val="B94831"/>
                <w:w w:val="72"/>
                <w:vertAlign w:val="superscript"/>
              </w:rPr>
              <w:t>·</w:t>
            </w:r>
            <w:r>
              <w:rPr>
                <w:rFonts w:ascii="Arial" w:cs="Arial" w:eastAsia="Arial" w:hAnsi="Arial"/>
                <w:sz w:val="9"/>
                <w:szCs w:val="9"/>
                <w:color w:val="auto"/>
                <w:w w:val="72"/>
              </w:rPr>
              <w:t xml:space="preserve">  </w:t>
            </w:r>
          </w:p>
        </w:tc>
        <w:tc>
          <w:tcPr>
            <w:tcW w:w="9480" w:type="dxa"/>
            <w:vAlign w:val="bottom"/>
            <w:tcBorders>
              <w:bottom w:val="single" w:sz="8" w:color="AFAFAF"/>
            </w:tcBorders>
          </w:tcPr>
          <w:p>
            <w:pPr>
              <w:ind w:left="80"/>
              <w:spacing w:after="0"/>
              <w:rPr>
                <w:sz w:val="20"/>
                <w:szCs w:val="20"/>
                <w:color w:val="auto"/>
              </w:rPr>
            </w:pPr>
            <w:r>
              <w:rPr>
                <w:rFonts w:ascii="Arial" w:cs="Arial" w:eastAsia="Arial" w:hAnsi="Arial"/>
                <w:sz w:val="14"/>
                <w:szCs w:val="14"/>
                <w:color w:val="auto"/>
              </w:rPr>
              <w:t>In-camera meetings of independent directors only</w:t>
            </w:r>
          </w:p>
        </w:tc>
      </w:tr>
      <w:tr>
        <w:trPr>
          <w:trHeight w:val="141"/>
        </w:trPr>
        <w:tc>
          <w:tcPr>
            <w:tcW w:w="20" w:type="dxa"/>
            <w:vAlign w:val="bottom"/>
          </w:tcPr>
          <w:p>
            <w:pPr>
              <w:spacing w:after="0"/>
              <w:rPr>
                <w:sz w:val="12"/>
                <w:szCs w:val="12"/>
                <w:color w:val="auto"/>
              </w:rPr>
            </w:pPr>
          </w:p>
        </w:tc>
        <w:tc>
          <w:tcPr>
            <w:tcW w:w="1080" w:type="dxa"/>
            <w:vAlign w:val="bottom"/>
          </w:tcPr>
          <w:p>
            <w:pPr>
              <w:spacing w:after="0" w:line="141" w:lineRule="exact"/>
              <w:rPr>
                <w:sz w:val="20"/>
                <w:szCs w:val="20"/>
                <w:color w:val="auto"/>
              </w:rPr>
            </w:pPr>
            <w:r>
              <w:rPr>
                <w:rFonts w:ascii="Arial" w:cs="Arial" w:eastAsia="Arial" w:hAnsi="Arial"/>
                <w:sz w:val="14"/>
                <w:szCs w:val="14"/>
                <w:b w:val="1"/>
                <w:bCs w:val="1"/>
                <w:color w:val="auto"/>
              </w:rPr>
              <w:t>   Periodically</w:t>
            </w:r>
          </w:p>
        </w:tc>
        <w:tc>
          <w:tcPr>
            <w:tcW w:w="340" w:type="dxa"/>
            <w:vAlign w:val="bottom"/>
          </w:tcPr>
          <w:p>
            <w:pPr>
              <w:ind w:left="22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9480" w:type="dxa"/>
            <w:vAlign w:val="bottom"/>
          </w:tcPr>
          <w:p>
            <w:pPr>
              <w:ind w:left="40"/>
              <w:spacing w:after="0" w:line="141" w:lineRule="exact"/>
              <w:rPr>
                <w:sz w:val="20"/>
                <w:szCs w:val="20"/>
                <w:color w:val="auto"/>
              </w:rPr>
            </w:pPr>
            <w:r>
              <w:rPr>
                <w:rFonts w:ascii="Arial" w:cs="Arial" w:eastAsia="Arial" w:hAnsi="Arial"/>
                <w:sz w:val="14"/>
                <w:szCs w:val="14"/>
                <w:color w:val="auto"/>
              </w:rPr>
              <w:t>Strategic and management discussions related to individual businesses or sectors</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Reports from the Chairs of the Audit, Corporate Governance, HR and Risk Committees</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ERM</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Proposed significant acquisitions and dispositions</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ind w:left="22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9480" w:type="dxa"/>
            <w:vAlign w:val="bottom"/>
          </w:tcPr>
          <w:p>
            <w:pPr>
              <w:ind w:left="40"/>
              <w:spacing w:after="0"/>
              <w:rPr>
                <w:sz w:val="20"/>
                <w:szCs w:val="20"/>
                <w:color w:val="auto"/>
              </w:rPr>
            </w:pPr>
            <w:r>
              <w:rPr>
                <w:rFonts w:ascii="Arial" w:cs="Arial" w:eastAsia="Arial" w:hAnsi="Arial"/>
                <w:sz w:val="14"/>
                <w:szCs w:val="14"/>
                <w:color w:val="auto"/>
              </w:rPr>
              <w:t>Product updates</w:t>
            </w:r>
          </w:p>
        </w:tc>
      </w:tr>
      <w:tr>
        <w:trPr>
          <w:trHeight w:val="16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2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Proposed capital markets transactions</w:t>
            </w:r>
          </w:p>
        </w:tc>
      </w:tr>
      <w:tr>
        <w:trPr>
          <w:trHeight w:val="186"/>
        </w:trPr>
        <w:tc>
          <w:tcPr>
            <w:tcW w:w="20" w:type="dxa"/>
            <w:vAlign w:val="bottom"/>
          </w:tcPr>
          <w:p>
            <w:pPr>
              <w:spacing w:after="0"/>
              <w:rPr>
                <w:sz w:val="16"/>
                <w:szCs w:val="16"/>
                <w:color w:val="auto"/>
              </w:rPr>
            </w:pPr>
          </w:p>
        </w:tc>
        <w:tc>
          <w:tcPr>
            <w:tcW w:w="1080" w:type="dxa"/>
            <w:vAlign w:val="bottom"/>
            <w:tcBorders>
              <w:bottom w:val="single" w:sz="8" w:color="AFAFAF"/>
            </w:tcBorders>
          </w:tcPr>
          <w:p>
            <w:pPr>
              <w:spacing w:after="0"/>
              <w:rPr>
                <w:sz w:val="16"/>
                <w:szCs w:val="16"/>
                <w:color w:val="auto"/>
              </w:rPr>
            </w:pPr>
          </w:p>
        </w:tc>
        <w:tc>
          <w:tcPr>
            <w:tcW w:w="340" w:type="dxa"/>
            <w:vAlign w:val="bottom"/>
            <w:tcBorders>
              <w:bottom w:val="single" w:sz="8" w:color="AFAFAF"/>
            </w:tcBorders>
          </w:tcPr>
          <w:p>
            <w:pPr>
              <w:ind w:left="2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948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Competitive analysis</w:t>
            </w:r>
          </w:p>
        </w:tc>
      </w:tr>
      <w:tr>
        <w:trPr>
          <w:trHeight w:val="227"/>
        </w:trPr>
        <w:tc>
          <w:tcPr>
            <w:tcW w:w="20" w:type="dxa"/>
            <w:vAlign w:val="bottom"/>
          </w:tcPr>
          <w:p>
            <w:pPr>
              <w:spacing w:after="0"/>
              <w:rPr>
                <w:sz w:val="19"/>
                <w:szCs w:val="19"/>
                <w:color w:val="auto"/>
              </w:rPr>
            </w:pPr>
          </w:p>
        </w:tc>
        <w:tc>
          <w:tcPr>
            <w:tcW w:w="1080" w:type="dxa"/>
            <w:vAlign w:val="bottom"/>
            <w:tcBorders>
              <w:bottom w:val="single" w:sz="8" w:color="B94831"/>
            </w:tcBorders>
          </w:tcPr>
          <w:p>
            <w:pPr>
              <w:spacing w:after="0"/>
              <w:rPr>
                <w:sz w:val="19"/>
                <w:szCs w:val="19"/>
                <w:color w:val="auto"/>
              </w:rPr>
            </w:pPr>
          </w:p>
        </w:tc>
        <w:tc>
          <w:tcPr>
            <w:tcW w:w="340" w:type="dxa"/>
            <w:vAlign w:val="bottom"/>
            <w:tcBorders>
              <w:bottom w:val="single" w:sz="8" w:color="B94831"/>
            </w:tcBorders>
          </w:tcPr>
          <w:p>
            <w:pPr>
              <w:spacing w:after="0"/>
              <w:rPr>
                <w:sz w:val="19"/>
                <w:szCs w:val="19"/>
                <w:color w:val="auto"/>
              </w:rPr>
            </w:pPr>
          </w:p>
        </w:tc>
        <w:tc>
          <w:tcPr>
            <w:tcW w:w="9480" w:type="dxa"/>
            <w:vAlign w:val="bottom"/>
            <w:tcBorders>
              <w:bottom w:val="single" w:sz="8" w:color="B94831"/>
            </w:tcBorders>
          </w:tcPr>
          <w:p>
            <w:pPr>
              <w:spacing w:after="0"/>
              <w:rPr>
                <w:sz w:val="19"/>
                <w:szCs w:val="19"/>
                <w:color w:val="auto"/>
              </w:rPr>
            </w:pPr>
          </w:p>
        </w:tc>
      </w:tr>
    </w:tbl>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32 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Strategic Planning</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plays an important role in strategic planning and direction throughout the year.</w:t>
      </w:r>
    </w:p>
    <w:p>
      <w:pPr>
        <w:spacing w:after="0" w:line="101" w:lineRule="exact"/>
        <w:rPr>
          <w:sz w:val="20"/>
          <w:szCs w:val="20"/>
          <w:color w:val="auto"/>
        </w:rPr>
      </w:pPr>
    </w:p>
    <w:p>
      <w:pPr>
        <w:ind w:left="160" w:right="440"/>
        <w:spacing w:after="0" w:line="265" w:lineRule="auto"/>
        <w:rPr>
          <w:sz w:val="20"/>
          <w:szCs w:val="20"/>
          <w:color w:val="auto"/>
        </w:rPr>
      </w:pPr>
      <w:r>
        <w:rPr>
          <w:rFonts w:ascii="Arial" w:cs="Arial" w:eastAsia="Arial" w:hAnsi="Arial"/>
          <w:sz w:val="18"/>
          <w:szCs w:val="18"/>
          <w:color w:val="auto"/>
        </w:rPr>
        <w:t>In January, the Board meets with management to review, discuss and approve the final version of our annual operating plan, which is prepared by our CEO, CFO and other senior executives. The plan typically addresses:</w:t>
      </w:r>
    </w:p>
    <w:p>
      <w:pPr>
        <w:sectPr>
          <w:pgSz w:w="11900" w:h="16838" w:orient="portrait"/>
          <w:cols w:equalWidth="0" w:num="1">
            <w:col w:w="11080"/>
          </w:cols>
          <w:pgMar w:left="320" w:top="454" w:right="499" w:bottom="1440" w:gutter="0" w:footer="0" w:header="0"/>
        </w:sectPr>
      </w:pP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Opportunities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Competitive position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Business outlook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Preliminary full-year financial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Financial projections for a three-year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Other key performance indicators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Annual dividend and share repurchase program recommendations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Risks</w:t>
      </w:r>
    </w:p>
    <w:p>
      <w:pPr>
        <w:spacing w:after="0" w:line="114"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right="20"/>
        <w:spacing w:after="0"/>
        <w:rPr>
          <w:sz w:val="20"/>
          <w:szCs w:val="20"/>
          <w:color w:val="auto"/>
        </w:rPr>
      </w:pPr>
      <w:r>
        <w:rPr>
          <w:rFonts w:ascii="Arial" w:cs="Arial" w:eastAsia="Arial" w:hAnsi="Arial"/>
          <w:sz w:val="18"/>
          <w:szCs w:val="18"/>
          <w:color w:val="auto"/>
        </w:rPr>
        <w:t>Throughout the year, the Board and management discuss our progress against the plan. In 2023, the Board focused its meeting in September on corporate strategy. As part of this meeting, directors had an in-depth discussion about our company’s strategic plans with our CEO and CFO and other senior executives. Strategy discussions typically cover topics such as technology, the current condition of our business segments, future growth potential of our businesses and the key market segments that we serve, and how we are seeking to increase shareholder value.</w:t>
      </w:r>
    </w:p>
    <w:p>
      <w:pPr>
        <w:spacing w:after="0" w:line="75" w:lineRule="exact"/>
        <w:rPr>
          <w:sz w:val="20"/>
          <w:szCs w:val="20"/>
          <w:color w:val="auto"/>
        </w:rPr>
      </w:pPr>
    </w:p>
    <w:p>
      <w:pPr>
        <w:jc w:val="both"/>
        <w:ind w:left="160" w:right="60"/>
        <w:spacing w:after="0" w:line="270" w:lineRule="auto"/>
        <w:rPr>
          <w:sz w:val="20"/>
          <w:szCs w:val="20"/>
          <w:color w:val="auto"/>
        </w:rPr>
      </w:pPr>
      <w:r>
        <w:rPr>
          <w:rFonts w:ascii="Arial" w:cs="Arial" w:eastAsia="Arial" w:hAnsi="Arial"/>
          <w:sz w:val="17"/>
          <w:szCs w:val="17"/>
          <w:color w:val="auto"/>
        </w:rPr>
        <w:t>The Board also discusses various strategic issues with management at other meetings during the year. For example, the Board discussed our capital strategy with the CFO in September. In addition, various presidents of our business segments provide updates to the Board at meetings during the year and those discussions typically address the segment’s current operations and strategic objectives.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Risk Oversight</w:t>
      </w:r>
    </w:p>
    <w:p>
      <w:pPr>
        <w:spacing w:after="0" w:line="117"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Our management team is responsible for day-to-day risk identification and risk management. The Board is responsible for confirming that a system is in place to identify the principal risks facing Thomson Reuters and that appropriate procedures and systems are in place to monitor, mitigate and manage those risks.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ERM process at our company is intended to:</w:t>
      </w:r>
    </w:p>
    <w:p>
      <w:pPr>
        <w:sectPr>
          <w:pgSz w:w="11900" w:h="16838" w:orient="portrait"/>
          <w:cols w:equalWidth="0" w:num="1">
            <w:col w:w="11080"/>
          </w:cols>
          <w:pgMar w:left="320" w:top="454" w:right="499" w:bottom="1440" w:gutter="0" w:footer="0" w:header="0"/>
          <w:type w:val="continuous"/>
        </w:sectPr>
      </w:pP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identify the most significant operational, strategic, trust, financial and other risks in each of our business segments as well as for our corporate center, considering both the external environment as well as internal changes related to structure, strategy, people and processes;</w:t>
      </w:r>
    </w:p>
    <w:p>
      <w:pPr>
        <w:spacing w:after="0" w:line="38"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assess which of these risks individually or together with other identified risks could have a significant impact on Thomson Reuters as an enterprise if they were to materialize; and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develop and implement action plans for the enterprise risks and review them periodically at a corporate and Board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109855</wp:posOffset>
            </wp:positionV>
            <wp:extent cx="69297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spacing w:after="0" w:line="173" w:lineRule="exact"/>
        <w:rPr>
          <w:sz w:val="20"/>
          <w:szCs w:val="20"/>
          <w:color w:val="auto"/>
        </w:rPr>
      </w:pPr>
    </w:p>
    <w:p>
      <w:pPr>
        <w:ind w:left="160" w:right="140"/>
        <w:spacing w:after="0" w:line="254" w:lineRule="auto"/>
        <w:rPr>
          <w:sz w:val="20"/>
          <w:szCs w:val="20"/>
          <w:color w:val="auto"/>
        </w:rPr>
      </w:pPr>
      <w:r>
        <w:rPr>
          <w:rFonts w:ascii="Arial" w:cs="Arial" w:eastAsia="Arial" w:hAnsi="Arial"/>
          <w:sz w:val="27"/>
          <w:szCs w:val="27"/>
          <w:color w:val="auto"/>
        </w:rPr>
        <w:t>Our enterprise risk management (ERM) process is designed to enhance the identification and response to risk throughout Thomson Reuters and assist the Board and its committees with oversight responsibility for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3"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Each year, the enterprise risk team conducts an enterprise top risk assessment exercise which involves risk identification workshops with all business segments and enabling functions throughout our company. The exercise includes focused interviews with each Board member to gather their inputs on the company’s top and emerging risks. The risks identified through the exercise are subsequently assessed, prioritized and rolled up into an enterprise top risk profile. The ERM process owner presents the consolidated list of top enterprise risks to the management enterprise risk committee for endorsement. The management enterprise risk committee includes senior leaders from Thomson Reuters’ corporate functions and each business segment. It is jointly chaired by the Chief Legal Officer and the Chief Operations and Technology Officer. This committee assesses the status of identified risks and reviews the adequacy of applicable response plans, and then submits a list of proposed top enterprise risks to the CEO’s operating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120015</wp:posOffset>
            </wp:positionV>
            <wp:extent cx="6929755" cy="33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33</w:t>
      </w:r>
    </w:p>
    <w:p>
      <w:pPr>
        <w:sectPr>
          <w:pgSz w:w="11900" w:h="16838" w:orient="portrait"/>
          <w:cols w:equalWidth="0" w:num="1">
            <w:col w:w="11080"/>
          </w:cols>
          <w:pgMar w:left="320" w:top="454" w:right="4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management enterprise risk committee reviews and agrees upon the top enterprise risks to present to the Board’s Risk Committee for review, input and approval. In addition, ownership for each of the top risks is assigned to members of the CEO’s operating network and delegates are designated among the management enterprise risk committee. The ERM process owner and their team hold regular touchpoints with the risk owners and their delegates to monitor the management of the risk profile as well as the execution of the risk response and associated action plans.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Throughout the year, the management enterprise risk committee also provides direction, prioritization, executive support and communication to others at the company involved in the ERM process. Executives responsible for specific risk response periodically report to the management enterprise risk committee, the Board’s Risk Committee, the full Board of Directors or other Board committees, as appropriate, during the year. We involve our Corporate Compliance and Audit department in the review of certain identified risks, as appropriate or upon request.</w:t>
      </w:r>
    </w:p>
    <w:p>
      <w:pPr>
        <w:spacing w:after="0" w:line="75"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While the Board discusses various enterprise risks throughout the year with management, the Risk Committee is primarily responsible for overseeing management’s ERM process and progress with responding to top enterprise risks. The Audit Committee oversees overall risk assessment and risk management and focuses primarily on financial risks.</w:t>
      </w:r>
    </w:p>
    <w:p>
      <w:pPr>
        <w:spacing w:after="0" w:line="65"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The HR Committee’s responsibilities include establishing, implementing and overseeing our compensation and talent policies and programs. We have designed our compensation programs to provide an appropriate balance of risk and reward in relation to the company’s overall business strategy and culture. Please see the “Compensation Discussion and Analysis” section of this circular for additional information regarding why we believe that our compensation programs do not incentivize our executives to take unnecessary or excessive risks.</w:t>
      </w:r>
    </w:p>
    <w:p>
      <w:pPr>
        <w:spacing w:after="0" w:line="75" w:lineRule="exact"/>
        <w:rPr>
          <w:sz w:val="20"/>
          <w:szCs w:val="20"/>
          <w:color w:val="auto"/>
        </w:rPr>
      </w:pPr>
    </w:p>
    <w:p>
      <w:pPr>
        <w:ind w:left="160" w:right="780"/>
        <w:spacing w:after="0" w:line="265" w:lineRule="auto"/>
        <w:rPr>
          <w:sz w:val="20"/>
          <w:szCs w:val="20"/>
          <w:color w:val="auto"/>
        </w:rPr>
      </w:pPr>
      <w:r>
        <w:rPr>
          <w:rFonts w:ascii="Arial" w:cs="Arial" w:eastAsia="Arial" w:hAnsi="Arial"/>
          <w:sz w:val="18"/>
          <w:szCs w:val="18"/>
          <w:color w:val="auto"/>
        </w:rPr>
        <w:t>The chairs of the Risk Committee, Audit Committee and HR Committee each report to the Board after their respective committee meetings.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reflects oversight responsibilities for each of the 2023 enterprise risks listed.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40" w:type="dxa"/>
            <w:vAlign w:val="bottom"/>
            <w:shd w:val="clear" w:color="auto" w:fill="262626"/>
          </w:tcPr>
          <w:p>
            <w:pPr>
              <w:spacing w:after="0"/>
              <w:rPr>
                <w:sz w:val="14"/>
                <w:szCs w:val="14"/>
                <w:color w:val="auto"/>
              </w:rPr>
            </w:pPr>
          </w:p>
        </w:tc>
        <w:tc>
          <w:tcPr>
            <w:tcW w:w="1580" w:type="dxa"/>
            <w:vAlign w:val="bottom"/>
            <w:shd w:val="clear" w:color="auto" w:fill="262626"/>
          </w:tcPr>
          <w:p>
            <w:pPr>
              <w:spacing w:after="0"/>
              <w:rPr>
                <w:sz w:val="14"/>
                <w:szCs w:val="14"/>
                <w:color w:val="auto"/>
              </w:rPr>
            </w:pPr>
          </w:p>
        </w:tc>
        <w:tc>
          <w:tcPr>
            <w:tcW w:w="1640" w:type="dxa"/>
            <w:vAlign w:val="bottom"/>
            <w:shd w:val="clear" w:color="auto" w:fill="262626"/>
          </w:tcPr>
          <w:p>
            <w:pPr>
              <w:spacing w:after="0"/>
              <w:rPr>
                <w:sz w:val="14"/>
                <w:szCs w:val="14"/>
                <w:color w:val="auto"/>
              </w:rPr>
            </w:pPr>
          </w:p>
        </w:tc>
        <w:tc>
          <w:tcPr>
            <w:tcW w:w="1540" w:type="dxa"/>
            <w:vAlign w:val="bottom"/>
            <w:shd w:val="clear" w:color="auto" w:fill="262626"/>
          </w:tcPr>
          <w:p>
            <w:pPr>
              <w:spacing w:after="0"/>
              <w:rPr>
                <w:sz w:val="14"/>
                <w:szCs w:val="14"/>
                <w:color w:val="auto"/>
              </w:rPr>
            </w:pPr>
          </w:p>
        </w:tc>
        <w:tc>
          <w:tcPr>
            <w:tcW w:w="1020" w:type="dxa"/>
            <w:vAlign w:val="bottom"/>
            <w:shd w:val="clear" w:color="auto" w:fill="262626"/>
          </w:tcPr>
          <w:p>
            <w:pPr>
              <w:jc w:val="center"/>
              <w:ind w:left="189"/>
              <w:spacing w:after="0"/>
              <w:rPr>
                <w:sz w:val="20"/>
                <w:szCs w:val="20"/>
                <w:color w:val="auto"/>
              </w:rPr>
            </w:pPr>
            <w:r>
              <w:rPr>
                <w:rFonts w:ascii="Arial" w:cs="Arial" w:eastAsia="Arial" w:hAnsi="Arial"/>
                <w:sz w:val="14"/>
                <w:szCs w:val="14"/>
                <w:b w:val="1"/>
                <w:bCs w:val="1"/>
                <w:color w:val="FFFFFF"/>
              </w:rPr>
              <w:t>Audit</w:t>
            </w:r>
          </w:p>
        </w:tc>
      </w:tr>
      <w:tr>
        <w:trPr>
          <w:trHeight w:val="197"/>
        </w:trPr>
        <w:tc>
          <w:tcPr>
            <w:tcW w:w="5140" w:type="dxa"/>
            <w:vAlign w:val="bottom"/>
            <w:shd w:val="clear" w:color="auto" w:fill="262626"/>
          </w:tcPr>
          <w:p>
            <w:pPr>
              <w:spacing w:after="0"/>
              <w:rPr>
                <w:sz w:val="20"/>
                <w:szCs w:val="20"/>
                <w:color w:val="auto"/>
              </w:rPr>
            </w:pPr>
            <w:r>
              <w:rPr>
                <w:rFonts w:ascii="Arial" w:cs="Arial" w:eastAsia="Arial" w:hAnsi="Arial"/>
                <w:sz w:val="14"/>
                <w:szCs w:val="14"/>
                <w:b w:val="1"/>
                <w:bCs w:val="1"/>
                <w:color w:val="FFFFFF"/>
              </w:rPr>
              <w:t>   Enterprise Risk</w:t>
            </w:r>
          </w:p>
        </w:tc>
        <w:tc>
          <w:tcPr>
            <w:tcW w:w="1580" w:type="dxa"/>
            <w:vAlign w:val="bottom"/>
            <w:shd w:val="clear" w:color="auto" w:fill="262626"/>
          </w:tcPr>
          <w:p>
            <w:pPr>
              <w:jc w:val="center"/>
              <w:ind w:right="129"/>
              <w:spacing w:after="0"/>
              <w:rPr>
                <w:sz w:val="20"/>
                <w:szCs w:val="20"/>
                <w:color w:val="auto"/>
              </w:rPr>
            </w:pPr>
            <w:r>
              <w:rPr>
                <w:rFonts w:ascii="Arial" w:cs="Arial" w:eastAsia="Arial" w:hAnsi="Arial"/>
                <w:sz w:val="14"/>
                <w:szCs w:val="14"/>
                <w:b w:val="1"/>
                <w:bCs w:val="1"/>
                <w:color w:val="FFFFFF"/>
              </w:rPr>
              <w:t>Board of Directors</w:t>
            </w:r>
          </w:p>
        </w:tc>
        <w:tc>
          <w:tcPr>
            <w:tcW w:w="164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Risk Committee</w:t>
            </w:r>
          </w:p>
        </w:tc>
        <w:tc>
          <w:tcPr>
            <w:tcW w:w="154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HR Committee</w:t>
            </w:r>
          </w:p>
        </w:tc>
        <w:tc>
          <w:tcPr>
            <w:tcW w:w="1020" w:type="dxa"/>
            <w:vAlign w:val="bottom"/>
            <w:shd w:val="clear" w:color="auto" w:fill="262626"/>
          </w:tcPr>
          <w:p>
            <w:pPr>
              <w:jc w:val="center"/>
              <w:ind w:left="209"/>
              <w:spacing w:after="0"/>
              <w:rPr>
                <w:sz w:val="20"/>
                <w:szCs w:val="20"/>
                <w:color w:val="auto"/>
              </w:rPr>
            </w:pPr>
            <w:r>
              <w:rPr>
                <w:rFonts w:ascii="Arial" w:cs="Arial" w:eastAsia="Arial" w:hAnsi="Arial"/>
                <w:sz w:val="14"/>
                <w:szCs w:val="14"/>
                <w:b w:val="1"/>
                <w:bCs w:val="1"/>
                <w:color w:val="FFFFFF"/>
              </w:rPr>
              <w:t>Committee</w:t>
            </w:r>
          </w:p>
        </w:tc>
      </w:tr>
      <w:tr>
        <w:trPr>
          <w:trHeight w:val="174"/>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 Macroeconomic environment</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5"/>
                <w:szCs w:val="15"/>
                <w:color w:val="auto"/>
              </w:rPr>
            </w:pPr>
          </w:p>
        </w:tc>
        <w:tc>
          <w:tcPr>
            <w:tcW w:w="1020" w:type="dxa"/>
            <w:vAlign w:val="bottom"/>
            <w:tcBorders>
              <w:bottom w:val="single" w:sz="8" w:color="AFAFAF"/>
            </w:tcBorders>
          </w:tcPr>
          <w:p>
            <w:pPr>
              <w:spacing w:after="0"/>
              <w:rPr>
                <w:sz w:val="15"/>
                <w:szCs w:val="15"/>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 Platform and product stability and resiliency</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 Information security</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 Data governance (including privacy)</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 Acquisition, divestitures and integrations</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 Competition, market and technology changes</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 Talent retention</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spacing w:after="0"/>
              <w:rPr>
                <w:sz w:val="14"/>
                <w:szCs w:val="14"/>
                <w:color w:val="auto"/>
              </w:rPr>
            </w:pPr>
          </w:p>
        </w:tc>
        <w:tc>
          <w:tcPr>
            <w:tcW w:w="15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 Culture and productivity</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spacing w:after="0"/>
              <w:rPr>
                <w:sz w:val="14"/>
                <w:szCs w:val="14"/>
                <w:color w:val="auto"/>
              </w:rPr>
            </w:pPr>
          </w:p>
        </w:tc>
        <w:tc>
          <w:tcPr>
            <w:tcW w:w="15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 Compliance with laws and regulations</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tcBorders>
              <w:bottom w:val="single" w:sz="8" w:color="AFAFAF"/>
            </w:tcBorders>
          </w:tcPr>
          <w:p>
            <w:pPr>
              <w:jc w:val="center"/>
              <w:ind w:left="189"/>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7"/>
        </w:trPr>
        <w:tc>
          <w:tcPr>
            <w:tcW w:w="51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 Dependency on relationship ecosystem</w:t>
            </w:r>
          </w:p>
        </w:tc>
        <w:tc>
          <w:tcPr>
            <w:tcW w:w="1580" w:type="dxa"/>
            <w:vAlign w:val="bottom"/>
            <w:tcBorders>
              <w:bottom w:val="single" w:sz="8" w:color="AFAFAF"/>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AFAFAF"/>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AFAFAF"/>
            </w:tcBorders>
          </w:tcPr>
          <w:p>
            <w:pPr>
              <w:spacing w:after="0"/>
              <w:rPr>
                <w:sz w:val="14"/>
                <w:szCs w:val="14"/>
                <w:color w:val="auto"/>
              </w:rPr>
            </w:pPr>
          </w:p>
        </w:tc>
        <w:tc>
          <w:tcPr>
            <w:tcW w:w="1020" w:type="dxa"/>
            <w:vAlign w:val="bottom"/>
            <w:tcBorders>
              <w:bottom w:val="single" w:sz="8" w:color="AFAFAF"/>
            </w:tcBorders>
          </w:tcPr>
          <w:p>
            <w:pPr>
              <w:spacing w:after="0"/>
              <w:rPr>
                <w:sz w:val="14"/>
                <w:szCs w:val="14"/>
                <w:color w:val="auto"/>
              </w:rPr>
            </w:pPr>
          </w:p>
        </w:tc>
      </w:tr>
      <w:tr>
        <w:trPr>
          <w:trHeight w:val="167"/>
        </w:trPr>
        <w:tc>
          <w:tcPr>
            <w:tcW w:w="5140" w:type="dxa"/>
            <w:vAlign w:val="bottom"/>
            <w:tcBorders>
              <w:bottom w:val="single" w:sz="8" w:color="B94831"/>
            </w:tcBorders>
          </w:tcPr>
          <w:p>
            <w:pPr>
              <w:spacing w:after="0"/>
              <w:rPr>
                <w:sz w:val="20"/>
                <w:szCs w:val="20"/>
                <w:color w:val="auto"/>
              </w:rPr>
            </w:pPr>
            <w:r>
              <w:rPr>
                <w:rFonts w:ascii="Arial" w:cs="Arial" w:eastAsia="Arial" w:hAnsi="Arial"/>
                <w:sz w:val="14"/>
                <w:szCs w:val="14"/>
                <w:b w:val="1"/>
                <w:bCs w:val="1"/>
                <w:color w:val="auto"/>
              </w:rPr>
              <w:t>   Wellbeing, safety and security of personnel</w:t>
            </w:r>
          </w:p>
        </w:tc>
        <w:tc>
          <w:tcPr>
            <w:tcW w:w="1580" w:type="dxa"/>
            <w:vAlign w:val="bottom"/>
            <w:tcBorders>
              <w:bottom w:val="single" w:sz="8" w:color="B94831"/>
            </w:tcBorders>
          </w:tcPr>
          <w:p>
            <w:pPr>
              <w:jc w:val="center"/>
              <w:ind w:right="149"/>
              <w:spacing w:after="0" w:line="141" w:lineRule="exact"/>
              <w:rPr>
                <w:sz w:val="20"/>
                <w:szCs w:val="20"/>
                <w:color w:val="auto"/>
              </w:rPr>
            </w:pPr>
            <w:r>
              <w:rPr>
                <w:rFonts w:ascii="MS PGothic" w:cs="MS PGothic" w:eastAsia="MS PGothic" w:hAnsi="MS PGothic"/>
                <w:sz w:val="14"/>
                <w:szCs w:val="14"/>
                <w:color w:val="auto"/>
                <w:w w:val="85"/>
              </w:rPr>
              <w:t>✓</w:t>
            </w:r>
          </w:p>
        </w:tc>
        <w:tc>
          <w:tcPr>
            <w:tcW w:w="1640" w:type="dxa"/>
            <w:vAlign w:val="bottom"/>
            <w:tcBorders>
              <w:bottom w:val="single" w:sz="8" w:color="B94831"/>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40" w:type="dxa"/>
            <w:vAlign w:val="bottom"/>
            <w:tcBorders>
              <w:bottom w:val="single" w:sz="8" w:color="B94831"/>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20" w:type="dxa"/>
            <w:vAlign w:val="bottom"/>
            <w:tcBorders>
              <w:bottom w:val="single" w:sz="8" w:color="B94831"/>
            </w:tcBorders>
          </w:tcPr>
          <w:p>
            <w:pPr>
              <w:spacing w:after="0"/>
              <w:rPr>
                <w:sz w:val="14"/>
                <w:szCs w:val="14"/>
                <w:color w:val="auto"/>
              </w:rPr>
            </w:pPr>
          </w:p>
        </w:tc>
      </w:tr>
      <w:tr>
        <w:trPr>
          <w:trHeight w:val="227"/>
        </w:trPr>
        <w:tc>
          <w:tcPr>
            <w:tcW w:w="5140" w:type="dxa"/>
            <w:vAlign w:val="bottom"/>
            <w:tcBorders>
              <w:bottom w:val="single" w:sz="8" w:color="B94831"/>
            </w:tcBorders>
          </w:tcPr>
          <w:p>
            <w:pPr>
              <w:spacing w:after="0"/>
              <w:rPr>
                <w:sz w:val="19"/>
                <w:szCs w:val="19"/>
                <w:color w:val="auto"/>
              </w:rPr>
            </w:pPr>
          </w:p>
        </w:tc>
        <w:tc>
          <w:tcPr>
            <w:tcW w:w="1580" w:type="dxa"/>
            <w:vAlign w:val="bottom"/>
            <w:tcBorders>
              <w:bottom w:val="single" w:sz="8" w:color="B94831"/>
            </w:tcBorders>
          </w:tcPr>
          <w:p>
            <w:pPr>
              <w:spacing w:after="0"/>
              <w:rPr>
                <w:sz w:val="19"/>
                <w:szCs w:val="19"/>
                <w:color w:val="auto"/>
              </w:rPr>
            </w:pPr>
          </w:p>
        </w:tc>
        <w:tc>
          <w:tcPr>
            <w:tcW w:w="1640" w:type="dxa"/>
            <w:vAlign w:val="bottom"/>
            <w:tcBorders>
              <w:bottom w:val="single" w:sz="8" w:color="B94831"/>
            </w:tcBorders>
          </w:tcPr>
          <w:p>
            <w:pPr>
              <w:spacing w:after="0"/>
              <w:rPr>
                <w:sz w:val="19"/>
                <w:szCs w:val="19"/>
                <w:color w:val="auto"/>
              </w:rPr>
            </w:pPr>
          </w:p>
        </w:tc>
        <w:tc>
          <w:tcPr>
            <w:tcW w:w="1540" w:type="dxa"/>
            <w:vAlign w:val="bottom"/>
            <w:tcBorders>
              <w:bottom w:val="single" w:sz="8" w:color="B94831"/>
            </w:tcBorders>
          </w:tcPr>
          <w:p>
            <w:pPr>
              <w:spacing w:after="0"/>
              <w:rPr>
                <w:sz w:val="19"/>
                <w:szCs w:val="19"/>
                <w:color w:val="auto"/>
              </w:rPr>
            </w:pPr>
          </w:p>
        </w:tc>
        <w:tc>
          <w:tcPr>
            <w:tcW w:w="1020" w:type="dxa"/>
            <w:vAlign w:val="bottom"/>
            <w:tcBorders>
              <w:bottom w:val="single" w:sz="8" w:color="B94831"/>
            </w:tcBorders>
          </w:tcPr>
          <w:p>
            <w:pPr>
              <w:spacing w:after="0"/>
              <w:rPr>
                <w:sz w:val="19"/>
                <w:szCs w:val="19"/>
                <w:color w:val="auto"/>
              </w:rPr>
            </w:pPr>
          </w:p>
        </w:tc>
      </w:tr>
      <w:tr>
        <w:trPr>
          <w:trHeight w:val="283"/>
        </w:trPr>
        <w:tc>
          <w:tcPr>
            <w:tcW w:w="5140" w:type="dxa"/>
            <w:vAlign w:val="bottom"/>
          </w:tcPr>
          <w:p>
            <w:pPr>
              <w:spacing w:after="0"/>
              <w:rPr>
                <w:sz w:val="20"/>
                <w:szCs w:val="20"/>
                <w:color w:val="auto"/>
              </w:rPr>
            </w:pPr>
            <w:r>
              <w:rPr>
                <w:rFonts w:ascii="Arial" w:cs="Arial" w:eastAsia="Arial" w:hAnsi="Arial"/>
                <w:sz w:val="13"/>
                <w:szCs w:val="13"/>
                <w:color w:val="auto"/>
              </w:rPr>
              <w:t>Page 34   Management Proxy Circular and Notice of Annual Meeting of Shareholders</w:t>
            </w: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Environmental, Social and Governance (ESG) Oversight</w:t>
      </w:r>
    </w:p>
    <w:p>
      <w:pPr>
        <w:spacing w:after="0" w:line="51"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ESG is overseen by the Board and its committees. Management is responsible for updating the Board and its committees on ESG topics and assessing ESG-related risks, including sustainability and climate-related risks, human rights and human capital management, diversity and inclusion and social impact. For more information about our ESG initiatives, please see the “ESG” section of this circular.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division of primary ESG oversight responsibilities between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118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FFFFFF"/>
        </w:rPr>
        <w:t>Primary ESG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-97790</wp:posOffset>
            </wp:positionV>
            <wp:extent cx="5333365" cy="101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33365" cy="10160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41"/>
        </w:trPr>
        <w:tc>
          <w:tcPr>
            <w:tcW w:w="2480" w:type="dxa"/>
            <w:vAlign w:val="bottom"/>
            <w:tcBorders>
              <w:top w:val="single" w:sz="8" w:color="B94831"/>
            </w:tcBorders>
            <w:gridSpan w:val="2"/>
          </w:tcPr>
          <w:p>
            <w:pPr>
              <w:spacing w:after="0" w:line="141" w:lineRule="exact"/>
              <w:rPr>
                <w:sz w:val="20"/>
                <w:szCs w:val="20"/>
                <w:color w:val="auto"/>
              </w:rPr>
            </w:pPr>
            <w:r>
              <w:rPr>
                <w:rFonts w:ascii="Arial" w:cs="Arial" w:eastAsia="Arial" w:hAnsi="Arial"/>
                <w:sz w:val="14"/>
                <w:szCs w:val="14"/>
                <w:b w:val="1"/>
                <w:bCs w:val="1"/>
                <w:color w:val="auto"/>
              </w:rPr>
              <w:t>Corporate Governance Committee</w:t>
            </w:r>
          </w:p>
        </w:tc>
        <w:tc>
          <w:tcPr>
            <w:tcW w:w="260" w:type="dxa"/>
            <w:vAlign w:val="bottom"/>
            <w:tcBorders>
              <w:top w:val="single" w:sz="8" w:color="B94831"/>
            </w:tcBorders>
          </w:tcPr>
          <w:p>
            <w:pPr>
              <w:ind w:left="14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8180" w:type="dxa"/>
            <w:vAlign w:val="bottom"/>
            <w:tcBorders>
              <w:top w:val="single" w:sz="8" w:color="B94831"/>
            </w:tcBorders>
          </w:tcPr>
          <w:p>
            <w:pPr>
              <w:ind w:left="60"/>
              <w:spacing w:after="0" w:line="141" w:lineRule="exact"/>
              <w:rPr>
                <w:sz w:val="20"/>
                <w:szCs w:val="20"/>
                <w:color w:val="auto"/>
              </w:rPr>
            </w:pPr>
            <w:r>
              <w:rPr>
                <w:rFonts w:ascii="Arial" w:cs="Arial" w:eastAsia="Arial" w:hAnsi="Arial"/>
                <w:sz w:val="14"/>
                <w:szCs w:val="14"/>
                <w:color w:val="auto"/>
              </w:rPr>
              <w:t>Overall ESG oversight and coordination amongst the Board’s four standing committees</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4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Environmental matters, including sustainability and climate-related matters</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60" w:type="dxa"/>
            <w:vAlign w:val="bottom"/>
          </w:tcPr>
          <w:p>
            <w:pPr>
              <w:ind w:left="140"/>
              <w:spacing w:after="0" w:line="161"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8"/>
                <w:szCs w:val="18"/>
                <w:color w:val="000000"/>
                <w:vertAlign w:val="subscript"/>
              </w:rPr>
              <w:t xml:space="preserve"> </w:t>
            </w:r>
          </w:p>
        </w:tc>
        <w:tc>
          <w:tcPr>
            <w:tcW w:w="8180" w:type="dxa"/>
            <w:vAlign w:val="bottom"/>
          </w:tcPr>
          <w:p>
            <w:pPr>
              <w:ind w:left="60"/>
              <w:spacing w:after="0"/>
              <w:rPr>
                <w:sz w:val="20"/>
                <w:szCs w:val="20"/>
                <w:color w:val="auto"/>
              </w:rPr>
            </w:pPr>
            <w:r>
              <w:rPr>
                <w:rFonts w:ascii="Arial" w:cs="Arial" w:eastAsia="Arial" w:hAnsi="Arial"/>
                <w:sz w:val="14"/>
                <w:szCs w:val="14"/>
                <w:color w:val="auto"/>
              </w:rPr>
              <w:t>Governance matters</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4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Board diversity and inclusion initiatives related to ESG</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4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Stakeholder engagement related to ESG</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4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Human rights risks/supply chain</w:t>
            </w:r>
          </w:p>
        </w:tc>
      </w:tr>
      <w:tr>
        <w:trPr>
          <w:trHeight w:val="186"/>
        </w:trPr>
        <w:tc>
          <w:tcPr>
            <w:tcW w:w="20" w:type="dxa"/>
            <w:vAlign w:val="bottom"/>
          </w:tcPr>
          <w:p>
            <w:pPr>
              <w:spacing w:after="0"/>
              <w:rPr>
                <w:sz w:val="16"/>
                <w:szCs w:val="16"/>
                <w:color w:val="auto"/>
              </w:rPr>
            </w:pPr>
          </w:p>
        </w:tc>
        <w:tc>
          <w:tcPr>
            <w:tcW w:w="2460" w:type="dxa"/>
            <w:vAlign w:val="bottom"/>
            <w:tcBorders>
              <w:bottom w:val="single" w:sz="8" w:color="AFAFAF"/>
            </w:tcBorders>
          </w:tcPr>
          <w:p>
            <w:pPr>
              <w:spacing w:after="0"/>
              <w:rPr>
                <w:sz w:val="16"/>
                <w:szCs w:val="16"/>
                <w:color w:val="auto"/>
              </w:rPr>
            </w:pPr>
          </w:p>
        </w:tc>
        <w:tc>
          <w:tcPr>
            <w:tcW w:w="8440" w:type="dxa"/>
            <w:vAlign w:val="bottom"/>
            <w:tcBorders>
              <w:bottom w:val="single" w:sz="8" w:color="AFAFAF"/>
            </w:tcBorders>
            <w:gridSpan w:val="2"/>
          </w:tcPr>
          <w:p>
            <w:pPr>
              <w:ind w:left="14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Thomson Reuters Foundation</w:t>
            </w:r>
          </w:p>
        </w:tc>
      </w:tr>
      <w:tr>
        <w:trPr>
          <w:trHeight w:val="141"/>
        </w:trPr>
        <w:tc>
          <w:tcPr>
            <w:tcW w:w="20" w:type="dxa"/>
            <w:vAlign w:val="bottom"/>
          </w:tcPr>
          <w:p>
            <w:pPr>
              <w:spacing w:after="0"/>
              <w:rPr>
                <w:sz w:val="12"/>
                <w:szCs w:val="12"/>
                <w:color w:val="auto"/>
              </w:rPr>
            </w:pPr>
          </w:p>
        </w:tc>
        <w:tc>
          <w:tcPr>
            <w:tcW w:w="2460" w:type="dxa"/>
            <w:vAlign w:val="bottom"/>
          </w:tcPr>
          <w:p>
            <w:pPr>
              <w:spacing w:after="0" w:line="141" w:lineRule="exact"/>
              <w:rPr>
                <w:sz w:val="20"/>
                <w:szCs w:val="20"/>
                <w:color w:val="auto"/>
              </w:rPr>
            </w:pPr>
            <w:r>
              <w:rPr>
                <w:rFonts w:ascii="Arial" w:cs="Arial" w:eastAsia="Arial" w:hAnsi="Arial"/>
                <w:sz w:val="14"/>
                <w:szCs w:val="14"/>
                <w:b w:val="1"/>
                <w:bCs w:val="1"/>
                <w:color w:val="auto"/>
              </w:rPr>
              <w:t>Board of Directors</w:t>
            </w:r>
          </w:p>
        </w:tc>
        <w:tc>
          <w:tcPr>
            <w:tcW w:w="260" w:type="dxa"/>
            <w:vAlign w:val="bottom"/>
          </w:tcPr>
          <w:p>
            <w:pPr>
              <w:ind w:left="14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w:t>
            </w:r>
          </w:p>
        </w:tc>
        <w:tc>
          <w:tcPr>
            <w:tcW w:w="8180" w:type="dxa"/>
            <w:vAlign w:val="bottom"/>
          </w:tcPr>
          <w:p>
            <w:pPr>
              <w:ind w:left="60"/>
              <w:spacing w:after="0" w:line="141" w:lineRule="exact"/>
              <w:rPr>
                <w:sz w:val="20"/>
                <w:szCs w:val="20"/>
                <w:color w:val="auto"/>
              </w:rPr>
            </w:pPr>
            <w:r>
              <w:rPr>
                <w:rFonts w:ascii="Arial" w:cs="Arial" w:eastAsia="Arial" w:hAnsi="Arial"/>
                <w:sz w:val="14"/>
                <w:szCs w:val="14"/>
                <w:color w:val="auto"/>
              </w:rPr>
              <w:t>Periodic updates regarding ESG strategy and alignment with Thomson Reuters’ long-term business strategy</w:t>
            </w:r>
          </w:p>
        </w:tc>
      </w:tr>
      <w:tr>
        <w:trPr>
          <w:trHeight w:val="186"/>
        </w:trPr>
        <w:tc>
          <w:tcPr>
            <w:tcW w:w="20" w:type="dxa"/>
            <w:vAlign w:val="bottom"/>
          </w:tcPr>
          <w:p>
            <w:pPr>
              <w:spacing w:after="0"/>
              <w:rPr>
                <w:sz w:val="16"/>
                <w:szCs w:val="16"/>
                <w:color w:val="auto"/>
              </w:rPr>
            </w:pPr>
          </w:p>
        </w:tc>
        <w:tc>
          <w:tcPr>
            <w:tcW w:w="2460" w:type="dxa"/>
            <w:vAlign w:val="bottom"/>
            <w:tcBorders>
              <w:bottom w:val="single" w:sz="8" w:color="AFAFAF"/>
            </w:tcBorders>
          </w:tcPr>
          <w:p>
            <w:pPr>
              <w:spacing w:after="0"/>
              <w:rPr>
                <w:sz w:val="16"/>
                <w:szCs w:val="16"/>
                <w:color w:val="auto"/>
              </w:rPr>
            </w:pPr>
          </w:p>
        </w:tc>
        <w:tc>
          <w:tcPr>
            <w:tcW w:w="8440" w:type="dxa"/>
            <w:vAlign w:val="bottom"/>
            <w:tcBorders>
              <w:bottom w:val="single" w:sz="8" w:color="AFAFAF"/>
            </w:tcBorders>
            <w:gridSpan w:val="2"/>
          </w:tcPr>
          <w:p>
            <w:pPr>
              <w:ind w:left="14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Material ESG risks</w:t>
            </w:r>
          </w:p>
        </w:tc>
      </w:tr>
      <w:tr>
        <w:trPr>
          <w:trHeight w:val="141"/>
        </w:trPr>
        <w:tc>
          <w:tcPr>
            <w:tcW w:w="20" w:type="dxa"/>
            <w:vAlign w:val="bottom"/>
          </w:tcPr>
          <w:p>
            <w:pPr>
              <w:spacing w:after="0"/>
              <w:rPr>
                <w:sz w:val="12"/>
                <w:szCs w:val="12"/>
                <w:color w:val="auto"/>
              </w:rPr>
            </w:pPr>
          </w:p>
        </w:tc>
        <w:tc>
          <w:tcPr>
            <w:tcW w:w="2460" w:type="dxa"/>
            <w:vAlign w:val="bottom"/>
          </w:tcPr>
          <w:p>
            <w:pPr>
              <w:spacing w:after="0" w:line="141" w:lineRule="exact"/>
              <w:rPr>
                <w:sz w:val="20"/>
                <w:szCs w:val="20"/>
                <w:color w:val="auto"/>
              </w:rPr>
            </w:pPr>
            <w:r>
              <w:rPr>
                <w:rFonts w:ascii="Arial" w:cs="Arial" w:eastAsia="Arial" w:hAnsi="Arial"/>
                <w:sz w:val="14"/>
                <w:szCs w:val="14"/>
                <w:b w:val="1"/>
                <w:bCs w:val="1"/>
                <w:color w:val="auto"/>
              </w:rPr>
              <w:t>Audit Committee</w:t>
            </w:r>
          </w:p>
        </w:tc>
        <w:tc>
          <w:tcPr>
            <w:tcW w:w="260" w:type="dxa"/>
            <w:vAlign w:val="bottom"/>
          </w:tcPr>
          <w:p>
            <w:pPr>
              <w:ind w:left="14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8180" w:type="dxa"/>
            <w:vAlign w:val="bottom"/>
          </w:tcPr>
          <w:p>
            <w:pPr>
              <w:ind w:left="60"/>
              <w:spacing w:after="0" w:line="141" w:lineRule="exact"/>
              <w:rPr>
                <w:sz w:val="20"/>
                <w:szCs w:val="20"/>
                <w:color w:val="auto"/>
              </w:rPr>
            </w:pPr>
            <w:r>
              <w:rPr>
                <w:rFonts w:ascii="Arial" w:cs="Arial" w:eastAsia="Arial" w:hAnsi="Arial"/>
                <w:sz w:val="14"/>
                <w:szCs w:val="14"/>
                <w:color w:val="auto"/>
              </w:rPr>
              <w:t>Overall reporting/disclosure processes related to ESG,</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4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Internal controls/procedures related to ESG</w:t>
            </w:r>
          </w:p>
        </w:tc>
      </w:tr>
      <w:tr>
        <w:trPr>
          <w:trHeight w:val="186"/>
        </w:trPr>
        <w:tc>
          <w:tcPr>
            <w:tcW w:w="20" w:type="dxa"/>
            <w:vAlign w:val="bottom"/>
          </w:tcPr>
          <w:p>
            <w:pPr>
              <w:spacing w:after="0"/>
              <w:rPr>
                <w:sz w:val="16"/>
                <w:szCs w:val="16"/>
                <w:color w:val="auto"/>
              </w:rPr>
            </w:pPr>
          </w:p>
        </w:tc>
        <w:tc>
          <w:tcPr>
            <w:tcW w:w="2460" w:type="dxa"/>
            <w:vAlign w:val="bottom"/>
            <w:tcBorders>
              <w:bottom w:val="single" w:sz="8" w:color="AFAFAF"/>
            </w:tcBorders>
          </w:tcPr>
          <w:p>
            <w:pPr>
              <w:spacing w:after="0"/>
              <w:rPr>
                <w:sz w:val="16"/>
                <w:szCs w:val="16"/>
                <w:color w:val="auto"/>
              </w:rPr>
            </w:pPr>
          </w:p>
        </w:tc>
        <w:tc>
          <w:tcPr>
            <w:tcW w:w="8440" w:type="dxa"/>
            <w:vAlign w:val="bottom"/>
            <w:tcBorders>
              <w:bottom w:val="single" w:sz="8" w:color="AFAFAF"/>
            </w:tcBorders>
            <w:gridSpan w:val="2"/>
          </w:tcPr>
          <w:p>
            <w:pPr>
              <w:ind w:left="14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Finance initiatives related to ESG</w:t>
            </w:r>
          </w:p>
        </w:tc>
      </w:tr>
      <w:tr>
        <w:trPr>
          <w:trHeight w:val="141"/>
        </w:trPr>
        <w:tc>
          <w:tcPr>
            <w:tcW w:w="20" w:type="dxa"/>
            <w:vAlign w:val="bottom"/>
          </w:tcPr>
          <w:p>
            <w:pPr>
              <w:spacing w:after="0"/>
              <w:rPr>
                <w:sz w:val="12"/>
                <w:szCs w:val="12"/>
                <w:color w:val="auto"/>
              </w:rPr>
            </w:pPr>
          </w:p>
        </w:tc>
        <w:tc>
          <w:tcPr>
            <w:tcW w:w="2460" w:type="dxa"/>
            <w:vAlign w:val="bottom"/>
          </w:tcPr>
          <w:p>
            <w:pPr>
              <w:spacing w:after="0" w:line="141" w:lineRule="exact"/>
              <w:rPr>
                <w:sz w:val="20"/>
                <w:szCs w:val="20"/>
                <w:color w:val="auto"/>
              </w:rPr>
            </w:pPr>
            <w:r>
              <w:rPr>
                <w:rFonts w:ascii="Arial" w:cs="Arial" w:eastAsia="Arial" w:hAnsi="Arial"/>
                <w:sz w:val="14"/>
                <w:szCs w:val="14"/>
                <w:b w:val="1"/>
                <w:bCs w:val="1"/>
                <w:color w:val="auto"/>
              </w:rPr>
              <w:t>HR Committee</w:t>
            </w:r>
          </w:p>
        </w:tc>
        <w:tc>
          <w:tcPr>
            <w:tcW w:w="260" w:type="dxa"/>
            <w:vAlign w:val="bottom"/>
          </w:tcPr>
          <w:p>
            <w:pPr>
              <w:ind w:left="140"/>
              <w:spacing w:after="0" w:line="141" w:lineRule="exact"/>
              <w:rPr>
                <w:sz w:val="20"/>
                <w:szCs w:val="20"/>
                <w:color w:val="auto"/>
              </w:rPr>
            </w:pPr>
            <w:r>
              <w:rPr>
                <w:rFonts w:ascii="Times New Roman" w:cs="Times New Roman" w:eastAsia="Times New Roman" w:hAnsi="Times New Roman"/>
                <w:sz w:val="6"/>
                <w:szCs w:val="6"/>
                <w:color w:val="B94831"/>
              </w:rPr>
              <w:t>·</w:t>
            </w:r>
            <w:r>
              <w:rPr>
                <w:rFonts w:ascii="Arial" w:cs="Arial" w:eastAsia="Arial" w:hAnsi="Arial"/>
                <w:sz w:val="16"/>
                <w:szCs w:val="16"/>
                <w:color w:val="000000"/>
                <w:vertAlign w:val="subscript"/>
              </w:rPr>
              <w:t xml:space="preserve"> </w:t>
            </w:r>
          </w:p>
        </w:tc>
        <w:tc>
          <w:tcPr>
            <w:tcW w:w="8180" w:type="dxa"/>
            <w:vAlign w:val="bottom"/>
          </w:tcPr>
          <w:p>
            <w:pPr>
              <w:ind w:left="60"/>
              <w:spacing w:after="0" w:line="141" w:lineRule="exact"/>
              <w:rPr>
                <w:sz w:val="20"/>
                <w:szCs w:val="20"/>
                <w:color w:val="auto"/>
              </w:rPr>
            </w:pPr>
            <w:r>
              <w:rPr>
                <w:rFonts w:ascii="Arial" w:cs="Arial" w:eastAsia="Arial" w:hAnsi="Arial"/>
                <w:sz w:val="14"/>
                <w:szCs w:val="14"/>
                <w:color w:val="auto"/>
              </w:rPr>
              <w:t>Employee diversity and inclusion initiatives related to ESG</w:t>
            </w: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4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Compensation considerations related to ESG</w:t>
            </w:r>
          </w:p>
        </w:tc>
      </w:tr>
      <w:tr>
        <w:trPr>
          <w:trHeight w:val="186"/>
        </w:trPr>
        <w:tc>
          <w:tcPr>
            <w:tcW w:w="20" w:type="dxa"/>
            <w:vAlign w:val="bottom"/>
          </w:tcPr>
          <w:p>
            <w:pPr>
              <w:spacing w:after="0"/>
              <w:rPr>
                <w:sz w:val="16"/>
                <w:szCs w:val="16"/>
                <w:color w:val="auto"/>
              </w:rPr>
            </w:pPr>
          </w:p>
        </w:tc>
        <w:tc>
          <w:tcPr>
            <w:tcW w:w="2460" w:type="dxa"/>
            <w:vAlign w:val="bottom"/>
            <w:tcBorders>
              <w:bottom w:val="single" w:sz="8" w:color="AFAFAF"/>
            </w:tcBorders>
          </w:tcPr>
          <w:p>
            <w:pPr>
              <w:spacing w:after="0"/>
              <w:rPr>
                <w:sz w:val="16"/>
                <w:szCs w:val="16"/>
                <w:color w:val="auto"/>
              </w:rPr>
            </w:pPr>
          </w:p>
        </w:tc>
        <w:tc>
          <w:tcPr>
            <w:tcW w:w="8440" w:type="dxa"/>
            <w:vAlign w:val="bottom"/>
            <w:tcBorders>
              <w:bottom w:val="single" w:sz="8" w:color="AFAFAF"/>
            </w:tcBorders>
            <w:gridSpan w:val="2"/>
          </w:tcPr>
          <w:p>
            <w:pPr>
              <w:ind w:left="14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Defined benefit/defined contribution plan considerations related to ESG</w:t>
            </w: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b w:val="1"/>
                <w:bCs w:val="1"/>
                <w:color w:val="auto"/>
              </w:rPr>
              <w:t>Risk Committee</w:t>
            </w:r>
          </w:p>
        </w:tc>
        <w:tc>
          <w:tcPr>
            <w:tcW w:w="260" w:type="dxa"/>
            <w:vAlign w:val="bottom"/>
          </w:tcPr>
          <w:p>
            <w:pPr>
              <w:ind w:left="140"/>
              <w:spacing w:after="0" w:line="149" w:lineRule="exact"/>
              <w:rPr>
                <w:sz w:val="20"/>
                <w:szCs w:val="20"/>
                <w:color w:val="auto"/>
              </w:rPr>
            </w:pPr>
            <w:r>
              <w:rPr>
                <w:rFonts w:ascii="Times New Roman" w:cs="Times New Roman" w:eastAsia="Times New Roman" w:hAnsi="Times New Roman"/>
                <w:sz w:val="7"/>
                <w:szCs w:val="7"/>
                <w:color w:val="B94831"/>
              </w:rPr>
              <w:t>·</w:t>
            </w:r>
            <w:r>
              <w:rPr>
                <w:rFonts w:ascii="Arial" w:cs="Arial" w:eastAsia="Arial" w:hAnsi="Arial"/>
                <w:sz w:val="17"/>
                <w:szCs w:val="17"/>
                <w:color w:val="000000"/>
                <w:vertAlign w:val="subscript"/>
              </w:rPr>
              <w:t xml:space="preserve"> </w:t>
            </w:r>
          </w:p>
        </w:tc>
        <w:tc>
          <w:tcPr>
            <w:tcW w:w="8180" w:type="dxa"/>
            <w:vAlign w:val="bottom"/>
          </w:tcPr>
          <w:p>
            <w:pPr>
              <w:ind w:left="60"/>
              <w:spacing w:after="0" w:line="149" w:lineRule="exact"/>
              <w:rPr>
                <w:sz w:val="20"/>
                <w:szCs w:val="20"/>
                <w:color w:val="auto"/>
              </w:rPr>
            </w:pPr>
            <w:r>
              <w:rPr>
                <w:rFonts w:ascii="Arial" w:cs="Arial" w:eastAsia="Arial" w:hAnsi="Arial"/>
                <w:sz w:val="14"/>
                <w:szCs w:val="14"/>
                <w:color w:val="auto"/>
              </w:rPr>
              <w:t>ERM considerations related to ESG</w:t>
            </w:r>
          </w:p>
        </w:tc>
      </w:tr>
    </w:tbl>
    <w:p>
      <w:pPr>
        <w:ind w:left="2780"/>
        <w:spacing w:after="0" w:line="208"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AI and emerging technologies</w:t>
      </w:r>
    </w:p>
    <w:p>
      <w:pPr>
        <w:ind w:left="27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Certain product/services risks and considerations related to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2"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Separate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111760</wp:posOffset>
            </wp:positionV>
            <wp:extent cx="6929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9" w:lineRule="exact"/>
        <w:rPr>
          <w:sz w:val="20"/>
          <w:szCs w:val="20"/>
          <w:color w:val="auto"/>
        </w:rPr>
      </w:pPr>
    </w:p>
    <w:p>
      <w:pPr>
        <w:ind w:left="160" w:right="60"/>
        <w:spacing w:after="0" w:line="271" w:lineRule="auto"/>
        <w:rPr>
          <w:sz w:val="20"/>
          <w:szCs w:val="20"/>
          <w:color w:val="auto"/>
        </w:rPr>
      </w:pPr>
      <w:r>
        <w:rPr>
          <w:rFonts w:ascii="Arial" w:cs="Arial" w:eastAsia="Arial" w:hAnsi="Arial"/>
          <w:sz w:val="27"/>
          <w:szCs w:val="27"/>
          <w:color w:val="auto"/>
        </w:rPr>
        <w:t>The roles and responsibilities of the Chairman and the CEO of our company are separate to allow for more effective oversight and to hold management more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 Chairman, David Thomson seeks to ensure that the Board operates independently of senior management. The Chairman is responsible for chairing Board meetings, ensuring that the Board and its committees have the necessary resources to support their work (in particular, accurate, timely and relevant information), and maintaining an effective relationship between the Board and senior management.</w:t>
      </w:r>
    </w:p>
    <w:p>
      <w:pPr>
        <w:spacing w:after="0" w:line="44"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As CEO, Steve Hasker is principally responsible for the management of the business and affairs of Thomson Reuters in accordance with the strategic plan and objectives approved by the Board.</w:t>
      </w:r>
    </w:p>
    <w:p>
      <w:pPr>
        <w:spacing w:after="0" w:line="47"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25"/>
          <w:szCs w:val="25"/>
          <w:color w:val="B94831"/>
        </w:rPr>
        <w:t>Deputy Chairman</w:t>
      </w:r>
    </w:p>
    <w:p>
      <w:pPr>
        <w:spacing w:after="0" w:line="51"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Our corporate governance guidelines permit the Board to elect a Deputy Chairman. The Deputy Chairman would work collaboratively with the Chairman and assists the Chairman in fulfilling his responsibilities. The Deputy Chairman would also engage in regular dialogue with the Chairman, the CEO and the Lead Independent Director to reinforce our culture of good governance; would serve as an ambassador for Thomson Reuters; and perform additional duties as may be delegated to him by the Chairman or the Board from time to time. As of the date of this circular, the Board has not elected a Deputy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35</w:t>
      </w:r>
    </w:p>
    <w:p>
      <w:pPr>
        <w:sectPr>
          <w:pgSz w:w="11900" w:h="16838" w:orient="portrait"/>
          <w:cols w:equalWidth="0" w:num="1">
            <w:col w:w="11080"/>
          </w:cols>
          <w:pgMar w:left="320" w:top="454" w:right="4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Lead Independent Director</w:t>
      </w:r>
    </w:p>
    <w:p>
      <w:pPr>
        <w:spacing w:after="0" w:line="51"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Michael E. Daniels is the Board’s Lead Independent Director. Among other things, responsibilities of our Lead Independent Director include chairing meetings of the independent directors; in consultation with the Chairman and CEO, approving meeting agendas for the Board; as requested, advising the CEO on the quality, quantity, appropriateness and timeliness of information sent by management to the Board; and being available for consultation with the other independent directors as required.</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Position Descriptions</w:t>
      </w:r>
    </w:p>
    <w:p>
      <w:pPr>
        <w:spacing w:after="0" w:line="5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Position descriptions for the Chairman, the chair of each committee and the Lead Independent Director have been approved by the Board and help ensure the independent operations of the Board and its committees.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Meetings with and without the CEO/Management</w:t>
      </w:r>
    </w:p>
    <w:p>
      <w:pPr>
        <w:spacing w:after="0" w:line="42" w:lineRule="exact"/>
        <w:rPr>
          <w:sz w:val="20"/>
          <w:szCs w:val="20"/>
          <w:color w:val="auto"/>
        </w:rPr>
      </w:pPr>
    </w:p>
    <w:p>
      <w:pPr>
        <w:ind w:left="160" w:right="160"/>
        <w:spacing w:after="0" w:line="238" w:lineRule="auto"/>
        <w:rPr>
          <w:sz w:val="20"/>
          <w:szCs w:val="20"/>
          <w:color w:val="auto"/>
        </w:rPr>
      </w:pPr>
      <w:r>
        <w:rPr>
          <w:rFonts w:ascii="Arial" w:cs="Arial" w:eastAsia="Arial" w:hAnsi="Arial"/>
          <w:sz w:val="18"/>
          <w:szCs w:val="18"/>
          <w:color w:val="auto"/>
        </w:rPr>
        <w:t>At or near the beginning of each meeting, the Board has an “in-camera” session with the CEO, but no other members of management. This is intended to give the CEO an opportunity to discuss his objectives for the day’s meeting, and for directors to express preliminary observations based on their prior review of meeting materials. This permits a more effective use of time in the Board meeting. A similar session is held with the CEO at the end of the meeting, followed by a meeting of the Board without the CEO or other members of management present. Board committees also utilize “in-camera” meetings for discussions without the CEO or members of management present.</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Meetings of Independent Directors</w:t>
      </w:r>
    </w:p>
    <w:p>
      <w:pPr>
        <w:spacing w:after="0" w:line="51" w:lineRule="exact"/>
        <w:rPr>
          <w:sz w:val="20"/>
          <w:szCs w:val="20"/>
          <w:color w:val="auto"/>
        </w:rPr>
      </w:pPr>
    </w:p>
    <w:p>
      <w:pPr>
        <w:ind w:left="160" w:right="120"/>
        <w:spacing w:after="0" w:line="258" w:lineRule="auto"/>
        <w:rPr>
          <w:sz w:val="20"/>
          <w:szCs w:val="20"/>
          <w:color w:val="auto"/>
        </w:rPr>
      </w:pPr>
      <w:r>
        <w:rPr>
          <w:rFonts w:ascii="Arial" w:cs="Arial" w:eastAsia="Arial" w:hAnsi="Arial"/>
          <w:sz w:val="17"/>
          <w:szCs w:val="17"/>
          <w:color w:val="auto"/>
        </w:rPr>
        <w:t>As part of each Board meeting, our independent directors meet as a group without the CEO and without the directors affiliated with Woodbridge. These meetings are chaired by the Lead Independent Director. The Lead Independent Director develops the agenda for these meetings, although discussion has not been limited to it. The agenda generally addresses any issues that might be specific to a public corporation with a controlling shareholder. The Lead Independent Director reports to the Chairman and the CEO on the substance of these meetings to the extent that action is appropriate or required. Nine meetings of the independent directors took place in 2023.</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Access to Management and Professional Advisors</w:t>
      </w:r>
    </w:p>
    <w:p>
      <w:pPr>
        <w:spacing w:after="0" w:line="51"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The Board has access to members of management and professional advisors. The Board and its committees may invite any member of senior management, employee, outside advisor or other person to attend or report at any of their meetings. The Board and any of its committees may retain an outside independent professional advisor at any time at the expense of our company and have the authority to determine the advisor’s fees and other retention terms. Individual directors may retain an outside independent professional advisor at the expense of our company subject to notifying the Corporate Governance Committee in advance.</w:t>
      </w:r>
    </w:p>
    <w:p>
      <w:pPr>
        <w:spacing w:after="0" w:line="75" w:lineRule="exact"/>
        <w:rPr>
          <w:sz w:val="20"/>
          <w:szCs w:val="20"/>
          <w:color w:val="auto"/>
        </w:rPr>
      </w:pPr>
    </w:p>
    <w:p>
      <w:pPr>
        <w:jc w:val="both"/>
        <w:ind w:left="160" w:right="440"/>
        <w:spacing w:after="0" w:line="249" w:lineRule="auto"/>
        <w:rPr>
          <w:sz w:val="20"/>
          <w:szCs w:val="20"/>
          <w:color w:val="auto"/>
        </w:rPr>
      </w:pPr>
      <w:r>
        <w:rPr>
          <w:rFonts w:ascii="Arial" w:cs="Arial" w:eastAsia="Arial" w:hAnsi="Arial"/>
          <w:sz w:val="18"/>
          <w:szCs w:val="18"/>
          <w:color w:val="auto"/>
        </w:rPr>
        <w:t>The HR Committee retains an independent consulting firm to advise it on compensation matters relating to senior management. The independent consulting firm also reviews executive compensation programs and provides guidance and analysis on plan design and market trends and practices.</w:t>
      </w:r>
    </w:p>
    <w:p>
      <w:pPr>
        <w:spacing w:after="0" w:line="65"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The HR Committee also utilizes and relies on market survey data provided by a consulting firm regarding executive compensation for organizations of comparable size and scope with which Thomson Reuters is most likely to compete for executive talent. Additional information is provided in the “Compensation Discussion and Analysis” section of this circular.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Delegation of Authority</w:t>
      </w:r>
    </w:p>
    <w:p>
      <w:pPr>
        <w:spacing w:after="0" w:line="42"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To clarify the division of responsibility between the Board and management, the Board has adopted a delegation of authority policy. This policy delegates certain decision-making and operating authority to senior management and has been adopted by the Board to enhance our internal controls and allow management appropriate flexibility to deal with certain matters without obtaining specific Board approval. The Board also delegates certain responsibilities to the Audit Committee, Corporate Governance Committee, HR Committee and Risk Committee, and oversees the committees’ fulfillment of their responsibilities. The responsibilities of each committee are described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336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36   Management Proxy Circular and Notice of Annual Meeting of Shareholders</w:t>
      </w:r>
    </w:p>
    <w:p>
      <w:pPr>
        <w:sectPr>
          <w:pgSz w:w="11900" w:h="16838" w:orient="portrait"/>
          <w:cols w:equalWidth="0" w:num="1">
            <w:col w:w="11020"/>
          </w:cols>
          <w:pgMar w:left="320" w:top="454"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Director Attendance</w:t>
      </w:r>
    </w:p>
    <w:p>
      <w:pPr>
        <w:spacing w:after="0" w:line="56" w:lineRule="exact"/>
        <w:rPr>
          <w:sz w:val="20"/>
          <w:szCs w:val="20"/>
          <w:color w:val="auto"/>
        </w:rPr>
      </w:pPr>
    </w:p>
    <w:p>
      <w:pPr>
        <w:ind w:left="160" w:right="140"/>
        <w:spacing w:after="0" w:line="246" w:lineRule="auto"/>
        <w:rPr>
          <w:sz w:val="20"/>
          <w:szCs w:val="20"/>
          <w:color w:val="auto"/>
        </w:rPr>
      </w:pPr>
      <w:r>
        <w:rPr>
          <w:rFonts w:ascii="Arial" w:cs="Arial" w:eastAsia="Arial" w:hAnsi="Arial"/>
          <w:sz w:val="18"/>
          <w:szCs w:val="18"/>
          <w:color w:val="auto"/>
        </w:rPr>
        <w:t>The Board meets regularly in order to discharge its duties effectively. Directors are expected to attend all meetings of the Board including committee meetings, if applicable, and annual meetings of shareholders. The following table provides information about the number of Board and committee meetings in 2023.</w:t>
      </w:r>
    </w:p>
    <w:p>
      <w:pPr>
        <w:spacing w:after="0" w:line="10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140" w:type="dxa"/>
            <w:vAlign w:val="bottom"/>
            <w:tcBorders>
              <w:bottom w:val="single" w:sz="8" w:color="B94831"/>
              <w:right w:val="single" w:sz="8" w:color="262626"/>
            </w:tcBorders>
          </w:tcPr>
          <w:p>
            <w:pPr>
              <w:spacing w:after="0"/>
              <w:rPr>
                <w:sz w:val="20"/>
                <w:szCs w:val="20"/>
                <w:color w:val="auto"/>
              </w:rPr>
            </w:pPr>
          </w:p>
        </w:tc>
        <w:tc>
          <w:tcPr>
            <w:tcW w:w="7780" w:type="dxa"/>
            <w:vAlign w:val="bottom"/>
            <w:tcBorders>
              <w:bottom w:val="single" w:sz="8" w:color="B94831"/>
            </w:tcBorders>
            <w:shd w:val="clear" w:color="auto" w:fill="262626"/>
          </w:tcPr>
          <w:p>
            <w:pPr>
              <w:jc w:val="center"/>
              <w:ind w:left="128"/>
              <w:spacing w:after="0"/>
              <w:rPr>
                <w:sz w:val="20"/>
                <w:szCs w:val="20"/>
                <w:color w:val="auto"/>
              </w:rPr>
            </w:pPr>
            <w:r>
              <w:rPr>
                <w:rFonts w:ascii="Arial" w:cs="Arial" w:eastAsia="Arial" w:hAnsi="Arial"/>
                <w:sz w:val="15"/>
                <w:szCs w:val="15"/>
                <w:b w:val="1"/>
                <w:bCs w:val="1"/>
                <w:color w:val="FFFFFF"/>
              </w:rPr>
              <w:t>Number of Meetings</w:t>
            </w:r>
          </w:p>
        </w:tc>
      </w:tr>
      <w:tr>
        <w:trPr>
          <w:trHeight w:val="239"/>
        </w:trPr>
        <w:tc>
          <w:tcPr>
            <w:tcW w:w="31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Board</w:t>
            </w:r>
          </w:p>
        </w:tc>
        <w:tc>
          <w:tcPr>
            <w:tcW w:w="7780" w:type="dxa"/>
            <w:vAlign w:val="bottom"/>
          </w:tcPr>
          <w:p>
            <w:pPr>
              <w:jc w:val="center"/>
              <w:ind w:left="108"/>
              <w:spacing w:after="0"/>
              <w:rPr>
                <w:sz w:val="20"/>
                <w:szCs w:val="20"/>
                <w:color w:val="auto"/>
              </w:rPr>
            </w:pPr>
            <w:r>
              <w:rPr>
                <w:rFonts w:ascii="Arial" w:cs="Arial" w:eastAsia="Arial" w:hAnsi="Arial"/>
                <w:sz w:val="14"/>
                <w:szCs w:val="14"/>
                <w:color w:val="auto"/>
              </w:rPr>
              <w:t>9</w:t>
            </w:r>
          </w:p>
        </w:tc>
      </w:tr>
      <w:tr>
        <w:trPr>
          <w:trHeight w:val="28"/>
        </w:trPr>
        <w:tc>
          <w:tcPr>
            <w:tcW w:w="3140" w:type="dxa"/>
            <w:vAlign w:val="bottom"/>
            <w:tcBorders>
              <w:bottom w:val="single" w:sz="8" w:color="AFAFAF"/>
              <w:right w:val="single" w:sz="8" w:color="AFAFAF"/>
            </w:tcBorders>
          </w:tcPr>
          <w:p>
            <w:pPr>
              <w:spacing w:after="0"/>
              <w:rPr>
                <w:sz w:val="2"/>
                <w:szCs w:val="2"/>
                <w:color w:val="auto"/>
              </w:rPr>
            </w:pPr>
          </w:p>
        </w:tc>
        <w:tc>
          <w:tcPr>
            <w:tcW w:w="7780" w:type="dxa"/>
            <w:vAlign w:val="bottom"/>
            <w:tcBorders>
              <w:bottom w:val="single" w:sz="8" w:color="AFAFAF"/>
            </w:tcBorders>
          </w:tcPr>
          <w:p>
            <w:pPr>
              <w:spacing w:after="0"/>
              <w:rPr>
                <w:sz w:val="2"/>
                <w:szCs w:val="2"/>
                <w:color w:val="auto"/>
              </w:rPr>
            </w:pPr>
          </w:p>
        </w:tc>
      </w:tr>
      <w:tr>
        <w:trPr>
          <w:trHeight w:val="233"/>
        </w:trPr>
        <w:tc>
          <w:tcPr>
            <w:tcW w:w="31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Audit Committee</w:t>
            </w:r>
          </w:p>
        </w:tc>
        <w:tc>
          <w:tcPr>
            <w:tcW w:w="7780" w:type="dxa"/>
            <w:vAlign w:val="bottom"/>
          </w:tcPr>
          <w:p>
            <w:pPr>
              <w:jc w:val="center"/>
              <w:ind w:left="108"/>
              <w:spacing w:after="0"/>
              <w:rPr>
                <w:sz w:val="20"/>
                <w:szCs w:val="20"/>
                <w:color w:val="auto"/>
              </w:rPr>
            </w:pPr>
            <w:r>
              <w:rPr>
                <w:rFonts w:ascii="Arial" w:cs="Arial" w:eastAsia="Arial" w:hAnsi="Arial"/>
                <w:sz w:val="14"/>
                <w:szCs w:val="14"/>
                <w:color w:val="auto"/>
              </w:rPr>
              <w:t>7</w:t>
            </w:r>
          </w:p>
        </w:tc>
      </w:tr>
      <w:tr>
        <w:trPr>
          <w:trHeight w:val="28"/>
        </w:trPr>
        <w:tc>
          <w:tcPr>
            <w:tcW w:w="3140" w:type="dxa"/>
            <w:vAlign w:val="bottom"/>
            <w:tcBorders>
              <w:bottom w:val="single" w:sz="8" w:color="AFAFAF"/>
              <w:right w:val="single" w:sz="8" w:color="AFAFAF"/>
            </w:tcBorders>
          </w:tcPr>
          <w:p>
            <w:pPr>
              <w:spacing w:after="0"/>
              <w:rPr>
                <w:sz w:val="2"/>
                <w:szCs w:val="2"/>
                <w:color w:val="auto"/>
              </w:rPr>
            </w:pPr>
          </w:p>
        </w:tc>
        <w:tc>
          <w:tcPr>
            <w:tcW w:w="7780" w:type="dxa"/>
            <w:vAlign w:val="bottom"/>
            <w:tcBorders>
              <w:bottom w:val="single" w:sz="8" w:color="AFAFAF"/>
            </w:tcBorders>
          </w:tcPr>
          <w:p>
            <w:pPr>
              <w:spacing w:after="0"/>
              <w:rPr>
                <w:sz w:val="2"/>
                <w:szCs w:val="2"/>
                <w:color w:val="auto"/>
              </w:rPr>
            </w:pPr>
          </w:p>
        </w:tc>
      </w:tr>
      <w:tr>
        <w:trPr>
          <w:trHeight w:val="233"/>
        </w:trPr>
        <w:tc>
          <w:tcPr>
            <w:tcW w:w="31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Corporate Governance Committee</w:t>
            </w:r>
          </w:p>
        </w:tc>
        <w:tc>
          <w:tcPr>
            <w:tcW w:w="7780" w:type="dxa"/>
            <w:vAlign w:val="bottom"/>
          </w:tcPr>
          <w:p>
            <w:pPr>
              <w:jc w:val="center"/>
              <w:ind w:left="108"/>
              <w:spacing w:after="0"/>
              <w:rPr>
                <w:sz w:val="20"/>
                <w:szCs w:val="20"/>
                <w:color w:val="auto"/>
              </w:rPr>
            </w:pPr>
            <w:r>
              <w:rPr>
                <w:rFonts w:ascii="Arial" w:cs="Arial" w:eastAsia="Arial" w:hAnsi="Arial"/>
                <w:sz w:val="14"/>
                <w:szCs w:val="14"/>
                <w:color w:val="auto"/>
              </w:rPr>
              <w:t>5</w:t>
            </w:r>
          </w:p>
        </w:tc>
      </w:tr>
      <w:tr>
        <w:trPr>
          <w:trHeight w:val="28"/>
        </w:trPr>
        <w:tc>
          <w:tcPr>
            <w:tcW w:w="3140" w:type="dxa"/>
            <w:vAlign w:val="bottom"/>
            <w:tcBorders>
              <w:bottom w:val="single" w:sz="8" w:color="AFAFAF"/>
              <w:right w:val="single" w:sz="8" w:color="AFAFAF"/>
            </w:tcBorders>
          </w:tcPr>
          <w:p>
            <w:pPr>
              <w:spacing w:after="0"/>
              <w:rPr>
                <w:sz w:val="2"/>
                <w:szCs w:val="2"/>
                <w:color w:val="auto"/>
              </w:rPr>
            </w:pPr>
          </w:p>
        </w:tc>
        <w:tc>
          <w:tcPr>
            <w:tcW w:w="7780" w:type="dxa"/>
            <w:vAlign w:val="bottom"/>
            <w:tcBorders>
              <w:bottom w:val="single" w:sz="8" w:color="AFAFAF"/>
            </w:tcBorders>
          </w:tcPr>
          <w:p>
            <w:pPr>
              <w:spacing w:after="0"/>
              <w:rPr>
                <w:sz w:val="2"/>
                <w:szCs w:val="2"/>
                <w:color w:val="auto"/>
              </w:rPr>
            </w:pPr>
          </w:p>
        </w:tc>
      </w:tr>
      <w:tr>
        <w:trPr>
          <w:trHeight w:val="233"/>
        </w:trPr>
        <w:tc>
          <w:tcPr>
            <w:tcW w:w="31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HR Committee</w:t>
            </w:r>
          </w:p>
        </w:tc>
        <w:tc>
          <w:tcPr>
            <w:tcW w:w="7780" w:type="dxa"/>
            <w:vAlign w:val="bottom"/>
          </w:tcPr>
          <w:p>
            <w:pPr>
              <w:jc w:val="center"/>
              <w:ind w:left="108"/>
              <w:spacing w:after="0"/>
              <w:rPr>
                <w:sz w:val="20"/>
                <w:szCs w:val="20"/>
                <w:color w:val="auto"/>
              </w:rPr>
            </w:pPr>
            <w:r>
              <w:rPr>
                <w:rFonts w:ascii="Arial" w:cs="Arial" w:eastAsia="Arial" w:hAnsi="Arial"/>
                <w:sz w:val="14"/>
                <w:szCs w:val="14"/>
                <w:color w:val="auto"/>
              </w:rPr>
              <w:t>6</w:t>
            </w:r>
          </w:p>
        </w:tc>
      </w:tr>
      <w:tr>
        <w:trPr>
          <w:trHeight w:val="28"/>
        </w:trPr>
        <w:tc>
          <w:tcPr>
            <w:tcW w:w="3140" w:type="dxa"/>
            <w:vAlign w:val="bottom"/>
            <w:tcBorders>
              <w:bottom w:val="single" w:sz="8" w:color="AFAFAF"/>
              <w:right w:val="single" w:sz="8" w:color="AFAFAF"/>
            </w:tcBorders>
          </w:tcPr>
          <w:p>
            <w:pPr>
              <w:spacing w:after="0"/>
              <w:rPr>
                <w:sz w:val="2"/>
                <w:szCs w:val="2"/>
                <w:color w:val="auto"/>
              </w:rPr>
            </w:pPr>
          </w:p>
        </w:tc>
        <w:tc>
          <w:tcPr>
            <w:tcW w:w="7780" w:type="dxa"/>
            <w:vAlign w:val="bottom"/>
            <w:tcBorders>
              <w:bottom w:val="single" w:sz="8" w:color="AFAFAF"/>
            </w:tcBorders>
          </w:tcPr>
          <w:p>
            <w:pPr>
              <w:spacing w:after="0"/>
              <w:rPr>
                <w:sz w:val="2"/>
                <w:szCs w:val="2"/>
                <w:color w:val="auto"/>
              </w:rPr>
            </w:pPr>
          </w:p>
        </w:tc>
      </w:tr>
      <w:tr>
        <w:trPr>
          <w:trHeight w:val="233"/>
        </w:trPr>
        <w:tc>
          <w:tcPr>
            <w:tcW w:w="314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Risk Committee</w:t>
            </w:r>
          </w:p>
        </w:tc>
        <w:tc>
          <w:tcPr>
            <w:tcW w:w="7780" w:type="dxa"/>
            <w:vAlign w:val="bottom"/>
          </w:tcPr>
          <w:p>
            <w:pPr>
              <w:jc w:val="center"/>
              <w:ind w:left="108"/>
              <w:spacing w:after="0"/>
              <w:rPr>
                <w:sz w:val="20"/>
                <w:szCs w:val="20"/>
                <w:color w:val="auto"/>
              </w:rPr>
            </w:pPr>
            <w:r>
              <w:rPr>
                <w:rFonts w:ascii="Arial" w:cs="Arial" w:eastAsia="Arial" w:hAnsi="Arial"/>
                <w:sz w:val="14"/>
                <w:szCs w:val="14"/>
                <w:color w:val="auto"/>
              </w:rPr>
              <w:t>4</w:t>
            </w:r>
          </w:p>
        </w:tc>
      </w:tr>
      <w:tr>
        <w:trPr>
          <w:trHeight w:val="28"/>
        </w:trPr>
        <w:tc>
          <w:tcPr>
            <w:tcW w:w="3140" w:type="dxa"/>
            <w:vAlign w:val="bottom"/>
            <w:tcBorders>
              <w:bottom w:val="single" w:sz="8" w:color="B94831"/>
              <w:right w:val="single" w:sz="8" w:color="AFAFAF"/>
            </w:tcBorders>
          </w:tcPr>
          <w:p>
            <w:pPr>
              <w:spacing w:after="0"/>
              <w:rPr>
                <w:sz w:val="2"/>
                <w:szCs w:val="2"/>
                <w:color w:val="auto"/>
              </w:rPr>
            </w:pPr>
          </w:p>
        </w:tc>
        <w:tc>
          <w:tcPr>
            <w:tcW w:w="7780" w:type="dxa"/>
            <w:vAlign w:val="bottom"/>
            <w:tcBorders>
              <w:bottom w:val="single" w:sz="8" w:color="B94831"/>
            </w:tcBorders>
          </w:tcPr>
          <w:p>
            <w:pPr>
              <w:spacing w:after="0"/>
              <w:rPr>
                <w:sz w:val="2"/>
                <w:szCs w:val="2"/>
                <w:color w:val="auto"/>
              </w:rPr>
            </w:pPr>
          </w:p>
        </w:tc>
      </w:tr>
    </w:tbl>
    <w:p>
      <w:pPr>
        <w:spacing w:after="0" w:line="88" w:lineRule="exact"/>
        <w:rPr>
          <w:sz w:val="20"/>
          <w:szCs w:val="20"/>
          <w:color w:val="auto"/>
        </w:rPr>
      </w:pPr>
    </w:p>
    <w:p>
      <w:pPr>
        <w:jc w:val="both"/>
        <w:ind w:left="160" w:right="580"/>
        <w:spacing w:after="0" w:line="249" w:lineRule="auto"/>
        <w:rPr>
          <w:sz w:val="20"/>
          <w:szCs w:val="20"/>
          <w:color w:val="auto"/>
        </w:rPr>
      </w:pPr>
      <w:r>
        <w:rPr>
          <w:rFonts w:ascii="Arial" w:cs="Arial" w:eastAsia="Arial" w:hAnsi="Arial"/>
          <w:sz w:val="18"/>
          <w:szCs w:val="18"/>
          <w:color w:val="auto"/>
        </w:rPr>
        <w:t>Five of the Board’s nine meetings in 2023 were regularly scheduled. The Board also held four special meetings in 2023. Four of the Board’s regularly scheduled meetings were held in person and one was held virtually. All of the Board’s special meetings were held virtually.</w:t>
      </w:r>
    </w:p>
    <w:p>
      <w:pPr>
        <w:spacing w:after="0" w:line="65" w:lineRule="exact"/>
        <w:rPr>
          <w:sz w:val="20"/>
          <w:szCs w:val="20"/>
          <w:color w:val="auto"/>
        </w:rPr>
      </w:pPr>
    </w:p>
    <w:p>
      <w:pPr>
        <w:jc w:val="both"/>
        <w:ind w:left="160" w:right="400"/>
        <w:spacing w:after="0" w:line="243" w:lineRule="auto"/>
        <w:rPr>
          <w:sz w:val="20"/>
          <w:szCs w:val="20"/>
          <w:color w:val="auto"/>
        </w:rPr>
      </w:pPr>
      <w:r>
        <w:rPr>
          <w:rFonts w:ascii="Arial" w:cs="Arial" w:eastAsia="Arial" w:hAnsi="Arial"/>
          <w:sz w:val="18"/>
          <w:szCs w:val="18"/>
          <w:color w:val="auto"/>
        </w:rPr>
        <w:t>The following table sets forth the attendance of our directors at Board and committee meetings in 2023. In 2023, attendance for these individuals at all Board and committee meetings was approximately 93% and approximately 97%, respectively. All directors attended 100% of all regularly scheduled Board meetings. Any Board meetings that were missed were special meetings scheduled on reduced notice.</w:t>
      </w:r>
    </w:p>
    <w:p>
      <w:pPr>
        <w:spacing w:after="0" w:line="103"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940" w:type="dxa"/>
            <w:vAlign w:val="bottom"/>
            <w:shd w:val="clear" w:color="auto" w:fill="BFBFBF"/>
          </w:tcPr>
          <w:p>
            <w:pPr>
              <w:spacing w:after="0"/>
              <w:rPr>
                <w:sz w:val="15"/>
                <w:szCs w:val="15"/>
                <w:color w:val="auto"/>
              </w:rPr>
            </w:pPr>
          </w:p>
        </w:tc>
        <w:tc>
          <w:tcPr>
            <w:tcW w:w="660" w:type="dxa"/>
            <w:vAlign w:val="bottom"/>
            <w:shd w:val="clear" w:color="auto" w:fill="BFBFBF"/>
          </w:tcPr>
          <w:p>
            <w:pPr>
              <w:spacing w:after="0"/>
              <w:rPr>
                <w:sz w:val="15"/>
                <w:szCs w:val="15"/>
                <w:color w:val="auto"/>
              </w:rPr>
            </w:pPr>
          </w:p>
        </w:tc>
        <w:tc>
          <w:tcPr>
            <w:tcW w:w="940" w:type="dxa"/>
            <w:vAlign w:val="bottom"/>
            <w:shd w:val="clear" w:color="auto" w:fill="BFBFBF"/>
          </w:tcPr>
          <w:p>
            <w:pPr>
              <w:spacing w:after="0"/>
              <w:rPr>
                <w:sz w:val="15"/>
                <w:szCs w:val="15"/>
                <w:color w:val="auto"/>
              </w:rPr>
            </w:pPr>
          </w:p>
        </w:tc>
        <w:tc>
          <w:tcPr>
            <w:tcW w:w="940" w:type="dxa"/>
            <w:vAlign w:val="bottom"/>
            <w:shd w:val="clear" w:color="auto" w:fill="BFBFBF"/>
          </w:tcPr>
          <w:p>
            <w:pPr>
              <w:spacing w:after="0"/>
              <w:rPr>
                <w:sz w:val="15"/>
                <w:szCs w:val="15"/>
                <w:color w:val="auto"/>
              </w:rPr>
            </w:pPr>
          </w:p>
        </w:tc>
        <w:tc>
          <w:tcPr>
            <w:tcW w:w="1960" w:type="dxa"/>
            <w:vAlign w:val="bottom"/>
            <w:gridSpan w:val="2"/>
            <w:shd w:val="clear" w:color="auto" w:fill="BFBFBF"/>
          </w:tcPr>
          <w:p>
            <w:pPr>
              <w:jc w:val="center"/>
              <w:spacing w:after="0"/>
              <w:rPr>
                <w:sz w:val="20"/>
                <w:szCs w:val="20"/>
                <w:color w:val="auto"/>
              </w:rPr>
            </w:pPr>
            <w:r>
              <w:rPr>
                <w:rFonts w:ascii="Arial" w:cs="Arial" w:eastAsia="Arial" w:hAnsi="Arial"/>
                <w:sz w:val="14"/>
                <w:szCs w:val="14"/>
                <w:b w:val="1"/>
                <w:bCs w:val="1"/>
                <w:color w:val="auto"/>
              </w:rPr>
              <w:t>Meetings Attended</w:t>
            </w:r>
          </w:p>
        </w:tc>
        <w:tc>
          <w:tcPr>
            <w:tcW w:w="940" w:type="dxa"/>
            <w:vAlign w:val="bottom"/>
            <w:shd w:val="clear" w:color="auto" w:fill="BFBFBF"/>
          </w:tcPr>
          <w:p>
            <w:pPr>
              <w:spacing w:after="0"/>
              <w:rPr>
                <w:sz w:val="15"/>
                <w:szCs w:val="15"/>
                <w:color w:val="auto"/>
              </w:rPr>
            </w:pPr>
          </w:p>
        </w:tc>
        <w:tc>
          <w:tcPr>
            <w:tcW w:w="940" w:type="dxa"/>
            <w:vAlign w:val="bottom"/>
            <w:shd w:val="clear" w:color="auto" w:fill="BFBFBF"/>
          </w:tcPr>
          <w:p>
            <w:pPr>
              <w:spacing w:after="0"/>
              <w:rPr>
                <w:sz w:val="15"/>
                <w:szCs w:val="15"/>
                <w:color w:val="auto"/>
              </w:rPr>
            </w:pPr>
          </w:p>
        </w:tc>
        <w:tc>
          <w:tcPr>
            <w:tcW w:w="900" w:type="dxa"/>
            <w:vAlign w:val="bottom"/>
            <w:shd w:val="clear" w:color="auto" w:fill="BFBFBF"/>
          </w:tcPr>
          <w:p>
            <w:pPr>
              <w:spacing w:after="0"/>
              <w:rPr>
                <w:sz w:val="15"/>
                <w:szCs w:val="15"/>
                <w:color w:val="auto"/>
              </w:rPr>
            </w:pPr>
          </w:p>
        </w:tc>
        <w:tc>
          <w:tcPr>
            <w:tcW w:w="5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600" w:type="dxa"/>
            <w:vAlign w:val="bottom"/>
            <w:gridSpan w:val="2"/>
            <w:shd w:val="clear" w:color="auto" w:fill="BFBFBF"/>
          </w:tcPr>
          <w:p>
            <w:pPr>
              <w:ind w:left="600"/>
              <w:spacing w:after="0"/>
              <w:rPr>
                <w:sz w:val="20"/>
                <w:szCs w:val="20"/>
                <w:color w:val="auto"/>
              </w:rPr>
            </w:pPr>
            <w:r>
              <w:rPr>
                <w:rFonts w:ascii="Arial" w:cs="Arial" w:eastAsia="Arial" w:hAnsi="Arial"/>
                <w:sz w:val="14"/>
                <w:szCs w:val="14"/>
                <w:b w:val="1"/>
                <w:bCs w:val="1"/>
                <w:color w:val="auto"/>
              </w:rPr>
              <w:t>Board</w:t>
            </w:r>
          </w:p>
        </w:tc>
        <w:tc>
          <w:tcPr>
            <w:tcW w:w="940" w:type="dxa"/>
            <w:vAlign w:val="bottom"/>
            <w:shd w:val="clear" w:color="auto" w:fill="BFBFBF"/>
          </w:tcPr>
          <w:p>
            <w:pPr>
              <w:spacing w:after="0"/>
              <w:rPr>
                <w:sz w:val="15"/>
                <w:szCs w:val="15"/>
                <w:color w:val="auto"/>
              </w:rPr>
            </w:pPr>
          </w:p>
        </w:tc>
        <w:tc>
          <w:tcPr>
            <w:tcW w:w="940" w:type="dxa"/>
            <w:vAlign w:val="bottom"/>
            <w:shd w:val="clear" w:color="auto" w:fill="BFBFBF"/>
          </w:tcPr>
          <w:p>
            <w:pPr>
              <w:spacing w:after="0"/>
              <w:rPr>
                <w:sz w:val="15"/>
                <w:szCs w:val="15"/>
                <w:color w:val="auto"/>
              </w:rPr>
            </w:pPr>
          </w:p>
        </w:tc>
        <w:tc>
          <w:tcPr>
            <w:tcW w:w="1960" w:type="dxa"/>
            <w:vAlign w:val="bottom"/>
            <w:gridSpan w:val="2"/>
            <w:shd w:val="clear" w:color="auto" w:fill="BFBFBF"/>
          </w:tcPr>
          <w:p>
            <w:pPr>
              <w:jc w:val="center"/>
              <w:spacing w:after="0"/>
              <w:rPr>
                <w:sz w:val="20"/>
                <w:szCs w:val="20"/>
                <w:color w:val="auto"/>
              </w:rPr>
            </w:pPr>
            <w:r>
              <w:rPr>
                <w:rFonts w:ascii="Arial" w:cs="Arial" w:eastAsia="Arial" w:hAnsi="Arial"/>
                <w:sz w:val="14"/>
                <w:szCs w:val="14"/>
                <w:b w:val="1"/>
                <w:bCs w:val="1"/>
                <w:color w:val="auto"/>
              </w:rPr>
              <w:t>Committee</w:t>
            </w:r>
          </w:p>
        </w:tc>
        <w:tc>
          <w:tcPr>
            <w:tcW w:w="940" w:type="dxa"/>
            <w:vAlign w:val="bottom"/>
            <w:shd w:val="clear" w:color="auto" w:fill="BFBFBF"/>
          </w:tcPr>
          <w:p>
            <w:pPr>
              <w:spacing w:after="0"/>
              <w:rPr>
                <w:sz w:val="15"/>
                <w:szCs w:val="15"/>
                <w:color w:val="auto"/>
              </w:rPr>
            </w:pPr>
          </w:p>
        </w:tc>
        <w:tc>
          <w:tcPr>
            <w:tcW w:w="940" w:type="dxa"/>
            <w:vAlign w:val="bottom"/>
            <w:shd w:val="clear" w:color="auto" w:fill="BFBFBF"/>
          </w:tcPr>
          <w:p>
            <w:pPr>
              <w:spacing w:after="0"/>
              <w:rPr>
                <w:sz w:val="15"/>
                <w:szCs w:val="15"/>
                <w:color w:val="auto"/>
              </w:rPr>
            </w:pPr>
          </w:p>
        </w:tc>
        <w:tc>
          <w:tcPr>
            <w:tcW w:w="900" w:type="dxa"/>
            <w:vAlign w:val="bottom"/>
            <w:shd w:val="clear" w:color="auto" w:fill="BFBFBF"/>
          </w:tcPr>
          <w:p>
            <w:pPr>
              <w:ind w:left="56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80" w:type="dxa"/>
            <w:vAlign w:val="bottom"/>
            <w:shd w:val="clear" w:color="auto" w:fill="262626"/>
          </w:tcPr>
          <w:p>
            <w:pPr>
              <w:spacing w:after="0"/>
              <w:rPr>
                <w:sz w:val="14"/>
                <w:szCs w:val="14"/>
                <w:color w:val="auto"/>
              </w:rPr>
            </w:pPr>
          </w:p>
        </w:tc>
        <w:tc>
          <w:tcPr>
            <w:tcW w:w="940" w:type="dxa"/>
            <w:vAlign w:val="bottom"/>
            <w:shd w:val="clear" w:color="auto" w:fill="262626"/>
          </w:tcPr>
          <w:p>
            <w:pPr>
              <w:spacing w:after="0"/>
              <w:rPr>
                <w:sz w:val="14"/>
                <w:szCs w:val="14"/>
                <w:color w:val="auto"/>
              </w:rPr>
            </w:pPr>
          </w:p>
        </w:tc>
        <w:tc>
          <w:tcPr>
            <w:tcW w:w="660" w:type="dxa"/>
            <w:vAlign w:val="bottom"/>
            <w:shd w:val="clear" w:color="auto" w:fill="262626"/>
          </w:tcPr>
          <w:p>
            <w:pPr>
              <w:spacing w:after="0"/>
              <w:rPr>
                <w:sz w:val="14"/>
                <w:szCs w:val="14"/>
                <w:color w:val="auto"/>
              </w:rPr>
            </w:pPr>
          </w:p>
        </w:tc>
        <w:tc>
          <w:tcPr>
            <w:tcW w:w="940" w:type="dxa"/>
            <w:vAlign w:val="bottom"/>
            <w:shd w:val="clear" w:color="auto" w:fill="262626"/>
          </w:tcPr>
          <w:p>
            <w:pPr>
              <w:spacing w:after="0"/>
              <w:rPr>
                <w:sz w:val="14"/>
                <w:szCs w:val="14"/>
                <w:color w:val="auto"/>
              </w:rPr>
            </w:pPr>
          </w:p>
        </w:tc>
        <w:tc>
          <w:tcPr>
            <w:tcW w:w="940" w:type="dxa"/>
            <w:vAlign w:val="bottom"/>
            <w:shd w:val="clear" w:color="auto" w:fill="262626"/>
          </w:tcPr>
          <w:p>
            <w:pPr>
              <w:spacing w:after="0"/>
              <w:rPr>
                <w:sz w:val="14"/>
                <w:szCs w:val="14"/>
                <w:color w:val="auto"/>
              </w:rPr>
            </w:pPr>
          </w:p>
        </w:tc>
        <w:tc>
          <w:tcPr>
            <w:tcW w:w="1020" w:type="dxa"/>
            <w:vAlign w:val="bottom"/>
            <w:shd w:val="clear" w:color="auto" w:fill="262626"/>
          </w:tcPr>
          <w:p>
            <w:pPr>
              <w:jc w:val="center"/>
              <w:spacing w:after="0" w:line="170" w:lineRule="exact"/>
              <w:rPr>
                <w:sz w:val="20"/>
                <w:szCs w:val="20"/>
                <w:color w:val="auto"/>
              </w:rPr>
            </w:pPr>
            <w:r>
              <w:rPr>
                <w:rFonts w:ascii="Arial" w:cs="Arial" w:eastAsia="Arial" w:hAnsi="Arial"/>
                <w:sz w:val="15"/>
                <w:szCs w:val="15"/>
                <w:b w:val="1"/>
                <w:bCs w:val="1"/>
                <w:color w:val="FFFFFF"/>
              </w:rPr>
              <w:t>Corp.</w:t>
            </w:r>
          </w:p>
        </w:tc>
        <w:tc>
          <w:tcPr>
            <w:tcW w:w="940" w:type="dxa"/>
            <w:vAlign w:val="bottom"/>
            <w:shd w:val="clear" w:color="auto" w:fill="262626"/>
          </w:tcPr>
          <w:p>
            <w:pPr>
              <w:spacing w:after="0"/>
              <w:rPr>
                <w:sz w:val="14"/>
                <w:szCs w:val="14"/>
                <w:color w:val="auto"/>
              </w:rPr>
            </w:pPr>
          </w:p>
        </w:tc>
        <w:tc>
          <w:tcPr>
            <w:tcW w:w="940" w:type="dxa"/>
            <w:vAlign w:val="bottom"/>
            <w:shd w:val="clear" w:color="auto" w:fill="262626"/>
          </w:tcPr>
          <w:p>
            <w:pPr>
              <w:spacing w:after="0"/>
              <w:rPr>
                <w:sz w:val="14"/>
                <w:szCs w:val="14"/>
                <w:color w:val="auto"/>
              </w:rPr>
            </w:pPr>
          </w:p>
        </w:tc>
        <w:tc>
          <w:tcPr>
            <w:tcW w:w="940" w:type="dxa"/>
            <w:vAlign w:val="bottom"/>
            <w:shd w:val="clear" w:color="auto" w:fill="262626"/>
          </w:tcPr>
          <w:p>
            <w:pPr>
              <w:spacing w:after="0"/>
              <w:rPr>
                <w:sz w:val="14"/>
                <w:szCs w:val="14"/>
                <w:color w:val="auto"/>
              </w:rPr>
            </w:pPr>
          </w:p>
        </w:tc>
        <w:tc>
          <w:tcPr>
            <w:tcW w:w="900" w:type="dxa"/>
            <w:vAlign w:val="bottom"/>
            <w:shd w:val="clear" w:color="auto" w:fill="262626"/>
          </w:tcPr>
          <w:p>
            <w:pPr>
              <w:spacing w:after="0"/>
              <w:rPr>
                <w:sz w:val="14"/>
                <w:szCs w:val="14"/>
                <w:color w:val="auto"/>
              </w:rPr>
            </w:pPr>
          </w:p>
        </w:tc>
        <w:tc>
          <w:tcPr>
            <w:tcW w:w="520" w:type="dxa"/>
            <w:vAlign w:val="bottom"/>
            <w:shd w:val="clear" w:color="auto" w:fill="26262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80" w:type="dxa"/>
            <w:vAlign w:val="bottom"/>
            <w:vMerge w:val="restart"/>
            <w:shd w:val="clear" w:color="auto" w:fill="262626"/>
          </w:tcPr>
          <w:p>
            <w:pPr>
              <w:spacing w:after="0"/>
              <w:rPr>
                <w:sz w:val="20"/>
                <w:szCs w:val="20"/>
                <w:color w:val="auto"/>
              </w:rPr>
            </w:pPr>
            <w:r>
              <w:rPr>
                <w:rFonts w:ascii="Arial" w:cs="Arial" w:eastAsia="Arial" w:hAnsi="Arial"/>
                <w:sz w:val="15"/>
                <w:szCs w:val="15"/>
                <w:b w:val="1"/>
                <w:bCs w:val="1"/>
                <w:color w:val="FFFFFF"/>
              </w:rPr>
              <w:t>Director</w:t>
            </w:r>
          </w:p>
        </w:tc>
        <w:tc>
          <w:tcPr>
            <w:tcW w:w="94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rPr>
              <w:t>Regularly</w:t>
            </w:r>
          </w:p>
        </w:tc>
        <w:tc>
          <w:tcPr>
            <w:tcW w:w="660" w:type="dxa"/>
            <w:vAlign w:val="bottom"/>
            <w:vMerge w:val="restart"/>
            <w:shd w:val="clear" w:color="auto" w:fill="262626"/>
          </w:tcPr>
          <w:p>
            <w:pPr>
              <w:jc w:val="center"/>
              <w:spacing w:after="0"/>
              <w:rPr>
                <w:sz w:val="20"/>
                <w:szCs w:val="20"/>
                <w:color w:val="auto"/>
              </w:rPr>
            </w:pPr>
            <w:r>
              <w:rPr>
                <w:rFonts w:ascii="Arial" w:cs="Arial" w:eastAsia="Arial" w:hAnsi="Arial"/>
                <w:sz w:val="15"/>
                <w:szCs w:val="15"/>
                <w:b w:val="1"/>
                <w:bCs w:val="1"/>
                <w:color w:val="FFFFFF"/>
              </w:rPr>
              <w:t>Special</w:t>
            </w:r>
          </w:p>
        </w:tc>
        <w:tc>
          <w:tcPr>
            <w:tcW w:w="94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rPr>
              <w:t>% Board</w:t>
            </w:r>
          </w:p>
        </w:tc>
        <w:tc>
          <w:tcPr>
            <w:tcW w:w="94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w w:val="99"/>
              </w:rPr>
              <w:t>Audit</w:t>
            </w:r>
          </w:p>
        </w:tc>
        <w:tc>
          <w:tcPr>
            <w:tcW w:w="102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rPr>
              <w:t>Governance</w:t>
            </w:r>
          </w:p>
        </w:tc>
        <w:tc>
          <w:tcPr>
            <w:tcW w:w="94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rPr>
              <w:t>HR</w:t>
            </w:r>
          </w:p>
        </w:tc>
        <w:tc>
          <w:tcPr>
            <w:tcW w:w="94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rPr>
              <w:t>Risk</w:t>
            </w:r>
          </w:p>
        </w:tc>
        <w:tc>
          <w:tcPr>
            <w:tcW w:w="940" w:type="dxa"/>
            <w:vAlign w:val="bottom"/>
            <w:shd w:val="clear" w:color="auto" w:fill="262626"/>
          </w:tcPr>
          <w:p>
            <w:pPr>
              <w:jc w:val="center"/>
              <w:spacing w:after="0" w:line="164" w:lineRule="exact"/>
              <w:rPr>
                <w:sz w:val="20"/>
                <w:szCs w:val="20"/>
                <w:color w:val="auto"/>
              </w:rPr>
            </w:pPr>
            <w:r>
              <w:rPr>
                <w:rFonts w:ascii="Arial" w:cs="Arial" w:eastAsia="Arial" w:hAnsi="Arial"/>
                <w:sz w:val="15"/>
                <w:szCs w:val="15"/>
                <w:b w:val="1"/>
                <w:bCs w:val="1"/>
                <w:color w:val="FFFFFF"/>
              </w:rPr>
              <w:t>Committee</w:t>
            </w:r>
          </w:p>
        </w:tc>
        <w:tc>
          <w:tcPr>
            <w:tcW w:w="900" w:type="dxa"/>
            <w:vAlign w:val="bottom"/>
            <w:shd w:val="clear" w:color="auto" w:fill="262626"/>
          </w:tcPr>
          <w:p>
            <w:pPr>
              <w:jc w:val="center"/>
              <w:ind w:right="8"/>
              <w:spacing w:after="0" w:line="164" w:lineRule="exact"/>
              <w:rPr>
                <w:sz w:val="20"/>
                <w:szCs w:val="20"/>
                <w:color w:val="auto"/>
              </w:rPr>
            </w:pPr>
            <w:r>
              <w:rPr>
                <w:rFonts w:ascii="Arial" w:cs="Arial" w:eastAsia="Arial" w:hAnsi="Arial"/>
                <w:sz w:val="15"/>
                <w:szCs w:val="15"/>
                <w:b w:val="1"/>
                <w:bCs w:val="1"/>
                <w:color w:val="FFFFFF"/>
                <w:w w:val="94"/>
              </w:rPr>
              <w:t>Total</w:t>
            </w:r>
          </w:p>
        </w:tc>
        <w:tc>
          <w:tcPr>
            <w:tcW w:w="520" w:type="dxa"/>
            <w:vAlign w:val="bottom"/>
            <w:vMerge w:val="restart"/>
            <w:shd w:val="clear" w:color="auto" w:fill="262626"/>
          </w:tcPr>
          <w:p>
            <w:pPr>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1"/>
        </w:trPr>
        <w:tc>
          <w:tcPr>
            <w:tcW w:w="2180" w:type="dxa"/>
            <w:vAlign w:val="bottom"/>
            <w:vMerge w:val="continue"/>
            <w:shd w:val="clear" w:color="auto" w:fill="262626"/>
          </w:tcPr>
          <w:p>
            <w:pPr>
              <w:spacing w:after="0"/>
              <w:rPr>
                <w:sz w:val="17"/>
                <w:szCs w:val="17"/>
                <w:color w:val="auto"/>
              </w:rPr>
            </w:pPr>
          </w:p>
        </w:tc>
        <w:tc>
          <w:tcPr>
            <w:tcW w:w="94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Scheduled</w:t>
            </w:r>
          </w:p>
        </w:tc>
        <w:tc>
          <w:tcPr>
            <w:tcW w:w="660" w:type="dxa"/>
            <w:vAlign w:val="bottom"/>
            <w:vMerge w:val="continue"/>
            <w:shd w:val="clear" w:color="auto" w:fill="262626"/>
          </w:tcPr>
          <w:p>
            <w:pPr>
              <w:spacing w:after="0"/>
              <w:rPr>
                <w:sz w:val="17"/>
                <w:szCs w:val="17"/>
                <w:color w:val="auto"/>
              </w:rPr>
            </w:pPr>
          </w:p>
        </w:tc>
        <w:tc>
          <w:tcPr>
            <w:tcW w:w="94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Attendance</w:t>
            </w:r>
          </w:p>
        </w:tc>
        <w:tc>
          <w:tcPr>
            <w:tcW w:w="94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Committee</w:t>
            </w:r>
          </w:p>
        </w:tc>
        <w:tc>
          <w:tcPr>
            <w:tcW w:w="102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Committee</w:t>
            </w:r>
          </w:p>
        </w:tc>
        <w:tc>
          <w:tcPr>
            <w:tcW w:w="94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Committee</w:t>
            </w:r>
          </w:p>
        </w:tc>
        <w:tc>
          <w:tcPr>
            <w:tcW w:w="94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Committee</w:t>
            </w:r>
          </w:p>
        </w:tc>
        <w:tc>
          <w:tcPr>
            <w:tcW w:w="94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w w:val="94"/>
              </w:rPr>
              <w:t>Total</w:t>
            </w:r>
          </w:p>
        </w:tc>
        <w:tc>
          <w:tcPr>
            <w:tcW w:w="900" w:type="dxa"/>
            <w:vAlign w:val="bottom"/>
            <w:shd w:val="clear" w:color="auto" w:fill="262626"/>
          </w:tcPr>
          <w:p>
            <w:pPr>
              <w:jc w:val="center"/>
              <w:ind w:right="8"/>
              <w:spacing w:after="0"/>
              <w:rPr>
                <w:sz w:val="20"/>
                <w:szCs w:val="20"/>
                <w:color w:val="auto"/>
              </w:rPr>
            </w:pPr>
            <w:r>
              <w:rPr>
                <w:rFonts w:ascii="Arial" w:cs="Arial" w:eastAsia="Arial" w:hAnsi="Arial"/>
                <w:sz w:val="15"/>
                <w:szCs w:val="15"/>
                <w:b w:val="1"/>
                <w:bCs w:val="1"/>
                <w:color w:val="FFFFFF"/>
              </w:rPr>
              <w:t>Meetings</w:t>
            </w:r>
          </w:p>
        </w:tc>
        <w:tc>
          <w:tcPr>
            <w:tcW w:w="520" w:type="dxa"/>
            <w:vAlign w:val="bottom"/>
            <w:vMerge w:val="continue"/>
            <w:shd w:val="clear" w:color="auto" w:fill="262626"/>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David Thomson</w:t>
            </w:r>
          </w:p>
        </w:tc>
        <w:tc>
          <w:tcPr>
            <w:tcW w:w="94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100%</w:t>
            </w:r>
          </w:p>
        </w:tc>
        <w:tc>
          <w:tcPr>
            <w:tcW w:w="94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FAFAF"/>
            </w:tcBorders>
          </w:tcPr>
          <w:p>
            <w:pPr>
              <w:jc w:val="center"/>
              <w:ind w:right="8"/>
              <w:spacing w:after="0"/>
              <w:rPr>
                <w:sz w:val="20"/>
                <w:szCs w:val="20"/>
                <w:color w:val="auto"/>
              </w:rPr>
            </w:pPr>
            <w:r>
              <w:rPr>
                <w:rFonts w:ascii="Arial" w:cs="Arial" w:eastAsia="Arial" w:hAnsi="Arial"/>
                <w:sz w:val="14"/>
                <w:szCs w:val="14"/>
                <w:color w:val="auto"/>
                <w:w w:val="96"/>
              </w:rPr>
              <w:t>9 of 9</w:t>
            </w:r>
          </w:p>
        </w:tc>
        <w:tc>
          <w:tcPr>
            <w:tcW w:w="52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Steve Hasker</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6"/>
              </w:rPr>
              <w:t>9 of 9</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Kirk Arnold</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5 of 5</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6</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15 of 15</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24 of 24</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W. Edmund Clark, C.M.</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3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89%</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5</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6</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10 of 11</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18 of 20</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90%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Laverne Council</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7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11 of 11</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20 of 20</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Michael E. Daniels</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3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89%</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5 of 5</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6</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21 of 22</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29 of 31</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94%</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Kirk Koenigsbauer</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3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89%</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6</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10 of 10</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18 of 19</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95%</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Deanna Oppenheimer</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3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89%</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7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5 of 5</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12 of 12</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20 of 21</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95%</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Simon Paris</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3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89%</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7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5 of 5</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16 of 16</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24 of 25</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96%</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Kim M. Rivera</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2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78%</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10 of 11</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17 of 20</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85%</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Barry Salzberg</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7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5 of 5</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16 of 16</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25 of 25</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Peter J. Thomson</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6</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6 of 6</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15 of 15</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Beth Wilson</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5 of 5</w:t>
            </w:r>
          </w:p>
        </w:tc>
        <w:tc>
          <w:tcPr>
            <w:tcW w:w="66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2 of 4</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78%</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7</w:t>
            </w:r>
          </w:p>
        </w:tc>
        <w:tc>
          <w:tcPr>
            <w:tcW w:w="10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6"/>
              </w:rPr>
              <w:t>6 of 6</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8"/>
              </w:rPr>
              <w:t>12 of 13</w:t>
            </w:r>
          </w:p>
        </w:tc>
        <w:tc>
          <w:tcPr>
            <w:tcW w:w="900" w:type="dxa"/>
            <w:vAlign w:val="bottom"/>
            <w:tcBorders>
              <w:bottom w:val="single" w:sz="8" w:color="AFAFAF"/>
            </w:tcBorders>
          </w:tcPr>
          <w:p>
            <w:pPr>
              <w:jc w:val="center"/>
              <w:ind w:right="8"/>
              <w:spacing w:after="0" w:line="154" w:lineRule="exact"/>
              <w:rPr>
                <w:sz w:val="20"/>
                <w:szCs w:val="20"/>
                <w:color w:val="auto"/>
              </w:rPr>
            </w:pPr>
            <w:r>
              <w:rPr>
                <w:rFonts w:ascii="Arial" w:cs="Arial" w:eastAsia="Arial" w:hAnsi="Arial"/>
                <w:sz w:val="14"/>
                <w:szCs w:val="14"/>
                <w:color w:val="auto"/>
                <w:w w:val="98"/>
              </w:rPr>
              <w:t>19 of 22</w:t>
            </w:r>
          </w:p>
        </w:tc>
        <w:tc>
          <w:tcPr>
            <w:tcW w:w="520" w:type="dxa"/>
            <w:vAlign w:val="bottom"/>
            <w:tcBorders>
              <w:bottom w:val="single" w:sz="8" w:color="AFAFAF"/>
            </w:tcBorders>
          </w:tcPr>
          <w:p>
            <w:pPr>
              <w:jc w:val="center"/>
              <w:spacing w:after="0" w:line="154" w:lineRule="exact"/>
              <w:rPr>
                <w:sz w:val="20"/>
                <w:szCs w:val="20"/>
                <w:color w:val="auto"/>
              </w:rPr>
            </w:pPr>
            <w:r>
              <w:rPr>
                <w:rFonts w:ascii="Arial" w:cs="Arial" w:eastAsia="Arial" w:hAnsi="Arial"/>
                <w:sz w:val="14"/>
                <w:szCs w:val="14"/>
                <w:color w:val="auto"/>
                <w:w w:val="99"/>
              </w:rPr>
              <w:t>86%</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Former Directors</w:t>
            </w:r>
          </w:p>
        </w:tc>
        <w:tc>
          <w:tcPr>
            <w:tcW w:w="940" w:type="dxa"/>
            <w:vAlign w:val="bottom"/>
            <w:tcBorders>
              <w:bottom w:val="single" w:sz="8" w:color="AFAFAF"/>
            </w:tcBorders>
          </w:tcPr>
          <w:p>
            <w:pPr>
              <w:spacing w:after="0"/>
              <w:rPr>
                <w:sz w:val="13"/>
                <w:szCs w:val="13"/>
                <w:color w:val="auto"/>
              </w:rPr>
            </w:pPr>
          </w:p>
        </w:tc>
        <w:tc>
          <w:tcPr>
            <w:tcW w:w="66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102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40" w:type="dxa"/>
            <w:vAlign w:val="bottom"/>
            <w:tcBorders>
              <w:bottom w:val="single" w:sz="8" w:color="AFAFAF"/>
            </w:tcBorders>
          </w:tcPr>
          <w:p>
            <w:pPr>
              <w:spacing w:after="0"/>
              <w:rPr>
                <w:sz w:val="13"/>
                <w:szCs w:val="13"/>
                <w:color w:val="auto"/>
              </w:rPr>
            </w:pPr>
          </w:p>
        </w:tc>
        <w:tc>
          <w:tcPr>
            <w:tcW w:w="900" w:type="dxa"/>
            <w:vAlign w:val="bottom"/>
            <w:tcBorders>
              <w:bottom w:val="single" w:sz="8" w:color="AFAFAF"/>
            </w:tcBorders>
          </w:tcPr>
          <w:p>
            <w:pPr>
              <w:spacing w:after="0"/>
              <w:rPr>
                <w:sz w:val="13"/>
                <w:szCs w:val="13"/>
                <w:color w:val="auto"/>
              </w:rPr>
            </w:pPr>
          </w:p>
        </w:tc>
        <w:tc>
          <w:tcPr>
            <w:tcW w:w="520" w:type="dxa"/>
            <w:vAlign w:val="bottom"/>
            <w:tcBorders>
              <w:bottom w:val="single" w:sz="8" w:color="AFAFA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B94831"/>
            </w:tcBorders>
          </w:tcPr>
          <w:p>
            <w:pPr>
              <w:spacing w:after="0" w:line="154" w:lineRule="exact"/>
              <w:rPr>
                <w:sz w:val="20"/>
                <w:szCs w:val="20"/>
                <w:color w:val="auto"/>
              </w:rPr>
            </w:pPr>
            <w:r>
              <w:rPr>
                <w:rFonts w:ascii="Arial" w:cs="Arial" w:eastAsia="Arial" w:hAnsi="Arial"/>
                <w:sz w:val="14"/>
                <w:szCs w:val="14"/>
                <w:b w:val="1"/>
                <w:bCs w:val="1"/>
                <w:color w:val="auto"/>
              </w:rPr>
              <w:t>David W. Binet</w:t>
            </w:r>
          </w:p>
        </w:tc>
        <w:tc>
          <w:tcPr>
            <w:tcW w:w="94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w w:val="96"/>
              </w:rPr>
              <w:t>3 of 3</w:t>
            </w:r>
          </w:p>
        </w:tc>
        <w:tc>
          <w:tcPr>
            <w:tcW w:w="66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rPr>
              <w:t>4 of 4</w:t>
            </w:r>
          </w:p>
        </w:tc>
        <w:tc>
          <w:tcPr>
            <w:tcW w:w="94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94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rPr>
              <w:t>3 of 3</w:t>
            </w:r>
          </w:p>
        </w:tc>
        <w:tc>
          <w:tcPr>
            <w:tcW w:w="94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w w:val="96"/>
              </w:rPr>
              <w:t>4 of 4</w:t>
            </w:r>
          </w:p>
        </w:tc>
        <w:tc>
          <w:tcPr>
            <w:tcW w:w="94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rPr>
              <w:t>2 of 2</w:t>
            </w:r>
          </w:p>
        </w:tc>
        <w:tc>
          <w:tcPr>
            <w:tcW w:w="94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rPr>
              <w:t>9 of 9</w:t>
            </w:r>
          </w:p>
        </w:tc>
        <w:tc>
          <w:tcPr>
            <w:tcW w:w="900" w:type="dxa"/>
            <w:vAlign w:val="bottom"/>
            <w:tcBorders>
              <w:bottom w:val="single" w:sz="8" w:color="B94831"/>
            </w:tcBorders>
          </w:tcPr>
          <w:p>
            <w:pPr>
              <w:jc w:val="center"/>
              <w:ind w:right="8"/>
              <w:spacing w:after="0" w:line="154" w:lineRule="exact"/>
              <w:rPr>
                <w:sz w:val="20"/>
                <w:szCs w:val="20"/>
                <w:color w:val="auto"/>
              </w:rPr>
            </w:pPr>
            <w:r>
              <w:rPr>
                <w:rFonts w:ascii="Arial" w:cs="Arial" w:eastAsia="Arial" w:hAnsi="Arial"/>
                <w:sz w:val="14"/>
                <w:szCs w:val="14"/>
                <w:color w:val="auto"/>
                <w:w w:val="98"/>
              </w:rPr>
              <w:t>16 of 16</w:t>
            </w:r>
          </w:p>
        </w:tc>
        <w:tc>
          <w:tcPr>
            <w:tcW w:w="520" w:type="dxa"/>
            <w:vAlign w:val="bottom"/>
            <w:tcBorders>
              <w:bottom w:val="single" w:sz="8" w:color="B94831"/>
            </w:tcBorders>
          </w:tcPr>
          <w:p>
            <w:pPr>
              <w:jc w:val="center"/>
              <w:spacing w:after="0" w:line="154"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7"/>
        </w:trPr>
        <w:tc>
          <w:tcPr>
            <w:tcW w:w="2180" w:type="dxa"/>
            <w:vAlign w:val="bottom"/>
            <w:tcBorders>
              <w:bottom w:val="single" w:sz="8" w:color="B94831"/>
            </w:tcBorders>
          </w:tcPr>
          <w:p>
            <w:pPr>
              <w:spacing w:after="0"/>
              <w:rPr>
                <w:sz w:val="19"/>
                <w:szCs w:val="19"/>
                <w:color w:val="auto"/>
              </w:rPr>
            </w:pPr>
          </w:p>
        </w:tc>
        <w:tc>
          <w:tcPr>
            <w:tcW w:w="940" w:type="dxa"/>
            <w:vAlign w:val="bottom"/>
            <w:tcBorders>
              <w:bottom w:val="single" w:sz="8" w:color="B94831"/>
            </w:tcBorders>
          </w:tcPr>
          <w:p>
            <w:pPr>
              <w:spacing w:after="0"/>
              <w:rPr>
                <w:sz w:val="19"/>
                <w:szCs w:val="19"/>
                <w:color w:val="auto"/>
              </w:rPr>
            </w:pPr>
          </w:p>
        </w:tc>
        <w:tc>
          <w:tcPr>
            <w:tcW w:w="660" w:type="dxa"/>
            <w:vAlign w:val="bottom"/>
            <w:tcBorders>
              <w:bottom w:val="single" w:sz="8" w:color="B94831"/>
            </w:tcBorders>
          </w:tcPr>
          <w:p>
            <w:pPr>
              <w:spacing w:after="0"/>
              <w:rPr>
                <w:sz w:val="19"/>
                <w:szCs w:val="19"/>
                <w:color w:val="auto"/>
              </w:rPr>
            </w:pPr>
          </w:p>
        </w:tc>
        <w:tc>
          <w:tcPr>
            <w:tcW w:w="940" w:type="dxa"/>
            <w:vAlign w:val="bottom"/>
            <w:tcBorders>
              <w:bottom w:val="single" w:sz="8" w:color="B94831"/>
            </w:tcBorders>
          </w:tcPr>
          <w:p>
            <w:pPr>
              <w:spacing w:after="0"/>
              <w:rPr>
                <w:sz w:val="19"/>
                <w:szCs w:val="19"/>
                <w:color w:val="auto"/>
              </w:rPr>
            </w:pPr>
          </w:p>
        </w:tc>
        <w:tc>
          <w:tcPr>
            <w:tcW w:w="940" w:type="dxa"/>
            <w:vAlign w:val="bottom"/>
            <w:tcBorders>
              <w:bottom w:val="single" w:sz="8" w:color="B94831"/>
            </w:tcBorders>
          </w:tcPr>
          <w:p>
            <w:pPr>
              <w:spacing w:after="0"/>
              <w:rPr>
                <w:sz w:val="19"/>
                <w:szCs w:val="19"/>
                <w:color w:val="auto"/>
              </w:rPr>
            </w:pPr>
          </w:p>
        </w:tc>
        <w:tc>
          <w:tcPr>
            <w:tcW w:w="4740" w:type="dxa"/>
            <w:vAlign w:val="bottom"/>
            <w:tcBorders>
              <w:bottom w:val="single" w:sz="8" w:color="B94831"/>
            </w:tcBorders>
            <w:gridSpan w:val="5"/>
          </w:tcPr>
          <w:p>
            <w:pPr>
              <w:spacing w:after="0"/>
              <w:rPr>
                <w:sz w:val="19"/>
                <w:szCs w:val="19"/>
                <w:color w:val="auto"/>
              </w:rPr>
            </w:pPr>
          </w:p>
        </w:tc>
        <w:tc>
          <w:tcPr>
            <w:tcW w:w="520" w:type="dxa"/>
            <w:vAlign w:val="bottom"/>
            <w:tcBorders>
              <w:bottom w:val="single" w:sz="8" w:color="B94831"/>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740" w:type="dxa"/>
            <w:vAlign w:val="bottom"/>
            <w:gridSpan w:val="5"/>
          </w:tcPr>
          <w:p>
            <w:pPr>
              <w:jc w:val="center"/>
              <w:ind w:left="48"/>
              <w:spacing w:after="0"/>
              <w:rPr>
                <w:sz w:val="20"/>
                <w:szCs w:val="20"/>
                <w:color w:val="auto"/>
              </w:rPr>
            </w:pPr>
            <w:r>
              <w:rPr>
                <w:rFonts w:ascii="Arial" w:cs="Arial" w:eastAsia="Arial" w:hAnsi="Arial"/>
                <w:sz w:val="13"/>
                <w:szCs w:val="13"/>
                <w:color w:val="auto"/>
              </w:rPr>
              <w:t>Management Proxy Circular and Notice of Annual Meeting of Shareholders </w:t>
            </w:r>
          </w:p>
        </w:tc>
        <w:tc>
          <w:tcPr>
            <w:tcW w:w="520" w:type="dxa"/>
            <w:vAlign w:val="bottom"/>
          </w:tcPr>
          <w:p>
            <w:pPr>
              <w:ind w:left="20"/>
              <w:spacing w:after="0"/>
              <w:rPr>
                <w:sz w:val="20"/>
                <w:szCs w:val="20"/>
                <w:color w:val="auto"/>
              </w:rPr>
            </w:pPr>
            <w:r>
              <w:rPr>
                <w:rFonts w:ascii="Arial" w:cs="Arial" w:eastAsia="Arial" w:hAnsi="Arial"/>
                <w:sz w:val="13"/>
                <w:szCs w:val="13"/>
                <w:color w:val="auto"/>
                <w:w w:val="99"/>
              </w:rPr>
              <w:t>Page 37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Controlled Company</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company is a “controlled company” as a result of Woodbridge’s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38010" cy="29127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38010" cy="2912745"/>
                    </a:xfrm>
                    <a:prstGeom prst="rect">
                      <a:avLst/>
                    </a:prstGeom>
                    <a:noFill/>
                  </pic:spPr>
                </pic:pic>
              </a:graphicData>
            </a:graphic>
          </wp:anchor>
        </w:drawing>
      </w:r>
    </w:p>
    <w:p>
      <w:pPr>
        <w:spacing w:after="0" w:line="157" w:lineRule="exact"/>
        <w:rPr>
          <w:sz w:val="20"/>
          <w:szCs w:val="20"/>
          <w:color w:val="auto"/>
        </w:rPr>
      </w:pPr>
    </w:p>
    <w:p>
      <w:pPr>
        <w:ind w:left="320" w:right="440"/>
        <w:spacing w:after="0" w:line="265" w:lineRule="auto"/>
        <w:rPr>
          <w:sz w:val="20"/>
          <w:szCs w:val="20"/>
          <w:color w:val="auto"/>
        </w:rPr>
      </w:pPr>
      <w:r>
        <w:rPr>
          <w:rFonts w:ascii="Arial" w:cs="Arial" w:eastAsia="Arial" w:hAnsi="Arial"/>
          <w:sz w:val="18"/>
          <w:szCs w:val="18"/>
          <w:color w:val="auto"/>
        </w:rPr>
        <w:t>Thomson Reuters’ corporate governance practices include the following, which we believe are best practices for a Canadian public company with a controlling shareholder:</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 No members of the day-to-day Thomson Reuters executive leadership team are related to, or otherwise affiliated with, Woodbridge.</w:t>
      </w:r>
    </w:p>
    <w:p>
      <w:pPr>
        <w:spacing w:after="0" w:line="74" w:lineRule="exact"/>
        <w:rPr>
          <w:sz w:val="20"/>
          <w:szCs w:val="20"/>
          <w:color w:val="auto"/>
        </w:rPr>
      </w:pPr>
    </w:p>
    <w:p>
      <w:pPr>
        <w:ind w:left="540" w:right="320" w:hanging="213"/>
        <w:spacing w:after="0" w:line="265"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 Woodbridge beneficially owns common shares that have one vote per share. Thomson Reuters has not issued a separate class of shares to Woodbridge with super-voting rights.</w:t>
      </w:r>
    </w:p>
    <w:p>
      <w:pPr>
        <w:spacing w:after="0" w:line="24" w:lineRule="exact"/>
        <w:rPr>
          <w:sz w:val="20"/>
          <w:szCs w:val="20"/>
          <w:color w:val="auto"/>
        </w:rPr>
      </w:pPr>
    </w:p>
    <w:p>
      <w:pPr>
        <w:ind w:left="540" w:right="300" w:hanging="213"/>
        <w:spacing w:after="0" w:line="243"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 The Thomson Reuters Board of Directors is comprised of a majority of independent directors and the number of directors affiliated with Woodbridge is lower than the proportion of common shares controlled by it. Woodbridge’s beneficial ownership as of April 19, 2024 was approximately 69% of our common shares and its representatives on the Thomson Reuters Board will comprise approximately 23% of our directors if all 13 director nominees are elected at the meeting.</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 As David Thomson is the Chairman of the Board, we have a separate Lead Independent Director.</w:t>
      </w:r>
    </w:p>
    <w:p>
      <w:pPr>
        <w:spacing w:after="0" w:line="74" w:lineRule="exact"/>
        <w:rPr>
          <w:sz w:val="20"/>
          <w:szCs w:val="20"/>
          <w:color w:val="auto"/>
        </w:rPr>
      </w:pPr>
    </w:p>
    <w:p>
      <w:pPr>
        <w:ind w:left="540" w:right="380" w:hanging="213"/>
        <w:spacing w:after="0" w:line="265"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 As part of each Board meeting, the independent directors meet separately without management or Woodbridge-affiliated directors present.</w:t>
      </w:r>
    </w:p>
    <w:p>
      <w:pPr>
        <w:spacing w:after="0" w:line="24" w:lineRule="exact"/>
        <w:rPr>
          <w:sz w:val="20"/>
          <w:szCs w:val="20"/>
          <w:color w:val="auto"/>
        </w:rPr>
      </w:pPr>
    </w:p>
    <w:p>
      <w:pPr>
        <w:ind w:left="540" w:right="420" w:hanging="213"/>
        <w:spacing w:after="0" w:line="265"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 All committees are comprised of a majority of independent directors (other than the Audit Committee, which is 100% independent directors).</w:t>
      </w:r>
    </w:p>
    <w:p>
      <w:pPr>
        <w:spacing w:after="0" w:line="24" w:lineRule="exact"/>
        <w:rPr>
          <w:sz w:val="20"/>
          <w:szCs w:val="20"/>
          <w:color w:val="auto"/>
        </w:rPr>
      </w:pPr>
    </w:p>
    <w:p>
      <w:pPr>
        <w:ind w:left="540" w:right="240" w:hanging="213"/>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8"/>
          <w:szCs w:val="18"/>
          <w:color w:val="auto"/>
        </w:rPr>
        <w:t xml:space="preserve">    The Board has an effective and transparent process to deal with related party transactions or conflicts of interest between Thomson Reuters and Woodbridge or directors affiliated with Woodbridge. The Corporate Governance Committee of our Board utilizes a policy for considering related party transactions that may take place between our company and Woodbridge, with any committee members related to Woodbridge abstaining from voting. In addition, any transactions between Woodbridge and our company are subject to public disclosure and other requirements under applicable Canadian securities laws.</w:t>
      </w:r>
    </w:p>
    <w:p>
      <w:pPr>
        <w:spacing w:after="0" w:line="222"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The NYSE corporate governance listing standards require a listed company to have, among other things, solely independent directors on its compensation committee and nominating/corporate governance committee. A “controlled company” (as defined by the NYSE) is a company of which more than 50% of the voting power is held by an individual, group or another company and is exempt from these requirements.</w:t>
      </w:r>
    </w:p>
    <w:p>
      <w:pPr>
        <w:spacing w:after="0" w:line="71" w:lineRule="exact"/>
        <w:rPr>
          <w:sz w:val="20"/>
          <w:szCs w:val="20"/>
          <w:color w:val="auto"/>
        </w:rPr>
      </w:pPr>
    </w:p>
    <w:p>
      <w:pPr>
        <w:jc w:val="both"/>
        <w:ind w:left="160" w:right="320"/>
        <w:spacing w:after="0" w:line="249" w:lineRule="auto"/>
        <w:rPr>
          <w:sz w:val="20"/>
          <w:szCs w:val="20"/>
          <w:color w:val="auto"/>
        </w:rPr>
      </w:pPr>
      <w:r>
        <w:rPr>
          <w:rFonts w:ascii="Arial" w:cs="Arial" w:eastAsia="Arial" w:hAnsi="Arial"/>
          <w:sz w:val="18"/>
          <w:szCs w:val="18"/>
          <w:color w:val="auto"/>
        </w:rPr>
        <w:t>Supplemental guidelines issued by the Canadian Coalition for Good Governance (CCGG) address controlled companies. A “controlled company” (as defined by CCGG) includes corporations with a controlling shareholder who controls a sufficient number of shares to be able to elect the board of directors or to direct the management or policies of the corporation.</w:t>
      </w:r>
    </w:p>
    <w:p>
      <w:pPr>
        <w:spacing w:after="0" w:line="6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While a majority of members of each of the Corporate Governance Committee and the HR Committee of our company are independent, the Board believes it is appropriate for Ed Clark and Peter Thomson, who are not considered to be independent under applicable rules because of their affiliation with Woodbridge, to serve on these committees and has approved our reliance on the NYSE’s controlled company exemption to do so. CCGG has stated that it believes it is appropriate for directors who are related to the controlling shareholder to sit on these committees to bring the knowledge and perspective of the controlling shareholder to executive compensation, appointments and Board nominations.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 directors affiliated with Woodbridge serve on our Audit Committee, which is required to have solely independent directors.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majority of members of the Risk Committee are also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38   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Board Committees</w:t>
      </w:r>
    </w:p>
    <w:p>
      <w:pPr>
        <w:spacing w:after="0" w:line="200" w:lineRule="exact"/>
        <w:rPr>
          <w:sz w:val="20"/>
          <w:szCs w:val="20"/>
          <w:color w:val="auto"/>
        </w:rPr>
      </w:pPr>
    </w:p>
    <w:p>
      <w:pPr>
        <w:spacing w:after="0" w:line="253" w:lineRule="exact"/>
        <w:rPr>
          <w:sz w:val="20"/>
          <w:szCs w:val="20"/>
          <w:color w:val="auto"/>
        </w:rPr>
      </w:pPr>
    </w:p>
    <w:p>
      <w:pPr>
        <w:ind w:left="160" w:right="200"/>
        <w:spacing w:after="0"/>
        <w:rPr>
          <w:sz w:val="20"/>
          <w:szCs w:val="20"/>
          <w:color w:val="auto"/>
        </w:rPr>
      </w:pPr>
      <w:r>
        <w:rPr>
          <w:rFonts w:ascii="Arial" w:cs="Arial" w:eastAsia="Arial" w:hAnsi="Arial"/>
          <w:sz w:val="18"/>
          <w:szCs w:val="18"/>
          <w:color w:val="auto"/>
        </w:rPr>
        <w:t>This section provides information about the Board’s four committees (Audit, Corporate Governance, HR and Risk), including each committee’s responsibilities, members and activities in 2023. Additional information about each committee is provided below. David Thomson (Chairman of the Board) and Steve Hasker (President and CEO) are not members of any of the Board’s committees. David Thomson regularly attends HR Committee meetings as a guest and Steve Hasker is regularly invited to attend all committee meetings in his capacity as President and CEO.</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current membership of our four Board committees as of April 12, 2024.</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20" w:type="dxa"/>
            <w:vAlign w:val="bottom"/>
            <w:tcBorders>
              <w:right w:val="single" w:sz="8" w:color="BFBFBF"/>
            </w:tcBorders>
          </w:tcPr>
          <w:p>
            <w:pPr>
              <w:spacing w:after="0"/>
              <w:rPr>
                <w:sz w:val="20"/>
                <w:szCs w:val="20"/>
                <w:color w:val="auto"/>
              </w:rPr>
            </w:pPr>
          </w:p>
        </w:tc>
        <w:tc>
          <w:tcPr>
            <w:tcW w:w="3160" w:type="dxa"/>
            <w:vAlign w:val="bottom"/>
            <w:tcBorders>
              <w:bottom w:val="single" w:sz="8" w:color="BFBFBF"/>
              <w:right w:val="single" w:sz="8" w:color="BFBFBF"/>
            </w:tcBorders>
            <w:shd w:val="clear" w:color="auto" w:fill="BFBFBF"/>
          </w:tcPr>
          <w:p>
            <w:pPr>
              <w:spacing w:after="0"/>
              <w:rPr>
                <w:sz w:val="20"/>
                <w:szCs w:val="20"/>
                <w:color w:val="auto"/>
              </w:rPr>
            </w:pPr>
          </w:p>
        </w:tc>
        <w:tc>
          <w:tcPr>
            <w:tcW w:w="2600" w:type="dxa"/>
            <w:vAlign w:val="bottom"/>
            <w:tcBorders>
              <w:bottom w:val="single" w:sz="8" w:color="BFBFBF"/>
              <w:right w:val="single" w:sz="8" w:color="BFBFBF"/>
            </w:tcBorders>
            <w:shd w:val="clear" w:color="auto" w:fill="BFBFBF"/>
          </w:tcPr>
          <w:p>
            <w:pPr>
              <w:jc w:val="center"/>
              <w:ind w:left="268"/>
              <w:spacing w:after="0"/>
              <w:rPr>
                <w:sz w:val="20"/>
                <w:szCs w:val="20"/>
                <w:color w:val="auto"/>
              </w:rPr>
            </w:pPr>
            <w:r>
              <w:rPr>
                <w:rFonts w:ascii="Arial" w:cs="Arial" w:eastAsia="Arial" w:hAnsi="Arial"/>
                <w:sz w:val="14"/>
                <w:szCs w:val="14"/>
                <w:b w:val="1"/>
                <w:bCs w:val="1"/>
                <w:color w:val="auto"/>
              </w:rPr>
              <w:t>Committee Membership</w:t>
            </w:r>
          </w:p>
        </w:tc>
        <w:tc>
          <w:tcPr>
            <w:tcW w:w="1320" w:type="dxa"/>
            <w:vAlign w:val="bottom"/>
            <w:tcBorders>
              <w:bottom w:val="single" w:sz="8" w:color="BFBFBF"/>
              <w:right w:val="single" w:sz="8" w:color="BFBFBF"/>
            </w:tcBorders>
            <w:shd w:val="clear" w:color="auto" w:fill="BFBFBF"/>
          </w:tcPr>
          <w:p>
            <w:pPr>
              <w:spacing w:after="0"/>
              <w:rPr>
                <w:sz w:val="20"/>
                <w:szCs w:val="20"/>
                <w:color w:val="auto"/>
              </w:rPr>
            </w:pPr>
          </w:p>
        </w:tc>
        <w:tc>
          <w:tcPr>
            <w:tcW w:w="1320" w:type="dxa"/>
            <w:vAlign w:val="bottom"/>
            <w:tcBorders>
              <w:bottom w:val="single" w:sz="8" w:color="BFBFBF"/>
            </w:tcBorders>
            <w:shd w:val="clear" w:color="auto" w:fill="BFBFBF"/>
          </w:tcPr>
          <w:p>
            <w:pPr>
              <w:spacing w:after="0"/>
              <w:rPr>
                <w:sz w:val="20"/>
                <w:szCs w:val="20"/>
                <w:color w:val="auto"/>
              </w:rPr>
            </w:pPr>
          </w:p>
        </w:tc>
      </w:tr>
      <w:tr>
        <w:trPr>
          <w:trHeight w:val="234"/>
        </w:trPr>
        <w:tc>
          <w:tcPr>
            <w:tcW w:w="2520" w:type="dxa"/>
            <w:vAlign w:val="bottom"/>
            <w:tcBorders>
              <w:bottom w:val="single" w:sz="8" w:color="262626"/>
              <w:right w:val="single" w:sz="8" w:color="262626"/>
            </w:tcBorders>
            <w:shd w:val="clear" w:color="auto" w:fill="262626"/>
          </w:tcPr>
          <w:p>
            <w:pPr>
              <w:ind w:left="160"/>
              <w:spacing w:after="0"/>
              <w:rPr>
                <w:sz w:val="20"/>
                <w:szCs w:val="20"/>
                <w:color w:val="auto"/>
              </w:rPr>
            </w:pPr>
            <w:r>
              <w:rPr>
                <w:rFonts w:ascii="Arial" w:cs="Arial" w:eastAsia="Arial" w:hAnsi="Arial"/>
                <w:sz w:val="15"/>
                <w:szCs w:val="15"/>
                <w:b w:val="1"/>
                <w:bCs w:val="1"/>
                <w:color w:val="FFFFFF"/>
              </w:rPr>
              <w:t>Name of Director</w:t>
            </w:r>
          </w:p>
        </w:tc>
        <w:tc>
          <w:tcPr>
            <w:tcW w:w="3160" w:type="dxa"/>
            <w:vAlign w:val="bottom"/>
            <w:tcBorders>
              <w:bottom w:val="single" w:sz="8" w:color="262626"/>
              <w:right w:val="single" w:sz="8" w:color="262626"/>
            </w:tcBorders>
            <w:shd w:val="clear" w:color="auto" w:fill="262626"/>
          </w:tcPr>
          <w:p>
            <w:pPr>
              <w:jc w:val="center"/>
              <w:ind w:left="768"/>
              <w:spacing w:after="0"/>
              <w:rPr>
                <w:sz w:val="20"/>
                <w:szCs w:val="20"/>
                <w:color w:val="auto"/>
              </w:rPr>
            </w:pPr>
            <w:r>
              <w:rPr>
                <w:rFonts w:ascii="Arial" w:cs="Arial" w:eastAsia="Arial" w:hAnsi="Arial"/>
                <w:sz w:val="15"/>
                <w:szCs w:val="15"/>
                <w:b w:val="1"/>
                <w:bCs w:val="1"/>
                <w:color w:val="FFFFFF"/>
              </w:rPr>
              <w:t>Audit</w:t>
            </w:r>
          </w:p>
        </w:tc>
        <w:tc>
          <w:tcPr>
            <w:tcW w:w="2600" w:type="dxa"/>
            <w:vAlign w:val="bottom"/>
            <w:tcBorders>
              <w:bottom w:val="single" w:sz="8" w:color="262626"/>
              <w:right w:val="single" w:sz="8" w:color="262626"/>
            </w:tcBorders>
            <w:shd w:val="clear" w:color="auto" w:fill="262626"/>
          </w:tcPr>
          <w:p>
            <w:pPr>
              <w:jc w:val="center"/>
              <w:ind w:left="328"/>
              <w:spacing w:after="0"/>
              <w:rPr>
                <w:sz w:val="20"/>
                <w:szCs w:val="20"/>
                <w:color w:val="auto"/>
              </w:rPr>
            </w:pPr>
            <w:r>
              <w:rPr>
                <w:rFonts w:ascii="Arial" w:cs="Arial" w:eastAsia="Arial" w:hAnsi="Arial"/>
                <w:sz w:val="15"/>
                <w:szCs w:val="15"/>
                <w:b w:val="1"/>
                <w:bCs w:val="1"/>
                <w:color w:val="FFFFFF"/>
              </w:rPr>
              <w:t>Corporate Governance</w:t>
            </w:r>
          </w:p>
        </w:tc>
        <w:tc>
          <w:tcPr>
            <w:tcW w:w="1320" w:type="dxa"/>
            <w:vAlign w:val="bottom"/>
            <w:tcBorders>
              <w:bottom w:val="single" w:sz="8" w:color="262626"/>
              <w:right w:val="single" w:sz="8" w:color="262626"/>
            </w:tcBorders>
            <w:shd w:val="clear" w:color="auto" w:fill="262626"/>
          </w:tcPr>
          <w:p>
            <w:pPr>
              <w:jc w:val="center"/>
              <w:ind w:left="428"/>
              <w:spacing w:after="0"/>
              <w:rPr>
                <w:sz w:val="20"/>
                <w:szCs w:val="20"/>
                <w:color w:val="auto"/>
              </w:rPr>
            </w:pPr>
            <w:r>
              <w:rPr>
                <w:rFonts w:ascii="Arial" w:cs="Arial" w:eastAsia="Arial" w:hAnsi="Arial"/>
                <w:sz w:val="15"/>
                <w:szCs w:val="15"/>
                <w:b w:val="1"/>
                <w:bCs w:val="1"/>
                <w:color w:val="FFFFFF"/>
              </w:rPr>
              <w:t>HR</w:t>
            </w:r>
          </w:p>
        </w:tc>
        <w:tc>
          <w:tcPr>
            <w:tcW w:w="1320" w:type="dxa"/>
            <w:vAlign w:val="bottom"/>
            <w:tcBorders>
              <w:bottom w:val="single" w:sz="8" w:color="262626"/>
            </w:tcBorders>
            <w:shd w:val="clear" w:color="auto" w:fill="262626"/>
          </w:tcPr>
          <w:p>
            <w:pPr>
              <w:jc w:val="center"/>
              <w:ind w:left="448"/>
              <w:spacing w:after="0"/>
              <w:rPr>
                <w:sz w:val="20"/>
                <w:szCs w:val="20"/>
                <w:color w:val="auto"/>
              </w:rPr>
            </w:pPr>
            <w:r>
              <w:rPr>
                <w:rFonts w:ascii="Arial" w:cs="Arial" w:eastAsia="Arial" w:hAnsi="Arial"/>
                <w:sz w:val="15"/>
                <w:szCs w:val="15"/>
                <w:b w:val="1"/>
                <w:bCs w:val="1"/>
                <w:color w:val="FFFFFF"/>
              </w:rPr>
              <w:t>Risk</w:t>
            </w:r>
          </w:p>
        </w:tc>
      </w:tr>
      <w:tr>
        <w:trPr>
          <w:trHeight w:val="238"/>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Kirk E. Arnold</w:t>
            </w:r>
          </w:p>
        </w:tc>
        <w:tc>
          <w:tcPr>
            <w:tcW w:w="3160" w:type="dxa"/>
            <w:vAlign w:val="bottom"/>
            <w:tcBorders>
              <w:right w:val="single" w:sz="8" w:color="AFAFAF"/>
            </w:tcBorders>
          </w:tcPr>
          <w:p>
            <w:pPr>
              <w:spacing w:after="0"/>
              <w:rPr>
                <w:sz w:val="20"/>
                <w:szCs w:val="20"/>
                <w:color w:val="auto"/>
              </w:rPr>
            </w:pPr>
          </w:p>
        </w:tc>
        <w:tc>
          <w:tcPr>
            <w:tcW w:w="2600" w:type="dxa"/>
            <w:vAlign w:val="bottom"/>
            <w:tcBorders>
              <w:right w:val="single" w:sz="8" w:color="AFAFAF"/>
            </w:tcBorders>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right w:val="single" w:sz="8" w:color="AFAFAF"/>
            </w:tcBorders>
          </w:tcPr>
          <w:p>
            <w:pPr>
              <w:jc w:val="center"/>
              <w:ind w:left="40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jc w:val="center"/>
              <w:ind w:left="44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W. Edmund Clark, C.M.</w:t>
            </w:r>
          </w:p>
        </w:tc>
        <w:tc>
          <w:tcPr>
            <w:tcW w:w="3160" w:type="dxa"/>
            <w:vAlign w:val="bottom"/>
            <w:tcBorders>
              <w:right w:val="single" w:sz="8" w:color="AFAFAF"/>
            </w:tcBorders>
          </w:tcPr>
          <w:p>
            <w:pPr>
              <w:spacing w:after="0"/>
              <w:rPr>
                <w:sz w:val="20"/>
                <w:szCs w:val="20"/>
                <w:color w:val="auto"/>
              </w:rPr>
            </w:pPr>
          </w:p>
        </w:tc>
        <w:tc>
          <w:tcPr>
            <w:tcW w:w="2600" w:type="dxa"/>
            <w:vAlign w:val="bottom"/>
            <w:tcBorders>
              <w:right w:val="single" w:sz="8" w:color="AFAFAF"/>
            </w:tcBorders>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right w:val="single" w:sz="8" w:color="AFAFAF"/>
            </w:tcBorders>
          </w:tcPr>
          <w:p>
            <w:pPr>
              <w:jc w:val="center"/>
              <w:ind w:left="428"/>
              <w:spacing w:after="0" w:line="161" w:lineRule="exact"/>
              <w:rPr>
                <w:sz w:val="20"/>
                <w:szCs w:val="20"/>
                <w:color w:val="auto"/>
              </w:rPr>
            </w:pP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(Chair)</w:t>
            </w:r>
          </w:p>
        </w:tc>
        <w:tc>
          <w:tcPr>
            <w:tcW w:w="1320" w:type="dxa"/>
            <w:vAlign w:val="bottom"/>
          </w:tcPr>
          <w:p>
            <w:pPr>
              <w:spacing w:after="0"/>
              <w:rPr>
                <w:sz w:val="20"/>
                <w:szCs w:val="20"/>
                <w:color w:val="auto"/>
              </w:rPr>
            </w:pP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LaVerne Council</w:t>
            </w:r>
          </w:p>
        </w:tc>
        <w:tc>
          <w:tcPr>
            <w:tcW w:w="3160" w:type="dxa"/>
            <w:vAlign w:val="bottom"/>
            <w:tcBorders>
              <w:right w:val="single" w:sz="8" w:color="AFAFAF"/>
            </w:tcBorders>
          </w:tcPr>
          <w:p>
            <w:pPr>
              <w:jc w:val="center"/>
              <w:ind w:left="768"/>
              <w:spacing w:after="0" w:line="141" w:lineRule="exact"/>
              <w:rPr>
                <w:sz w:val="20"/>
                <w:szCs w:val="20"/>
                <w:color w:val="auto"/>
              </w:rPr>
            </w:pPr>
            <w:r>
              <w:rPr>
                <w:rFonts w:ascii="MS PGothic" w:cs="MS PGothic" w:eastAsia="MS PGothic" w:hAnsi="MS PGothic"/>
                <w:sz w:val="14"/>
                <w:szCs w:val="14"/>
                <w:color w:val="auto"/>
                <w:w w:val="85"/>
              </w:rPr>
              <w:t>✓</w:t>
            </w:r>
          </w:p>
        </w:tc>
        <w:tc>
          <w:tcPr>
            <w:tcW w:w="2600" w:type="dxa"/>
            <w:vAlign w:val="bottom"/>
            <w:tcBorders>
              <w:right w:val="single" w:sz="8" w:color="AFAFAF"/>
            </w:tcBorders>
          </w:tcPr>
          <w:p>
            <w:pPr>
              <w:spacing w:after="0"/>
              <w:rPr>
                <w:sz w:val="20"/>
                <w:szCs w:val="20"/>
                <w:color w:val="auto"/>
              </w:rPr>
            </w:pPr>
          </w:p>
        </w:tc>
        <w:tc>
          <w:tcPr>
            <w:tcW w:w="1320" w:type="dxa"/>
            <w:vAlign w:val="bottom"/>
            <w:tcBorders>
              <w:right w:val="single" w:sz="8" w:color="AFAFAF"/>
            </w:tcBorders>
          </w:tcPr>
          <w:p>
            <w:pPr>
              <w:spacing w:after="0"/>
              <w:rPr>
                <w:sz w:val="20"/>
                <w:szCs w:val="20"/>
                <w:color w:val="auto"/>
              </w:rPr>
            </w:pPr>
          </w:p>
        </w:tc>
        <w:tc>
          <w:tcPr>
            <w:tcW w:w="1320" w:type="dxa"/>
            <w:vAlign w:val="bottom"/>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Michael E. Daniels</w:t>
            </w:r>
          </w:p>
        </w:tc>
        <w:tc>
          <w:tcPr>
            <w:tcW w:w="3160" w:type="dxa"/>
            <w:vAlign w:val="bottom"/>
            <w:tcBorders>
              <w:right w:val="single" w:sz="8" w:color="AFAFAF"/>
            </w:tcBorders>
          </w:tcPr>
          <w:p>
            <w:pPr>
              <w:jc w:val="center"/>
              <w:ind w:left="768"/>
              <w:spacing w:after="0" w:line="141" w:lineRule="exact"/>
              <w:rPr>
                <w:sz w:val="20"/>
                <w:szCs w:val="20"/>
                <w:color w:val="auto"/>
              </w:rPr>
            </w:pPr>
            <w:r>
              <w:rPr>
                <w:rFonts w:ascii="MS PGothic" w:cs="MS PGothic" w:eastAsia="MS PGothic" w:hAnsi="MS PGothic"/>
                <w:sz w:val="14"/>
                <w:szCs w:val="14"/>
                <w:color w:val="auto"/>
                <w:w w:val="85"/>
              </w:rPr>
              <w:t>✓</w:t>
            </w:r>
          </w:p>
        </w:tc>
        <w:tc>
          <w:tcPr>
            <w:tcW w:w="2600" w:type="dxa"/>
            <w:vAlign w:val="bottom"/>
            <w:tcBorders>
              <w:right w:val="single" w:sz="8" w:color="AFAFAF"/>
            </w:tcBorders>
          </w:tcPr>
          <w:p>
            <w:pPr>
              <w:jc w:val="center"/>
              <w:ind w:left="32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c>
          <w:tcPr>
            <w:tcW w:w="1320" w:type="dxa"/>
            <w:vAlign w:val="bottom"/>
            <w:tcBorders>
              <w:right w:val="single" w:sz="8" w:color="AFAFAF"/>
            </w:tcBorders>
          </w:tcPr>
          <w:p>
            <w:pPr>
              <w:jc w:val="center"/>
              <w:ind w:left="40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Kirk Koenigsbauer</w:t>
            </w:r>
          </w:p>
        </w:tc>
        <w:tc>
          <w:tcPr>
            <w:tcW w:w="3160" w:type="dxa"/>
            <w:vAlign w:val="bottom"/>
            <w:tcBorders>
              <w:right w:val="single" w:sz="8" w:color="AFAFAF"/>
            </w:tcBorders>
          </w:tcPr>
          <w:p>
            <w:pPr>
              <w:spacing w:after="0"/>
              <w:rPr>
                <w:sz w:val="20"/>
                <w:szCs w:val="20"/>
                <w:color w:val="auto"/>
              </w:rPr>
            </w:pPr>
          </w:p>
        </w:tc>
        <w:tc>
          <w:tcPr>
            <w:tcW w:w="2600" w:type="dxa"/>
            <w:vAlign w:val="bottom"/>
            <w:tcBorders>
              <w:right w:val="single" w:sz="8" w:color="AFAFAF"/>
            </w:tcBorders>
          </w:tcPr>
          <w:p>
            <w:pPr>
              <w:spacing w:after="0"/>
              <w:rPr>
                <w:sz w:val="20"/>
                <w:szCs w:val="20"/>
                <w:color w:val="auto"/>
              </w:rPr>
            </w:pPr>
          </w:p>
        </w:tc>
        <w:tc>
          <w:tcPr>
            <w:tcW w:w="1320" w:type="dxa"/>
            <w:vAlign w:val="bottom"/>
            <w:tcBorders>
              <w:right w:val="single" w:sz="8" w:color="AFAFAF"/>
            </w:tcBorders>
          </w:tcPr>
          <w:p>
            <w:pPr>
              <w:jc w:val="center"/>
              <w:ind w:left="40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Deanna Oppenheimer</w:t>
            </w:r>
          </w:p>
        </w:tc>
        <w:tc>
          <w:tcPr>
            <w:tcW w:w="3160" w:type="dxa"/>
            <w:vAlign w:val="bottom"/>
            <w:tcBorders>
              <w:right w:val="single" w:sz="8" w:color="AFAFAF"/>
            </w:tcBorders>
          </w:tcPr>
          <w:p>
            <w:pPr>
              <w:jc w:val="center"/>
              <w:ind w:left="768"/>
              <w:spacing w:after="0" w:line="141" w:lineRule="exact"/>
              <w:rPr>
                <w:sz w:val="20"/>
                <w:szCs w:val="20"/>
                <w:color w:val="auto"/>
              </w:rPr>
            </w:pPr>
            <w:r>
              <w:rPr>
                <w:rFonts w:ascii="MS PGothic" w:cs="MS PGothic" w:eastAsia="MS PGothic" w:hAnsi="MS PGothic"/>
                <w:sz w:val="14"/>
                <w:szCs w:val="14"/>
                <w:color w:val="auto"/>
                <w:w w:val="85"/>
              </w:rPr>
              <w:t>✓</w:t>
            </w:r>
          </w:p>
        </w:tc>
        <w:tc>
          <w:tcPr>
            <w:tcW w:w="2600" w:type="dxa"/>
            <w:vAlign w:val="bottom"/>
            <w:tcBorders>
              <w:right w:val="single" w:sz="8" w:color="AFAFAF"/>
            </w:tcBorders>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right w:val="single" w:sz="8" w:color="AFAFAF"/>
            </w:tcBorders>
          </w:tcPr>
          <w:p>
            <w:pPr>
              <w:spacing w:after="0"/>
              <w:rPr>
                <w:sz w:val="20"/>
                <w:szCs w:val="20"/>
                <w:color w:val="auto"/>
              </w:rPr>
            </w:pPr>
          </w:p>
        </w:tc>
        <w:tc>
          <w:tcPr>
            <w:tcW w:w="1320" w:type="dxa"/>
            <w:vAlign w:val="bottom"/>
          </w:tcPr>
          <w:p>
            <w:pPr>
              <w:spacing w:after="0"/>
              <w:rPr>
                <w:sz w:val="20"/>
                <w:szCs w:val="20"/>
                <w:color w:val="auto"/>
              </w:rPr>
            </w:pP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Simon Paris</w:t>
            </w:r>
          </w:p>
        </w:tc>
        <w:tc>
          <w:tcPr>
            <w:tcW w:w="3160" w:type="dxa"/>
            <w:vAlign w:val="bottom"/>
            <w:tcBorders>
              <w:right w:val="single" w:sz="8" w:color="AFAFAF"/>
            </w:tcBorders>
          </w:tcPr>
          <w:p>
            <w:pPr>
              <w:jc w:val="center"/>
              <w:ind w:left="768"/>
              <w:spacing w:after="0" w:line="141" w:lineRule="exact"/>
              <w:rPr>
                <w:sz w:val="20"/>
                <w:szCs w:val="20"/>
                <w:color w:val="auto"/>
              </w:rPr>
            </w:pPr>
            <w:r>
              <w:rPr>
                <w:rFonts w:ascii="MS PGothic" w:cs="MS PGothic" w:eastAsia="MS PGothic" w:hAnsi="MS PGothic"/>
                <w:sz w:val="14"/>
                <w:szCs w:val="14"/>
                <w:color w:val="auto"/>
                <w:w w:val="85"/>
              </w:rPr>
              <w:t>✓</w:t>
            </w:r>
          </w:p>
        </w:tc>
        <w:tc>
          <w:tcPr>
            <w:tcW w:w="2600" w:type="dxa"/>
            <w:vAlign w:val="bottom"/>
            <w:tcBorders>
              <w:right w:val="single" w:sz="8" w:color="AFAFAF"/>
            </w:tcBorders>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right w:val="single" w:sz="8" w:color="AFAFAF"/>
            </w:tcBorders>
          </w:tcPr>
          <w:p>
            <w:pPr>
              <w:spacing w:after="0"/>
              <w:rPr>
                <w:sz w:val="20"/>
                <w:szCs w:val="20"/>
                <w:color w:val="auto"/>
              </w:rPr>
            </w:pPr>
          </w:p>
        </w:tc>
        <w:tc>
          <w:tcPr>
            <w:tcW w:w="1320" w:type="dxa"/>
            <w:vAlign w:val="bottom"/>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Kim M. Rivera</w:t>
            </w:r>
          </w:p>
        </w:tc>
        <w:tc>
          <w:tcPr>
            <w:tcW w:w="3160" w:type="dxa"/>
            <w:vAlign w:val="bottom"/>
            <w:tcBorders>
              <w:right w:val="single" w:sz="8" w:color="AFAFAF"/>
            </w:tcBorders>
          </w:tcPr>
          <w:p>
            <w:pPr>
              <w:jc w:val="center"/>
              <w:ind w:left="768"/>
              <w:spacing w:after="0" w:line="141" w:lineRule="exact"/>
              <w:rPr>
                <w:sz w:val="20"/>
                <w:szCs w:val="20"/>
                <w:color w:val="auto"/>
              </w:rPr>
            </w:pPr>
            <w:r>
              <w:rPr>
                <w:rFonts w:ascii="MS PGothic" w:cs="MS PGothic" w:eastAsia="MS PGothic" w:hAnsi="MS PGothic"/>
                <w:sz w:val="14"/>
                <w:szCs w:val="14"/>
                <w:color w:val="auto"/>
                <w:w w:val="85"/>
              </w:rPr>
              <w:t>✓</w:t>
            </w:r>
          </w:p>
        </w:tc>
        <w:tc>
          <w:tcPr>
            <w:tcW w:w="2600" w:type="dxa"/>
            <w:vAlign w:val="bottom"/>
            <w:tcBorders>
              <w:right w:val="single" w:sz="8" w:color="AFAFAF"/>
            </w:tcBorders>
          </w:tcPr>
          <w:p>
            <w:pPr>
              <w:spacing w:after="0"/>
              <w:rPr>
                <w:sz w:val="20"/>
                <w:szCs w:val="20"/>
                <w:color w:val="auto"/>
              </w:rPr>
            </w:pPr>
          </w:p>
        </w:tc>
        <w:tc>
          <w:tcPr>
            <w:tcW w:w="1320" w:type="dxa"/>
            <w:vAlign w:val="bottom"/>
            <w:tcBorders>
              <w:right w:val="single" w:sz="8" w:color="AFAFAF"/>
            </w:tcBorders>
          </w:tcPr>
          <w:p>
            <w:pPr>
              <w:spacing w:after="0"/>
              <w:rPr>
                <w:sz w:val="20"/>
                <w:szCs w:val="20"/>
                <w:color w:val="auto"/>
              </w:rPr>
            </w:pPr>
          </w:p>
        </w:tc>
        <w:tc>
          <w:tcPr>
            <w:tcW w:w="1320" w:type="dxa"/>
            <w:vAlign w:val="bottom"/>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Barry Salzberg</w:t>
            </w:r>
          </w:p>
        </w:tc>
        <w:tc>
          <w:tcPr>
            <w:tcW w:w="3160" w:type="dxa"/>
            <w:vAlign w:val="bottom"/>
            <w:tcBorders>
              <w:right w:val="single" w:sz="8" w:color="AFAFAF"/>
            </w:tcBorders>
          </w:tcPr>
          <w:p>
            <w:pPr>
              <w:jc w:val="center"/>
              <w:ind w:left="76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c>
          <w:tcPr>
            <w:tcW w:w="2600" w:type="dxa"/>
            <w:vAlign w:val="bottom"/>
            <w:tcBorders>
              <w:right w:val="single" w:sz="8" w:color="AFAFAF"/>
            </w:tcBorders>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Borders>
              <w:right w:val="single" w:sz="8" w:color="AFAFAF"/>
            </w:tcBorders>
          </w:tcPr>
          <w:p>
            <w:pPr>
              <w:spacing w:after="0"/>
              <w:rPr>
                <w:sz w:val="20"/>
                <w:szCs w:val="20"/>
                <w:color w:val="auto"/>
              </w:rPr>
            </w:pPr>
          </w:p>
        </w:tc>
        <w:tc>
          <w:tcPr>
            <w:tcW w:w="1320" w:type="dxa"/>
            <w:vAlign w:val="bottom"/>
          </w:tcPr>
          <w:p>
            <w:pPr>
              <w:jc w:val="center"/>
              <w:ind w:left="4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Peter Thomson</w:t>
            </w:r>
          </w:p>
        </w:tc>
        <w:tc>
          <w:tcPr>
            <w:tcW w:w="3160" w:type="dxa"/>
            <w:vAlign w:val="bottom"/>
            <w:tcBorders>
              <w:right w:val="single" w:sz="8" w:color="AFAFAF"/>
            </w:tcBorders>
          </w:tcPr>
          <w:p>
            <w:pPr>
              <w:spacing w:after="0"/>
              <w:rPr>
                <w:sz w:val="20"/>
                <w:szCs w:val="20"/>
                <w:color w:val="auto"/>
              </w:rPr>
            </w:pPr>
          </w:p>
        </w:tc>
        <w:tc>
          <w:tcPr>
            <w:tcW w:w="2600" w:type="dxa"/>
            <w:vAlign w:val="bottom"/>
            <w:tcBorders>
              <w:right w:val="single" w:sz="8" w:color="AFAFAF"/>
            </w:tcBorders>
          </w:tcPr>
          <w:p>
            <w:pPr>
              <w:spacing w:after="0"/>
              <w:rPr>
                <w:sz w:val="20"/>
                <w:szCs w:val="20"/>
                <w:color w:val="auto"/>
              </w:rPr>
            </w:pPr>
          </w:p>
        </w:tc>
        <w:tc>
          <w:tcPr>
            <w:tcW w:w="1320" w:type="dxa"/>
            <w:vAlign w:val="bottom"/>
            <w:tcBorders>
              <w:right w:val="single" w:sz="8" w:color="AFAFAF"/>
            </w:tcBorders>
          </w:tcPr>
          <w:p>
            <w:pPr>
              <w:jc w:val="center"/>
              <w:ind w:left="40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spacing w:after="0"/>
              <w:rPr>
                <w:sz w:val="20"/>
                <w:szCs w:val="20"/>
                <w:color w:val="auto"/>
              </w:rPr>
            </w:pP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32"/>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Beth Wilson</w:t>
            </w:r>
          </w:p>
        </w:tc>
        <w:tc>
          <w:tcPr>
            <w:tcW w:w="3160" w:type="dxa"/>
            <w:vAlign w:val="bottom"/>
            <w:tcBorders>
              <w:right w:val="single" w:sz="8" w:color="AFAFAF"/>
            </w:tcBorders>
          </w:tcPr>
          <w:p>
            <w:pPr>
              <w:jc w:val="center"/>
              <w:ind w:left="768"/>
              <w:spacing w:after="0" w:line="141" w:lineRule="exact"/>
              <w:rPr>
                <w:sz w:val="20"/>
                <w:szCs w:val="20"/>
                <w:color w:val="auto"/>
              </w:rPr>
            </w:pPr>
            <w:r>
              <w:rPr>
                <w:rFonts w:ascii="MS PGothic" w:cs="MS PGothic" w:eastAsia="MS PGothic" w:hAnsi="MS PGothic"/>
                <w:sz w:val="14"/>
                <w:szCs w:val="14"/>
                <w:color w:val="auto"/>
                <w:w w:val="85"/>
              </w:rPr>
              <w:t>✓</w:t>
            </w:r>
          </w:p>
        </w:tc>
        <w:tc>
          <w:tcPr>
            <w:tcW w:w="2600" w:type="dxa"/>
            <w:vAlign w:val="bottom"/>
            <w:tcBorders>
              <w:right w:val="single" w:sz="8" w:color="AFAFAF"/>
            </w:tcBorders>
          </w:tcPr>
          <w:p>
            <w:pPr>
              <w:spacing w:after="0"/>
              <w:rPr>
                <w:sz w:val="20"/>
                <w:szCs w:val="20"/>
                <w:color w:val="auto"/>
              </w:rPr>
            </w:pPr>
          </w:p>
        </w:tc>
        <w:tc>
          <w:tcPr>
            <w:tcW w:w="1320" w:type="dxa"/>
            <w:vAlign w:val="bottom"/>
            <w:tcBorders>
              <w:right w:val="single" w:sz="8" w:color="AFAFAF"/>
            </w:tcBorders>
          </w:tcPr>
          <w:p>
            <w:pPr>
              <w:jc w:val="center"/>
              <w:ind w:left="40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spacing w:after="0"/>
              <w:rPr>
                <w:sz w:val="20"/>
                <w:szCs w:val="20"/>
                <w:color w:val="auto"/>
              </w:rPr>
            </w:pPr>
          </w:p>
        </w:tc>
      </w:tr>
      <w:tr>
        <w:trPr>
          <w:trHeight w:val="29"/>
        </w:trPr>
        <w:tc>
          <w:tcPr>
            <w:tcW w:w="2520" w:type="dxa"/>
            <w:vAlign w:val="bottom"/>
            <w:tcBorders>
              <w:bottom w:val="single" w:sz="8" w:color="AFAFAF"/>
              <w:right w:val="single" w:sz="8" w:color="AFAFAF"/>
            </w:tcBorders>
          </w:tcPr>
          <w:p>
            <w:pPr>
              <w:spacing w:after="0"/>
              <w:rPr>
                <w:sz w:val="2"/>
                <w:szCs w:val="2"/>
                <w:color w:val="auto"/>
              </w:rPr>
            </w:pPr>
          </w:p>
        </w:tc>
        <w:tc>
          <w:tcPr>
            <w:tcW w:w="3160" w:type="dxa"/>
            <w:vAlign w:val="bottom"/>
            <w:tcBorders>
              <w:bottom w:val="single" w:sz="8" w:color="AFAFAF"/>
              <w:right w:val="single" w:sz="8" w:color="AFAFAF"/>
            </w:tcBorders>
          </w:tcPr>
          <w:p>
            <w:pPr>
              <w:spacing w:after="0"/>
              <w:rPr>
                <w:sz w:val="2"/>
                <w:szCs w:val="2"/>
                <w:color w:val="auto"/>
              </w:rPr>
            </w:pPr>
          </w:p>
        </w:tc>
        <w:tc>
          <w:tcPr>
            <w:tcW w:w="260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right w:val="single" w:sz="8" w:color="AFAFAF"/>
            </w:tcBorders>
          </w:tcPr>
          <w:p>
            <w:pPr>
              <w:spacing w:after="0"/>
              <w:rPr>
                <w:sz w:val="2"/>
                <w:szCs w:val="2"/>
                <w:color w:val="auto"/>
              </w:rPr>
            </w:pPr>
          </w:p>
        </w:tc>
        <w:tc>
          <w:tcPr>
            <w:tcW w:w="1320" w:type="dxa"/>
            <w:vAlign w:val="bottom"/>
            <w:tcBorders>
              <w:bottom w:val="single" w:sz="8" w:color="AFAFAF"/>
            </w:tcBorders>
          </w:tcPr>
          <w:p>
            <w:pPr>
              <w:spacing w:after="0"/>
              <w:rPr>
                <w:sz w:val="2"/>
                <w:szCs w:val="2"/>
                <w:color w:val="auto"/>
              </w:rPr>
            </w:pPr>
          </w:p>
        </w:tc>
      </w:tr>
      <w:tr>
        <w:trPr>
          <w:trHeight w:val="219"/>
        </w:trPr>
        <w:tc>
          <w:tcPr>
            <w:tcW w:w="25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Total</w:t>
            </w:r>
          </w:p>
        </w:tc>
        <w:tc>
          <w:tcPr>
            <w:tcW w:w="3160" w:type="dxa"/>
            <w:vAlign w:val="bottom"/>
            <w:tcBorders>
              <w:right w:val="single" w:sz="8" w:color="AFAFAF"/>
            </w:tcBorders>
          </w:tcPr>
          <w:p>
            <w:pPr>
              <w:jc w:val="center"/>
              <w:ind w:left="768"/>
              <w:spacing w:after="0"/>
              <w:rPr>
                <w:sz w:val="20"/>
                <w:szCs w:val="20"/>
                <w:color w:val="auto"/>
              </w:rPr>
            </w:pPr>
            <w:r>
              <w:rPr>
                <w:rFonts w:ascii="Arial" w:cs="Arial" w:eastAsia="Arial" w:hAnsi="Arial"/>
                <w:sz w:val="14"/>
                <w:szCs w:val="14"/>
                <w:color w:val="auto"/>
              </w:rPr>
              <w:t>7</w:t>
            </w:r>
          </w:p>
        </w:tc>
        <w:tc>
          <w:tcPr>
            <w:tcW w:w="2600" w:type="dxa"/>
            <w:vAlign w:val="bottom"/>
            <w:tcBorders>
              <w:right w:val="single" w:sz="8" w:color="AFAFAF"/>
            </w:tcBorders>
          </w:tcPr>
          <w:p>
            <w:pPr>
              <w:jc w:val="center"/>
              <w:ind w:left="328"/>
              <w:spacing w:after="0"/>
              <w:rPr>
                <w:sz w:val="20"/>
                <w:szCs w:val="20"/>
                <w:color w:val="auto"/>
              </w:rPr>
            </w:pPr>
            <w:r>
              <w:rPr>
                <w:rFonts w:ascii="Arial" w:cs="Arial" w:eastAsia="Arial" w:hAnsi="Arial"/>
                <w:sz w:val="14"/>
                <w:szCs w:val="14"/>
                <w:color w:val="auto"/>
              </w:rPr>
              <w:t>6</w:t>
            </w:r>
          </w:p>
        </w:tc>
        <w:tc>
          <w:tcPr>
            <w:tcW w:w="1320" w:type="dxa"/>
            <w:vAlign w:val="bottom"/>
            <w:tcBorders>
              <w:right w:val="single" w:sz="8" w:color="AFAFAF"/>
            </w:tcBorders>
          </w:tcPr>
          <w:p>
            <w:pPr>
              <w:jc w:val="center"/>
              <w:ind w:left="408"/>
              <w:spacing w:after="0"/>
              <w:rPr>
                <w:sz w:val="20"/>
                <w:szCs w:val="20"/>
                <w:color w:val="auto"/>
              </w:rPr>
            </w:pPr>
            <w:r>
              <w:rPr>
                <w:rFonts w:ascii="Arial" w:cs="Arial" w:eastAsia="Arial" w:hAnsi="Arial"/>
                <w:sz w:val="14"/>
                <w:szCs w:val="14"/>
                <w:color w:val="auto"/>
              </w:rPr>
              <w:t>6</w:t>
            </w:r>
          </w:p>
        </w:tc>
        <w:tc>
          <w:tcPr>
            <w:tcW w:w="1320" w:type="dxa"/>
            <w:vAlign w:val="bottom"/>
          </w:tcPr>
          <w:p>
            <w:pPr>
              <w:jc w:val="center"/>
              <w:ind w:left="448"/>
              <w:spacing w:after="0"/>
              <w:rPr>
                <w:sz w:val="20"/>
                <w:szCs w:val="20"/>
                <w:color w:val="auto"/>
              </w:rPr>
            </w:pPr>
            <w:r>
              <w:rPr>
                <w:rFonts w:ascii="Arial" w:cs="Arial" w:eastAsia="Arial" w:hAnsi="Arial"/>
                <w:sz w:val="14"/>
                <w:szCs w:val="14"/>
                <w:color w:val="auto"/>
              </w:rPr>
              <w:t>7</w:t>
            </w:r>
          </w:p>
        </w:tc>
      </w:tr>
      <w:tr>
        <w:trPr>
          <w:trHeight w:val="28"/>
        </w:trPr>
        <w:tc>
          <w:tcPr>
            <w:tcW w:w="2520" w:type="dxa"/>
            <w:vAlign w:val="bottom"/>
            <w:tcBorders>
              <w:bottom w:val="single" w:sz="8" w:color="B94831"/>
              <w:right w:val="single" w:sz="8" w:color="AFAFAF"/>
            </w:tcBorders>
          </w:tcPr>
          <w:p>
            <w:pPr>
              <w:spacing w:after="0"/>
              <w:rPr>
                <w:sz w:val="2"/>
                <w:szCs w:val="2"/>
                <w:color w:val="auto"/>
              </w:rPr>
            </w:pPr>
          </w:p>
        </w:tc>
        <w:tc>
          <w:tcPr>
            <w:tcW w:w="3160" w:type="dxa"/>
            <w:vAlign w:val="bottom"/>
            <w:tcBorders>
              <w:bottom w:val="single" w:sz="8" w:color="B94831"/>
              <w:right w:val="single" w:sz="8" w:color="AFAFAF"/>
            </w:tcBorders>
          </w:tcPr>
          <w:p>
            <w:pPr>
              <w:spacing w:after="0"/>
              <w:rPr>
                <w:sz w:val="2"/>
                <w:szCs w:val="2"/>
                <w:color w:val="auto"/>
              </w:rPr>
            </w:pPr>
          </w:p>
        </w:tc>
        <w:tc>
          <w:tcPr>
            <w:tcW w:w="2600" w:type="dxa"/>
            <w:vAlign w:val="bottom"/>
            <w:tcBorders>
              <w:bottom w:val="single" w:sz="8" w:color="B94831"/>
              <w:right w:val="single" w:sz="8" w:color="AFAFAF"/>
            </w:tcBorders>
          </w:tcPr>
          <w:p>
            <w:pPr>
              <w:spacing w:after="0"/>
              <w:rPr>
                <w:sz w:val="2"/>
                <w:szCs w:val="2"/>
                <w:color w:val="auto"/>
              </w:rPr>
            </w:pPr>
          </w:p>
        </w:tc>
        <w:tc>
          <w:tcPr>
            <w:tcW w:w="1320" w:type="dxa"/>
            <w:vAlign w:val="bottom"/>
            <w:tcBorders>
              <w:bottom w:val="single" w:sz="8" w:color="B94831"/>
              <w:right w:val="single" w:sz="8" w:color="AFAFAF"/>
            </w:tcBorders>
          </w:tcPr>
          <w:p>
            <w:pPr>
              <w:spacing w:after="0"/>
              <w:rPr>
                <w:sz w:val="2"/>
                <w:szCs w:val="2"/>
                <w:color w:val="auto"/>
              </w:rPr>
            </w:pPr>
          </w:p>
        </w:tc>
        <w:tc>
          <w:tcPr>
            <w:tcW w:w="1320" w:type="dxa"/>
            <w:vAlign w:val="bottom"/>
            <w:tcBorders>
              <w:bottom w:val="single" w:sz="8" w:color="B94831"/>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-2292350</wp:posOffset>
            </wp:positionV>
            <wp:extent cx="8255" cy="161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612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-2292350</wp:posOffset>
            </wp:positionV>
            <wp:extent cx="8255" cy="161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61290"/>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-2292350</wp:posOffset>
            </wp:positionV>
            <wp:extent cx="8255" cy="161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6129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-2292350</wp:posOffset>
            </wp:positionV>
            <wp:extent cx="8255" cy="161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61290"/>
                    </a:xfrm>
                    <a:prstGeom prst="rect">
                      <a:avLst/>
                    </a:prstGeom>
                    <a:noFill/>
                  </pic:spPr>
                </pic:pic>
              </a:graphicData>
            </a:graphic>
          </wp:anchor>
        </w:drawing>
      </w:r>
    </w:p>
    <w:p>
      <w:pPr>
        <w:spacing w:after="0" w:line="68" w:lineRule="exact"/>
        <w:rPr>
          <w:sz w:val="20"/>
          <w:szCs w:val="20"/>
          <w:color w:val="auto"/>
        </w:rPr>
      </w:pPr>
    </w:p>
    <w:p>
      <w:pPr>
        <w:ind w:left="160" w:right="140"/>
        <w:spacing w:after="0" w:line="307" w:lineRule="auto"/>
        <w:rPr>
          <w:sz w:val="20"/>
          <w:szCs w:val="20"/>
          <w:color w:val="auto"/>
        </w:rPr>
      </w:pPr>
      <w:r>
        <w:rPr>
          <w:rFonts w:ascii="Arial" w:cs="Arial" w:eastAsia="Arial" w:hAnsi="Arial"/>
          <w:sz w:val="17"/>
          <w:szCs w:val="17"/>
          <w:color w:val="auto"/>
        </w:rPr>
        <w:t xml:space="preserve">Each of the Board’s committees has a charter. The charters are reviewed annually by the relevant committee and the Corporate Governance Committee. These charters and a committee chair position description are publicly available at </w:t>
      </w:r>
      <w:r>
        <w:rPr>
          <w:rFonts w:ascii="Arial" w:cs="Arial" w:eastAsia="Arial" w:hAnsi="Arial"/>
          <w:sz w:val="17"/>
          <w:szCs w:val="17"/>
          <w:b w:val="1"/>
          <w:bCs w:val="1"/>
          <w:color w:val="335367"/>
        </w:rPr>
        <w:t>www.thomsonreuters.com.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336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22"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39</w:t>
      </w:r>
    </w:p>
    <w:p>
      <w:pPr>
        <w:sectPr>
          <w:pgSz w:w="11900" w:h="16838" w:orient="portrait"/>
          <w:cols w:equalWidth="0" w:num="1">
            <w:col w:w="11080"/>
          </w:cols>
          <w:pgMar w:left="320" w:top="454"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Audit Committee</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Responsibilities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Audit Committee is responsible for assisting the Board in fulfilling its oversight responsibilities in relation to:</w:t>
      </w:r>
    </w:p>
    <w:p>
      <w:pPr>
        <w:spacing w:after="0" w:line="114" w:lineRule="exact"/>
        <w:rPr>
          <w:sz w:val="20"/>
          <w:szCs w:val="20"/>
          <w:color w:val="auto"/>
        </w:rPr>
      </w:pPr>
    </w:p>
    <w:p>
      <w:pPr>
        <w:ind w:left="480" w:hanging="313"/>
        <w:spacing w:after="0"/>
        <w:tabs>
          <w:tab w:leader="none" w:pos="480" w:val="left"/>
        </w:tabs>
        <w:numPr>
          <w:ilvl w:val="0"/>
          <w:numId w:val="1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integrity of financial statements and other financial information relating to our company;</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1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qualifications, independence and performance of the independent auditor (PricewaterhouseCoopers LLP);</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1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adequacy and effectiveness of our internal control over financial reporting and disclosure controls and procedures;</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1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effectiveness of the internal audit function;</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1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overall assessment and management of risk; and</w:t>
      </w:r>
    </w:p>
    <w:p>
      <w:pPr>
        <w:spacing w:after="0" w:line="127" w:lineRule="exact"/>
        <w:rPr>
          <w:rFonts w:ascii="Times New Roman" w:cs="Times New Roman" w:eastAsia="Times New Roman" w:hAnsi="Times New Roman"/>
          <w:sz w:val="16"/>
          <w:szCs w:val="16"/>
          <w:color w:val="B94831"/>
          <w:vertAlign w:val="superscript"/>
        </w:rPr>
      </w:pPr>
    </w:p>
    <w:p>
      <w:pPr>
        <w:ind w:left="480" w:hanging="313"/>
        <w:spacing w:after="0"/>
        <w:tabs>
          <w:tab w:leader="none" w:pos="480" w:val="left"/>
        </w:tabs>
        <w:numPr>
          <w:ilvl w:val="0"/>
          <w:numId w:val="14"/>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any additional matters delegated to the Audit Committee by the Board.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course of fulfilling its mandate, the Audit Committee focused on several topics in 2023, which are reflected in the work plan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1187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FFFFFF"/>
        </w:rPr>
        <w:t> 2023 Primary Audit Committee Activities</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45"/>
        </w:trPr>
        <w:tc>
          <w:tcPr>
            <w:tcW w:w="5600" w:type="dxa"/>
            <w:vAlign w:val="bottom"/>
            <w:tcBorders>
              <w:top w:val="single" w:sz="8" w:color="B94831"/>
            </w:tcBorders>
          </w:tcPr>
          <w:p>
            <w:pPr>
              <w:spacing w:after="0" w:line="14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and discuss the company’s annual and quarterly consolidated financial</w:t>
            </w:r>
          </w:p>
        </w:tc>
        <w:tc>
          <w:tcPr>
            <w:tcW w:w="5320" w:type="dxa"/>
            <w:vAlign w:val="bottom"/>
            <w:tcBorders>
              <w:top w:val="single" w:sz="8" w:color="B94831"/>
            </w:tcBorders>
          </w:tcPr>
          <w:p>
            <w:pPr>
              <w:ind w:left="100"/>
              <w:spacing w:after="0" w:line="14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and approve the company’s non-audit services policy as well as certain</w:t>
            </w:r>
          </w:p>
        </w:tc>
      </w:tr>
      <w:tr>
        <w:trPr>
          <w:trHeight w:val="157"/>
        </w:trPr>
        <w:tc>
          <w:tcPr>
            <w:tcW w:w="5600" w:type="dxa"/>
            <w:vAlign w:val="bottom"/>
          </w:tcPr>
          <w:p>
            <w:pPr>
              <w:ind w:left="220"/>
              <w:spacing w:after="0" w:line="157" w:lineRule="exact"/>
              <w:rPr>
                <w:sz w:val="20"/>
                <w:szCs w:val="20"/>
                <w:color w:val="auto"/>
              </w:rPr>
            </w:pPr>
            <w:r>
              <w:rPr>
                <w:rFonts w:ascii="Arial" w:cs="Arial" w:eastAsia="Arial" w:hAnsi="Arial"/>
                <w:sz w:val="14"/>
                <w:szCs w:val="14"/>
                <w:color w:val="auto"/>
              </w:rPr>
              <w:t>statements and related MD&amp;A;</w:t>
            </w:r>
          </w:p>
        </w:tc>
        <w:tc>
          <w:tcPr>
            <w:tcW w:w="5320" w:type="dxa"/>
            <w:vAlign w:val="bottom"/>
          </w:tcPr>
          <w:p>
            <w:pPr>
              <w:ind w:left="300"/>
              <w:spacing w:after="0" w:line="157" w:lineRule="exact"/>
              <w:rPr>
                <w:sz w:val="20"/>
                <w:szCs w:val="20"/>
                <w:color w:val="auto"/>
              </w:rPr>
            </w:pPr>
            <w:r>
              <w:rPr>
                <w:rFonts w:ascii="Arial" w:cs="Arial" w:eastAsia="Arial" w:hAnsi="Arial"/>
                <w:sz w:val="14"/>
                <w:szCs w:val="14"/>
                <w:color w:val="auto"/>
              </w:rPr>
              <w:t>non-audit services proposed to be provided by PricewaterhouseCoopers LLP;</w:t>
            </w:r>
          </w:p>
        </w:tc>
      </w:tr>
      <w:tr>
        <w:trPr>
          <w:trHeight w:val="164"/>
        </w:trPr>
        <w:tc>
          <w:tcPr>
            <w:tcW w:w="5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and approve our earnings press releases which include financial results and</w:t>
            </w:r>
          </w:p>
        </w:tc>
        <w:tc>
          <w:tcPr>
            <w:tcW w:w="532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and approve fees to be paid to PricewaterhouseCoopers LLP for its</w:t>
            </w:r>
          </w:p>
        </w:tc>
      </w:tr>
      <w:tr>
        <w:trPr>
          <w:trHeight w:val="157"/>
        </w:trPr>
        <w:tc>
          <w:tcPr>
            <w:tcW w:w="5600" w:type="dxa"/>
            <w:vAlign w:val="bottom"/>
          </w:tcPr>
          <w:p>
            <w:pPr>
              <w:ind w:left="220"/>
              <w:spacing w:after="0" w:line="157" w:lineRule="exact"/>
              <w:rPr>
                <w:sz w:val="20"/>
                <w:szCs w:val="20"/>
                <w:color w:val="auto"/>
              </w:rPr>
            </w:pPr>
            <w:r>
              <w:rPr>
                <w:rFonts w:ascii="Arial" w:cs="Arial" w:eastAsia="Arial" w:hAnsi="Arial"/>
                <w:sz w:val="14"/>
                <w:szCs w:val="14"/>
                <w:color w:val="auto"/>
              </w:rPr>
              <w:t>financial outlooks;</w:t>
            </w:r>
          </w:p>
        </w:tc>
        <w:tc>
          <w:tcPr>
            <w:tcW w:w="5320" w:type="dxa"/>
            <w:vAlign w:val="bottom"/>
          </w:tcPr>
          <w:p>
            <w:pPr>
              <w:ind w:left="300"/>
              <w:spacing w:after="0" w:line="157" w:lineRule="exact"/>
              <w:rPr>
                <w:sz w:val="20"/>
                <w:szCs w:val="20"/>
                <w:color w:val="auto"/>
              </w:rPr>
            </w:pPr>
            <w:r>
              <w:rPr>
                <w:rFonts w:ascii="Arial" w:cs="Arial" w:eastAsia="Arial" w:hAnsi="Arial"/>
                <w:sz w:val="14"/>
                <w:szCs w:val="14"/>
                <w:color w:val="auto"/>
              </w:rPr>
              <w:t>services;</w:t>
            </w:r>
          </w:p>
        </w:tc>
      </w:tr>
      <w:tr>
        <w:trPr>
          <w:trHeight w:val="160"/>
        </w:trPr>
        <w:tc>
          <w:tcPr>
            <w:tcW w:w="56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the company’s use of non-IFRS measures;</w:t>
            </w:r>
          </w:p>
        </w:tc>
        <w:tc>
          <w:tcPr>
            <w:tcW w:w="532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with PricewaterhouseCoopers LLP:</w:t>
            </w:r>
          </w:p>
        </w:tc>
      </w:tr>
      <w:tr>
        <w:trPr>
          <w:trHeight w:val="164"/>
        </w:trPr>
        <w:tc>
          <w:tcPr>
            <w:tcW w:w="5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the company’s implementation of certain modules of a new enterprise</w:t>
            </w:r>
          </w:p>
        </w:tc>
        <w:tc>
          <w:tcPr>
            <w:tcW w:w="5320" w:type="dxa"/>
            <w:vAlign w:val="bottom"/>
          </w:tcPr>
          <w:p>
            <w:pPr>
              <w:ind w:left="3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its independence from Thomson Reuters (and receiving disclosures from</w:t>
            </w:r>
          </w:p>
        </w:tc>
      </w:tr>
      <w:tr>
        <w:trPr>
          <w:trHeight w:val="157"/>
        </w:trPr>
        <w:tc>
          <w:tcPr>
            <w:tcW w:w="5600" w:type="dxa"/>
            <w:vAlign w:val="bottom"/>
          </w:tcPr>
          <w:p>
            <w:pPr>
              <w:ind w:left="220"/>
              <w:spacing w:after="0" w:line="157" w:lineRule="exact"/>
              <w:rPr>
                <w:sz w:val="20"/>
                <w:szCs w:val="20"/>
                <w:color w:val="auto"/>
              </w:rPr>
            </w:pPr>
            <w:r>
              <w:rPr>
                <w:rFonts w:ascii="Arial" w:cs="Arial" w:eastAsia="Arial" w:hAnsi="Arial"/>
                <w:sz w:val="14"/>
                <w:szCs w:val="14"/>
                <w:color w:val="auto"/>
              </w:rPr>
              <w:t>resource planning system (ERP) SAP S/4;</w:t>
            </w:r>
          </w:p>
        </w:tc>
        <w:tc>
          <w:tcPr>
            <w:tcW w:w="5320" w:type="dxa"/>
            <w:vAlign w:val="bottom"/>
          </w:tcPr>
          <w:p>
            <w:pPr>
              <w:ind w:left="520"/>
              <w:spacing w:after="0" w:line="157" w:lineRule="exact"/>
              <w:rPr>
                <w:sz w:val="20"/>
                <w:szCs w:val="20"/>
                <w:color w:val="auto"/>
              </w:rPr>
            </w:pPr>
            <w:r>
              <w:rPr>
                <w:rFonts w:ascii="Arial" w:cs="Arial" w:eastAsia="Arial" w:hAnsi="Arial"/>
                <w:sz w:val="14"/>
                <w:szCs w:val="14"/>
                <w:color w:val="auto"/>
              </w:rPr>
              <w:t>PricewaterhouseCoopers LLP in this regard);</w:t>
            </w:r>
          </w:p>
        </w:tc>
      </w:tr>
      <w:tr>
        <w:trPr>
          <w:trHeight w:val="160"/>
        </w:trPr>
        <w:tc>
          <w:tcPr>
            <w:tcW w:w="56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the company’s controls and disclosures related to ESG;</w:t>
            </w:r>
          </w:p>
        </w:tc>
        <w:tc>
          <w:tcPr>
            <w:tcW w:w="5320" w:type="dxa"/>
            <w:vAlign w:val="bottom"/>
          </w:tcPr>
          <w:p>
            <w:pPr>
              <w:ind w:left="3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all critical accounting policies and practices used or to be used by Thomson</w:t>
            </w:r>
          </w:p>
        </w:tc>
      </w:tr>
      <w:tr>
        <w:trPr>
          <w:trHeight w:val="160"/>
        </w:trPr>
        <w:tc>
          <w:tcPr>
            <w:tcW w:w="56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 Receive periodic updates regarding the company’s finance operations;</w:t>
            </w:r>
          </w:p>
        </w:tc>
        <w:tc>
          <w:tcPr>
            <w:tcW w:w="5320" w:type="dxa"/>
            <w:vAlign w:val="bottom"/>
          </w:tcPr>
          <w:p>
            <w:pPr>
              <w:ind w:left="520"/>
              <w:spacing w:after="0"/>
              <w:rPr>
                <w:sz w:val="20"/>
                <w:szCs w:val="20"/>
                <w:color w:val="auto"/>
              </w:rPr>
            </w:pPr>
            <w:r>
              <w:rPr>
                <w:rFonts w:ascii="Arial" w:cs="Arial" w:eastAsia="Arial" w:hAnsi="Arial"/>
                <w:sz w:val="14"/>
                <w:szCs w:val="14"/>
                <w:color w:val="auto"/>
              </w:rPr>
              <w:t>Reuters;</w:t>
            </w:r>
          </w:p>
        </w:tc>
      </w:tr>
      <w:tr>
        <w:trPr>
          <w:trHeight w:val="164"/>
        </w:trPr>
        <w:tc>
          <w:tcPr>
            <w:tcW w:w="5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 Receive periodic updates from our Corporate Compliance and Audit Department on</w:t>
            </w:r>
          </w:p>
        </w:tc>
        <w:tc>
          <w:tcPr>
            <w:tcW w:w="5320" w:type="dxa"/>
            <w:vAlign w:val="bottom"/>
          </w:tcPr>
          <w:p>
            <w:pPr>
              <w:ind w:left="3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all alternative treatments of financial information within IFRS that have been</w:t>
            </w:r>
          </w:p>
        </w:tc>
      </w:tr>
      <w:tr>
        <w:trPr>
          <w:trHeight w:val="160"/>
        </w:trPr>
        <w:tc>
          <w:tcPr>
            <w:tcW w:w="5600" w:type="dxa"/>
            <w:vAlign w:val="bottom"/>
          </w:tcPr>
          <w:p>
            <w:pPr>
              <w:ind w:left="220"/>
              <w:spacing w:after="0"/>
              <w:rPr>
                <w:sz w:val="20"/>
                <w:szCs w:val="20"/>
                <w:color w:val="auto"/>
              </w:rPr>
            </w:pPr>
            <w:r>
              <w:rPr>
                <w:rFonts w:ascii="Arial" w:cs="Arial" w:eastAsia="Arial" w:hAnsi="Arial"/>
                <w:sz w:val="14"/>
                <w:szCs w:val="14"/>
                <w:color w:val="auto"/>
              </w:rPr>
              <w:t>the internal audit plan and process, internal control over financial reporting and</w:t>
            </w:r>
          </w:p>
        </w:tc>
        <w:tc>
          <w:tcPr>
            <w:tcW w:w="5320" w:type="dxa"/>
            <w:vAlign w:val="bottom"/>
          </w:tcPr>
          <w:p>
            <w:pPr>
              <w:ind w:left="520"/>
              <w:spacing w:after="0"/>
              <w:rPr>
                <w:sz w:val="20"/>
                <w:szCs w:val="20"/>
                <w:color w:val="auto"/>
              </w:rPr>
            </w:pPr>
            <w:r>
              <w:rPr>
                <w:rFonts w:ascii="Arial" w:cs="Arial" w:eastAsia="Arial" w:hAnsi="Arial"/>
                <w:sz w:val="14"/>
                <w:szCs w:val="14"/>
                <w:color w:val="auto"/>
              </w:rPr>
              <w:t>discussed with management, ramifications of the use of such alternative</w:t>
            </w:r>
          </w:p>
        </w:tc>
      </w:tr>
      <w:tr>
        <w:trPr>
          <w:trHeight w:val="157"/>
        </w:trPr>
        <w:tc>
          <w:tcPr>
            <w:tcW w:w="5600" w:type="dxa"/>
            <w:vAlign w:val="bottom"/>
          </w:tcPr>
          <w:p>
            <w:pPr>
              <w:ind w:left="220"/>
              <w:spacing w:after="0" w:line="157" w:lineRule="exact"/>
              <w:rPr>
                <w:sz w:val="20"/>
                <w:szCs w:val="20"/>
                <w:color w:val="auto"/>
              </w:rPr>
            </w:pPr>
            <w:r>
              <w:rPr>
                <w:rFonts w:ascii="Arial" w:cs="Arial" w:eastAsia="Arial" w:hAnsi="Arial"/>
                <w:sz w:val="14"/>
                <w:szCs w:val="14"/>
                <w:color w:val="auto"/>
              </w:rPr>
              <w:t>fraud-related matters;</w:t>
            </w:r>
          </w:p>
        </w:tc>
        <w:tc>
          <w:tcPr>
            <w:tcW w:w="5320" w:type="dxa"/>
            <w:vAlign w:val="bottom"/>
          </w:tcPr>
          <w:p>
            <w:pPr>
              <w:ind w:left="520"/>
              <w:spacing w:after="0" w:line="157" w:lineRule="exact"/>
              <w:rPr>
                <w:sz w:val="20"/>
                <w:szCs w:val="20"/>
                <w:color w:val="auto"/>
              </w:rPr>
            </w:pPr>
            <w:r>
              <w:rPr>
                <w:rFonts w:ascii="Arial" w:cs="Arial" w:eastAsia="Arial" w:hAnsi="Arial"/>
                <w:sz w:val="14"/>
                <w:szCs w:val="14"/>
                <w:color w:val="auto"/>
              </w:rPr>
              <w:t>treatments and the treatment preferred by the auditor; and</w:t>
            </w:r>
          </w:p>
        </w:tc>
      </w:tr>
      <w:tr>
        <w:trPr>
          <w:trHeight w:val="164"/>
        </w:trPr>
        <w:tc>
          <w:tcPr>
            <w:tcW w:w="5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 Receive periodic updates from senior management on financial risk topics such as</w:t>
            </w:r>
          </w:p>
        </w:tc>
        <w:tc>
          <w:tcPr>
            <w:tcW w:w="532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all other matters required to be communicated under PCAOB.</w:t>
            </w:r>
          </w:p>
        </w:tc>
      </w:tr>
      <w:tr>
        <w:trPr>
          <w:trHeight w:val="157"/>
        </w:trPr>
        <w:tc>
          <w:tcPr>
            <w:tcW w:w="5600" w:type="dxa"/>
            <w:vAlign w:val="bottom"/>
          </w:tcPr>
          <w:p>
            <w:pPr>
              <w:ind w:left="220"/>
              <w:spacing w:after="0" w:line="157" w:lineRule="exact"/>
              <w:rPr>
                <w:sz w:val="20"/>
                <w:szCs w:val="20"/>
                <w:color w:val="auto"/>
              </w:rPr>
            </w:pPr>
            <w:r>
              <w:rPr>
                <w:rFonts w:ascii="Arial" w:cs="Arial" w:eastAsia="Arial" w:hAnsi="Arial"/>
                <w:sz w:val="14"/>
                <w:szCs w:val="14"/>
                <w:color w:val="auto"/>
              </w:rPr>
              <w:t>tax, treasury and accounting;</w:t>
            </w:r>
          </w:p>
        </w:tc>
        <w:tc>
          <w:tcPr>
            <w:tcW w:w="5320" w:type="dxa"/>
            <w:vAlign w:val="bottom"/>
          </w:tcPr>
          <w:p>
            <w:pPr>
              <w:spacing w:after="0"/>
              <w:rPr>
                <w:sz w:val="13"/>
                <w:szCs w:val="13"/>
                <w:color w:val="auto"/>
              </w:rPr>
            </w:pPr>
          </w:p>
        </w:tc>
      </w:tr>
      <w:tr>
        <w:trPr>
          <w:trHeight w:val="186"/>
        </w:trPr>
        <w:tc>
          <w:tcPr>
            <w:tcW w:w="5600" w:type="dxa"/>
            <w:vAlign w:val="bottom"/>
            <w:tcBorders>
              <w:bottom w:val="single" w:sz="8" w:color="B94831"/>
            </w:tcBorders>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the scope and plans for the audit of our company’s financial statements;</w:t>
            </w:r>
          </w:p>
        </w:tc>
        <w:tc>
          <w:tcPr>
            <w:tcW w:w="5320" w:type="dxa"/>
            <w:vAlign w:val="bottom"/>
            <w:tcBorders>
              <w:bottom w:val="single" w:sz="8" w:color="B94831"/>
            </w:tcBorders>
          </w:tcPr>
          <w:p>
            <w:pPr>
              <w:spacing w:after="0"/>
              <w:rPr>
                <w:sz w:val="16"/>
                <w:szCs w:val="16"/>
                <w:color w:val="auto"/>
              </w:rPr>
            </w:pP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Financial Literacy</w:t>
      </w:r>
    </w:p>
    <w:p>
      <w:pPr>
        <w:spacing w:after="0" w:line="51" w:lineRule="exact"/>
        <w:rPr>
          <w:sz w:val="20"/>
          <w:szCs w:val="20"/>
          <w:color w:val="auto"/>
        </w:rPr>
      </w:pPr>
    </w:p>
    <w:p>
      <w:pPr>
        <w:ind w:left="160" w:right="360"/>
        <w:spacing w:after="0" w:line="249" w:lineRule="auto"/>
        <w:rPr>
          <w:sz w:val="20"/>
          <w:szCs w:val="20"/>
          <w:color w:val="auto"/>
        </w:rPr>
      </w:pPr>
      <w:r>
        <w:rPr>
          <w:rFonts w:ascii="Arial" w:cs="Arial" w:eastAsia="Arial" w:hAnsi="Arial"/>
          <w:sz w:val="18"/>
          <w:szCs w:val="18"/>
          <w:color w:val="auto"/>
        </w:rPr>
        <w:t>All members of the Audit Committee are financially literate in accordance with applicable Canadian and U.S. securities rules. Barry Salzberg and Beth Wilson each qualify as an “audit committee financial expert” (within the meaning of applicable SEC rules) and meet applicable tests for accounting or related financial management expertise within the meaning of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40 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Audit Committee Members’ Education and Experience</w:t>
      </w:r>
    </w:p>
    <w:p>
      <w:pPr>
        <w:spacing w:after="0" w:line="51" w:lineRule="exact"/>
        <w:rPr>
          <w:sz w:val="20"/>
          <w:szCs w:val="20"/>
          <w:color w:val="auto"/>
        </w:rPr>
      </w:pPr>
    </w:p>
    <w:p>
      <w:pPr>
        <w:ind w:left="160" w:right="660"/>
        <w:spacing w:after="0" w:line="265" w:lineRule="auto"/>
        <w:rPr>
          <w:sz w:val="20"/>
          <w:szCs w:val="20"/>
          <w:color w:val="auto"/>
        </w:rPr>
      </w:pPr>
      <w:r>
        <w:rPr>
          <w:rFonts w:ascii="Arial" w:cs="Arial" w:eastAsia="Arial" w:hAnsi="Arial"/>
          <w:sz w:val="18"/>
          <w:szCs w:val="18"/>
          <w:color w:val="auto"/>
        </w:rPr>
        <w:t>The following summarizes the education and experience of each director nominee who is a member of the Audit Committee that is relevant to the performance of his or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52705</wp:posOffset>
            </wp:positionV>
            <wp:extent cx="8255" cy="186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86690"/>
                    </a:xfrm>
                    <a:prstGeom prst="rect">
                      <a:avLst/>
                    </a:prstGeom>
                    <a:noFill/>
                  </pic:spPr>
                </pic:pic>
              </a:graphicData>
            </a:graphic>
          </wp:anchor>
        </w:drawing>
      </w: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680" w:type="dxa"/>
            <w:vAlign w:val="bottom"/>
            <w:tcBorders>
              <w:bottom w:val="single" w:sz="8" w:color="262626"/>
              <w:right w:val="single" w:sz="8" w:color="262626"/>
            </w:tcBorders>
            <w:shd w:val="clear" w:color="auto" w:fill="262626"/>
          </w:tcPr>
          <w:p>
            <w:pPr>
              <w:spacing w:after="0"/>
              <w:rPr>
                <w:sz w:val="20"/>
                <w:szCs w:val="20"/>
                <w:color w:val="auto"/>
              </w:rPr>
            </w:pPr>
            <w:r>
              <w:rPr>
                <w:rFonts w:ascii="Arial" w:cs="Arial" w:eastAsia="Arial" w:hAnsi="Arial"/>
                <w:sz w:val="15"/>
                <w:szCs w:val="15"/>
                <w:b w:val="1"/>
                <w:bCs w:val="1"/>
                <w:color w:val="FFFFFF"/>
              </w:rPr>
              <w:t>Audit Committee Member</w:t>
            </w:r>
          </w:p>
        </w:tc>
        <w:tc>
          <w:tcPr>
            <w:tcW w:w="8240" w:type="dxa"/>
            <w:vAlign w:val="bottom"/>
            <w:tcBorders>
              <w:bottom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Education/Experience</w:t>
            </w:r>
          </w:p>
        </w:tc>
      </w:tr>
      <w:tr>
        <w:trPr>
          <w:trHeight w:val="201"/>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Barry Salzberg (Chair)</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Global Chief Executive Officer of Deloitte Touche Tohmatsu Limited</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Professor at Columbia Business School</w:t>
            </w:r>
          </w:p>
        </w:tc>
      </w:tr>
      <w:tr>
        <w:trPr>
          <w:trHeight w:val="211"/>
        </w:trPr>
        <w:tc>
          <w:tcPr>
            <w:tcW w:w="2680" w:type="dxa"/>
            <w:vAlign w:val="bottom"/>
            <w:tcBorders>
              <w:right w:val="single" w:sz="8" w:color="AFAFAF"/>
            </w:tcBorders>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 Degree in accounting from Brooklyn College, JD from Brooklyn Law School and LLM in Tax from New York University</w:t>
            </w:r>
          </w:p>
        </w:tc>
      </w:tr>
      <w:tr>
        <w:trPr>
          <w:trHeight w:val="29"/>
        </w:trPr>
        <w:tc>
          <w:tcPr>
            <w:tcW w:w="2680" w:type="dxa"/>
            <w:vAlign w:val="bottom"/>
            <w:tcBorders>
              <w:bottom w:val="single" w:sz="8" w:color="AFAFAF"/>
              <w:right w:val="single" w:sz="8" w:color="AFAFAF"/>
            </w:tcBorders>
          </w:tcPr>
          <w:p>
            <w:pPr>
              <w:spacing w:after="0"/>
              <w:rPr>
                <w:sz w:val="2"/>
                <w:szCs w:val="2"/>
                <w:color w:val="auto"/>
              </w:rPr>
            </w:pPr>
          </w:p>
        </w:tc>
        <w:tc>
          <w:tcPr>
            <w:tcW w:w="8240" w:type="dxa"/>
            <w:vAlign w:val="bottom"/>
            <w:tcBorders>
              <w:bottom w:val="single" w:sz="8" w:color="AFAFAF"/>
            </w:tcBorders>
          </w:tcPr>
          <w:p>
            <w:pPr>
              <w:spacing w:after="0"/>
              <w:rPr>
                <w:sz w:val="2"/>
                <w:szCs w:val="2"/>
                <w:color w:val="auto"/>
              </w:rPr>
            </w:pPr>
          </w:p>
        </w:tc>
      </w:tr>
      <w:tr>
        <w:trPr>
          <w:trHeight w:val="195"/>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LaVerne Council</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 MBA and bachelor’s degree in business administration</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CONMED Corporation board of directors and audit committee</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Concentrix Corporation board of directors and audit committee</w:t>
            </w:r>
          </w:p>
        </w:tc>
      </w:tr>
      <w:tr>
        <w:trPr>
          <w:trHeight w:val="211"/>
        </w:trPr>
        <w:tc>
          <w:tcPr>
            <w:tcW w:w="2680" w:type="dxa"/>
            <w:vAlign w:val="bottom"/>
            <w:tcBorders>
              <w:right w:val="single" w:sz="8" w:color="AFAFAF"/>
            </w:tcBorders>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Mathematica board of directors and audit committee</w:t>
            </w:r>
          </w:p>
        </w:tc>
      </w:tr>
      <w:tr>
        <w:trPr>
          <w:trHeight w:val="29"/>
        </w:trPr>
        <w:tc>
          <w:tcPr>
            <w:tcW w:w="2680" w:type="dxa"/>
            <w:vAlign w:val="bottom"/>
            <w:tcBorders>
              <w:bottom w:val="single" w:sz="8" w:color="AFAFAF"/>
              <w:right w:val="single" w:sz="8" w:color="AFAFAF"/>
            </w:tcBorders>
          </w:tcPr>
          <w:p>
            <w:pPr>
              <w:spacing w:after="0"/>
              <w:rPr>
                <w:sz w:val="2"/>
                <w:szCs w:val="2"/>
                <w:color w:val="auto"/>
              </w:rPr>
            </w:pPr>
          </w:p>
        </w:tc>
        <w:tc>
          <w:tcPr>
            <w:tcW w:w="8240" w:type="dxa"/>
            <w:vAlign w:val="bottom"/>
            <w:tcBorders>
              <w:bottom w:val="single" w:sz="8" w:color="AFAFAF"/>
            </w:tcBorders>
          </w:tcPr>
          <w:p>
            <w:pPr>
              <w:spacing w:after="0"/>
              <w:rPr>
                <w:sz w:val="2"/>
                <w:szCs w:val="2"/>
                <w:color w:val="auto"/>
              </w:rPr>
            </w:pPr>
          </w:p>
        </w:tc>
      </w:tr>
      <w:tr>
        <w:trPr>
          <w:trHeight w:val="195"/>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Michael E. Daniels</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 More than 25 years of executive experience at IBM</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member of the Tyco International Ltd. audit committee</w:t>
            </w:r>
          </w:p>
        </w:tc>
      </w:tr>
      <w:tr>
        <w:trPr>
          <w:trHeight w:val="211"/>
        </w:trPr>
        <w:tc>
          <w:tcPr>
            <w:tcW w:w="2680" w:type="dxa"/>
            <w:vAlign w:val="bottom"/>
            <w:tcBorders>
              <w:right w:val="single" w:sz="8" w:color="AFAFAF"/>
            </w:tcBorders>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SS&amp;C Technologies Holdings, Inc. and Johnson Controls International plc boards of directors</w:t>
            </w:r>
          </w:p>
        </w:tc>
      </w:tr>
      <w:tr>
        <w:trPr>
          <w:trHeight w:val="29"/>
        </w:trPr>
        <w:tc>
          <w:tcPr>
            <w:tcW w:w="2680" w:type="dxa"/>
            <w:vAlign w:val="bottom"/>
            <w:tcBorders>
              <w:bottom w:val="single" w:sz="8" w:color="AFAFAF"/>
              <w:right w:val="single" w:sz="8" w:color="AFAFAF"/>
            </w:tcBorders>
          </w:tcPr>
          <w:p>
            <w:pPr>
              <w:spacing w:after="0"/>
              <w:rPr>
                <w:sz w:val="2"/>
                <w:szCs w:val="2"/>
                <w:color w:val="auto"/>
              </w:rPr>
            </w:pPr>
          </w:p>
        </w:tc>
        <w:tc>
          <w:tcPr>
            <w:tcW w:w="8240" w:type="dxa"/>
            <w:vAlign w:val="bottom"/>
            <w:tcBorders>
              <w:bottom w:val="single" w:sz="8" w:color="AFAFAF"/>
            </w:tcBorders>
          </w:tcPr>
          <w:p>
            <w:pPr>
              <w:spacing w:after="0"/>
              <w:rPr>
                <w:sz w:val="2"/>
                <w:szCs w:val="2"/>
                <w:color w:val="auto"/>
              </w:rPr>
            </w:pPr>
          </w:p>
        </w:tc>
      </w:tr>
      <w:tr>
        <w:trPr>
          <w:trHeight w:val="195"/>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Deanna Oppenheimer</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Vice Chair of Global Retail Banking of Barclays PLC</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President of Consumer Banking of Washington Mutual, Inc.</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member of AXA Global Insurance audit committee</w:t>
            </w:r>
          </w:p>
        </w:tc>
      </w:tr>
      <w:tr>
        <w:trPr>
          <w:trHeight w:val="211"/>
        </w:trPr>
        <w:tc>
          <w:tcPr>
            <w:tcW w:w="2680" w:type="dxa"/>
            <w:vAlign w:val="bottom"/>
            <w:tcBorders>
              <w:right w:val="single" w:sz="8" w:color="AFAFAF"/>
            </w:tcBorders>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member of NCR Corporation audit committee</w:t>
            </w:r>
          </w:p>
        </w:tc>
      </w:tr>
      <w:tr>
        <w:trPr>
          <w:trHeight w:val="29"/>
        </w:trPr>
        <w:tc>
          <w:tcPr>
            <w:tcW w:w="2680" w:type="dxa"/>
            <w:vAlign w:val="bottom"/>
            <w:tcBorders>
              <w:bottom w:val="single" w:sz="8" w:color="AFAFAF"/>
              <w:right w:val="single" w:sz="8" w:color="AFAFAF"/>
            </w:tcBorders>
          </w:tcPr>
          <w:p>
            <w:pPr>
              <w:spacing w:after="0"/>
              <w:rPr>
                <w:sz w:val="2"/>
                <w:szCs w:val="2"/>
                <w:color w:val="auto"/>
              </w:rPr>
            </w:pPr>
          </w:p>
        </w:tc>
        <w:tc>
          <w:tcPr>
            <w:tcW w:w="8240" w:type="dxa"/>
            <w:vAlign w:val="bottom"/>
            <w:tcBorders>
              <w:bottom w:val="single" w:sz="8" w:color="AFAFAF"/>
            </w:tcBorders>
          </w:tcPr>
          <w:p>
            <w:pPr>
              <w:spacing w:after="0"/>
              <w:rPr>
                <w:sz w:val="2"/>
                <w:szCs w:val="2"/>
                <w:color w:val="auto"/>
              </w:rPr>
            </w:pPr>
          </w:p>
        </w:tc>
      </w:tr>
      <w:tr>
        <w:trPr>
          <w:trHeight w:val="195"/>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Simon Paris</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 Chief Executive Officer of Finastra</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 Chair of the World Trade Board</w:t>
            </w:r>
          </w:p>
        </w:tc>
      </w:tr>
      <w:tr>
        <w:trPr>
          <w:trHeight w:val="211"/>
        </w:trPr>
        <w:tc>
          <w:tcPr>
            <w:tcW w:w="2680" w:type="dxa"/>
            <w:vAlign w:val="bottom"/>
            <w:tcBorders>
              <w:right w:val="single" w:sz="8" w:color="AFAFAF"/>
            </w:tcBorders>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Everbridge, Inc. board of directors</w:t>
            </w:r>
          </w:p>
        </w:tc>
      </w:tr>
      <w:tr>
        <w:trPr>
          <w:trHeight w:val="29"/>
        </w:trPr>
        <w:tc>
          <w:tcPr>
            <w:tcW w:w="2680" w:type="dxa"/>
            <w:vAlign w:val="bottom"/>
            <w:tcBorders>
              <w:bottom w:val="single" w:sz="8" w:color="AFAFAF"/>
              <w:right w:val="single" w:sz="8" w:color="AFAFAF"/>
            </w:tcBorders>
          </w:tcPr>
          <w:p>
            <w:pPr>
              <w:spacing w:after="0"/>
              <w:rPr>
                <w:sz w:val="2"/>
                <w:szCs w:val="2"/>
                <w:color w:val="auto"/>
              </w:rPr>
            </w:pPr>
          </w:p>
        </w:tc>
        <w:tc>
          <w:tcPr>
            <w:tcW w:w="8240" w:type="dxa"/>
            <w:vAlign w:val="bottom"/>
            <w:tcBorders>
              <w:bottom w:val="single" w:sz="8" w:color="AFAFAF"/>
            </w:tcBorders>
          </w:tcPr>
          <w:p>
            <w:pPr>
              <w:spacing w:after="0"/>
              <w:rPr>
                <w:sz w:val="2"/>
                <w:szCs w:val="2"/>
                <w:color w:val="auto"/>
              </w:rPr>
            </w:pPr>
          </w:p>
        </w:tc>
      </w:tr>
      <w:tr>
        <w:trPr>
          <w:trHeight w:val="195"/>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Kim M. Rivera</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 Chief Legal Officer and Business Affairs Officer, OneTrust, LLC</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President, Strategy and Business Management and Chief Legal Officer of HP Inc.</w:t>
            </w:r>
          </w:p>
        </w:tc>
      </w:tr>
      <w:tr>
        <w:trPr>
          <w:trHeight w:val="211"/>
        </w:trPr>
        <w:tc>
          <w:tcPr>
            <w:tcW w:w="2680" w:type="dxa"/>
            <w:vAlign w:val="bottom"/>
            <w:tcBorders>
              <w:right w:val="single" w:sz="8" w:color="AFAFAF"/>
            </w:tcBorders>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 Supported audit committees of two publicly traded Fortune 500 companies</w:t>
            </w:r>
          </w:p>
        </w:tc>
      </w:tr>
      <w:tr>
        <w:trPr>
          <w:trHeight w:val="29"/>
        </w:trPr>
        <w:tc>
          <w:tcPr>
            <w:tcW w:w="2680" w:type="dxa"/>
            <w:vAlign w:val="bottom"/>
            <w:tcBorders>
              <w:bottom w:val="single" w:sz="8" w:color="AFAFAF"/>
              <w:right w:val="single" w:sz="8" w:color="AFAFAF"/>
            </w:tcBorders>
          </w:tcPr>
          <w:p>
            <w:pPr>
              <w:spacing w:after="0"/>
              <w:rPr>
                <w:sz w:val="2"/>
                <w:szCs w:val="2"/>
                <w:color w:val="auto"/>
              </w:rPr>
            </w:pPr>
          </w:p>
        </w:tc>
        <w:tc>
          <w:tcPr>
            <w:tcW w:w="8240" w:type="dxa"/>
            <w:vAlign w:val="bottom"/>
            <w:tcBorders>
              <w:bottom w:val="single" w:sz="8" w:color="AFAFAF"/>
            </w:tcBorders>
          </w:tcPr>
          <w:p>
            <w:pPr>
              <w:spacing w:after="0"/>
              <w:rPr>
                <w:sz w:val="2"/>
                <w:szCs w:val="2"/>
                <w:color w:val="auto"/>
              </w:rPr>
            </w:pPr>
          </w:p>
        </w:tc>
      </w:tr>
      <w:tr>
        <w:trPr>
          <w:trHeight w:val="195"/>
        </w:trPr>
        <w:tc>
          <w:tcPr>
            <w:tcW w:w="26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Beth Wilson</w:t>
            </w:r>
          </w:p>
        </w:tc>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 Chair of the Chartered Professional Accountants of Canada</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audit partner and Managing Partner at KPMG</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Chief Executive Officer of Dentons Canada LLP</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 Audit Committee Chair at The Hospital for Sick Children and Woodgreen Foundation</w:t>
            </w:r>
          </w:p>
        </w:tc>
      </w:tr>
      <w:tr>
        <w:trPr>
          <w:trHeight w:val="160"/>
        </w:trPr>
        <w:tc>
          <w:tcPr>
            <w:tcW w:w="2680" w:type="dxa"/>
            <w:vAlign w:val="bottom"/>
            <w:tcBorders>
              <w:right w:val="single" w:sz="8" w:color="AFAFAF"/>
            </w:tcBorders>
          </w:tcPr>
          <w:p>
            <w:pPr>
              <w:spacing w:after="0"/>
              <w:rPr>
                <w:sz w:val="13"/>
                <w:szCs w:val="13"/>
                <w:color w:val="auto"/>
              </w:rPr>
            </w:pPr>
          </w:p>
        </w:tc>
        <w:tc>
          <w:tcPr>
            <w:tcW w:w="82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Power Corporation of Canada and IGM Financial Inc. audit committees</w:t>
            </w:r>
          </w:p>
        </w:tc>
      </w:tr>
      <w:tr>
        <w:trPr>
          <w:trHeight w:val="164"/>
        </w:trPr>
        <w:tc>
          <w:tcPr>
            <w:tcW w:w="2680" w:type="dxa"/>
            <w:vAlign w:val="bottom"/>
            <w:tcBorders>
              <w:right w:val="single" w:sz="8" w:color="AFAFAF"/>
            </w:tcBorders>
          </w:tcPr>
          <w:p>
            <w:pPr>
              <w:spacing w:after="0"/>
              <w:rPr>
                <w:sz w:val="14"/>
                <w:szCs w:val="14"/>
                <w:color w:val="auto"/>
              </w:rPr>
            </w:pPr>
          </w:p>
        </w:tc>
        <w:tc>
          <w:tcPr>
            <w:tcW w:w="824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 Bachelor of Commerce degree from University of Toronto and a Certified Professional Accountant in good standing with the</w:t>
            </w:r>
          </w:p>
        </w:tc>
      </w:tr>
      <w:tr>
        <w:trPr>
          <w:trHeight w:val="189"/>
        </w:trPr>
        <w:tc>
          <w:tcPr>
            <w:tcW w:w="2680" w:type="dxa"/>
            <w:vAlign w:val="bottom"/>
            <w:tcBorders>
              <w:right w:val="single" w:sz="8" w:color="AFAFAF"/>
            </w:tcBorders>
          </w:tcPr>
          <w:p>
            <w:pPr>
              <w:spacing w:after="0"/>
              <w:rPr>
                <w:sz w:val="16"/>
                <w:szCs w:val="16"/>
                <w:color w:val="auto"/>
              </w:rPr>
            </w:pPr>
          </w:p>
        </w:tc>
        <w:tc>
          <w:tcPr>
            <w:tcW w:w="8240" w:type="dxa"/>
            <w:vAlign w:val="bottom"/>
          </w:tcPr>
          <w:p>
            <w:pPr>
              <w:ind w:left="300"/>
              <w:spacing w:after="0"/>
              <w:rPr>
                <w:sz w:val="20"/>
                <w:szCs w:val="20"/>
                <w:color w:val="auto"/>
              </w:rPr>
            </w:pPr>
            <w:r>
              <w:rPr>
                <w:rFonts w:ascii="Arial" w:cs="Arial" w:eastAsia="Arial" w:hAnsi="Arial"/>
                <w:sz w:val="14"/>
                <w:szCs w:val="14"/>
                <w:color w:val="auto"/>
              </w:rPr>
              <w:t>Chartered Professional Accountants of Ontario</w:t>
            </w:r>
          </w:p>
        </w:tc>
      </w:tr>
      <w:tr>
        <w:trPr>
          <w:trHeight w:val="48"/>
        </w:trPr>
        <w:tc>
          <w:tcPr>
            <w:tcW w:w="2680" w:type="dxa"/>
            <w:vAlign w:val="bottom"/>
            <w:tcBorders>
              <w:bottom w:val="single" w:sz="8" w:color="B94831"/>
              <w:right w:val="single" w:sz="8" w:color="AFAFAF"/>
            </w:tcBorders>
          </w:tcPr>
          <w:p>
            <w:pPr>
              <w:spacing w:after="0"/>
              <w:rPr>
                <w:sz w:val="4"/>
                <w:szCs w:val="4"/>
                <w:color w:val="auto"/>
              </w:rPr>
            </w:pPr>
          </w:p>
        </w:tc>
        <w:tc>
          <w:tcPr>
            <w:tcW w:w="8240" w:type="dxa"/>
            <w:vAlign w:val="bottom"/>
            <w:tcBorders>
              <w:bottom w:val="single" w:sz="8" w:color="B94831"/>
            </w:tcBorders>
          </w:tcPr>
          <w:p>
            <w:pPr>
              <w:spacing w:after="0"/>
              <w:rPr>
                <w:sz w:val="4"/>
                <w:szCs w:val="4"/>
                <w:color w:val="auto"/>
              </w:rPr>
            </w:pP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Financial Reporting</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Audit Committee meets to discuss and review our:</w:t>
      </w:r>
    </w:p>
    <w:p>
      <w:pPr>
        <w:sectPr>
          <w:pgSz w:w="11900" w:h="16838" w:orient="portrait"/>
          <w:cols w:equalWidth="0" w:num="1">
            <w:col w:w="11080"/>
          </w:cols>
          <w:pgMar w:left="320" w:top="454" w:right="49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annual and quarterly earnings releases; and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annual and quarterly management’s discussion and analysis (MD&amp;A) and related financial statements.</w:t>
      </w:r>
    </w:p>
    <w:p>
      <w:pPr>
        <w:spacing w:after="0" w:line="125"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right="60"/>
        <w:spacing w:after="0" w:line="249" w:lineRule="auto"/>
        <w:rPr>
          <w:sz w:val="20"/>
          <w:szCs w:val="20"/>
          <w:color w:val="auto"/>
        </w:rPr>
      </w:pPr>
      <w:r>
        <w:rPr>
          <w:rFonts w:ascii="Arial" w:cs="Arial" w:eastAsia="Arial" w:hAnsi="Arial"/>
          <w:sz w:val="18"/>
          <w:szCs w:val="18"/>
          <w:color w:val="auto"/>
        </w:rPr>
        <w:t>As is customary for a number of global multinational companies, the Board has delegated review and approval authority to the Audit Committee for our quarterly earnings releases, MD&amp;A and financial statements. Following the Audit Committee’s recommendation, the full Board reviews and approves our annual MD&amp;A and annual audited financial statements, as required by applicable law.</w:t>
      </w:r>
    </w:p>
    <w:p>
      <w:pPr>
        <w:spacing w:after="0" w:line="65"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Prior to an Audit Committee meeting at which draft financial reporting documents will be discussed, a draft is distributed to the members of the Audit Committee for review and comment. The CFO and the Chief Accounting Officer and a representative from the independent auditor meet with the Chair of the Audit Committee to preview the audit-related issues which will be discussed at the Audit Committee meeting. At the Audit Committee meeting, the Chief Accounting Officer discusses the financial statements and disclosure matters and the Audit Committee members are given an opportunity to raise any questions or comments. The independent auditor also participates in the meeting. All directors are also provided with a draft and an opportunity to comment before or during the Audit Committee meeting. When the Audit Committee is satisfied with the disclosure, it provides its approval and the material is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336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41</w:t>
      </w:r>
    </w:p>
    <w:p>
      <w:pPr>
        <w:sectPr>
          <w:pgSz w:w="11900" w:h="16838" w:orient="portrait"/>
          <w:cols w:equalWidth="0" w:num="1">
            <w:col w:w="11080"/>
          </w:cols>
          <w:pgMar w:left="320" w:top="454" w:right="4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For the annual report, a draft is distributed to the members of the Board in advance of a Board meeting for their review and approval. At the Board meeting, directors are given an opportunity to raise any questions or comments.</w:t>
      </w:r>
    </w:p>
    <w:p>
      <w:pPr>
        <w:spacing w:after="0" w:line="5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Based upon the reports and discussions described in this circular, and subject to the limitations on the role and responsibilities of the Audit Committee in its charter, the Audit Committee recommended that our Board approve the filing of the audited consolidated financial statements and related MD&amp;A and their inclusion in our annual report for the year ended December 31, 2023.</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Independent Auditor</w:t>
      </w:r>
    </w:p>
    <w:p>
      <w:pPr>
        <w:spacing w:after="0" w:line="51"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The Audit Committee is responsible for selecting, evaluating and recommending for nomination the independent auditor to be proposed for appointment or re-appointment. The Audit Committee recommended that PricewaterhouseCoopers LLP be re-appointed as our independent auditor to serve until our next meeting of shareholders in 2025 and that our Board submit this appointment to shareholders for approval at the 2024 annual meeting of shareholders. In connection with recommending PricewaterhouseCoopers LLP, the Audit Committee considered the firm’s provision of services to Thomson Reuters over the last year, including the performance of the lead audit engagement partner and the audit team. The Audit Committee also reviewed the appropriateness of PricewaterhouseCoopers LLP’s fees in relation to the size of Thomson Reuters and its global footprint. The Audit Committee continues to be satisfied with PricewaterhouseCoopers LLP’s performance and believes that its continued retention as independent auditor is in the best interests of Thomson Reuters and its shareholders.</w:t>
      </w:r>
    </w:p>
    <w:p>
      <w:pPr>
        <w:spacing w:after="0" w:line="73"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Throughout the year, the Audit Committee evaluates and is directly responsible for our company’s relationship with PricewaterhouseCoopers LLP. The Audit Committee appoints PricewaterhouseCoopers LLP as our independent auditor after reviewing and approving its engagement letter. The Audit Committee also determines PricewaterhouseCoopers LLP’s fees.</w:t>
      </w:r>
    </w:p>
    <w:p>
      <w:pPr>
        <w:spacing w:after="0" w:line="65" w:lineRule="exact"/>
        <w:rPr>
          <w:sz w:val="20"/>
          <w:szCs w:val="20"/>
          <w:color w:val="auto"/>
        </w:rPr>
      </w:pPr>
    </w:p>
    <w:p>
      <w:pPr>
        <w:ind w:left="160" w:right="20"/>
        <w:spacing w:after="0" w:line="295" w:lineRule="auto"/>
        <w:rPr>
          <w:sz w:val="20"/>
          <w:szCs w:val="20"/>
          <w:color w:val="auto"/>
        </w:rPr>
      </w:pPr>
      <w:r>
        <w:rPr>
          <w:rFonts w:ascii="Arial" w:cs="Arial" w:eastAsia="Arial" w:hAnsi="Arial"/>
          <w:sz w:val="17"/>
          <w:szCs w:val="17"/>
          <w:color w:val="auto"/>
        </w:rPr>
        <w:t>The Audit Committee and representatives from PricewaterhouseCoopers LLP meet several times during the year. In 2023, representatives from PricewaterhouseCoopers LLP attended each Audit Committee meeting and met with the Audit Committee in separate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55245</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p>
      <w:pPr>
        <w:ind w:left="160" w:right="140"/>
        <w:spacing w:after="0" w:line="271" w:lineRule="auto"/>
        <w:rPr>
          <w:sz w:val="20"/>
          <w:szCs w:val="20"/>
          <w:color w:val="auto"/>
        </w:rPr>
      </w:pPr>
      <w:r>
        <w:rPr>
          <w:rFonts w:ascii="Arial" w:cs="Arial" w:eastAsia="Arial" w:hAnsi="Arial"/>
          <w:sz w:val="27"/>
          <w:szCs w:val="27"/>
          <w:color w:val="auto"/>
        </w:rPr>
        <w:t>PricewaterhouseCoopers LLP is accountable to the Audit Committee and reports directly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7" w:lineRule="exact"/>
        <w:rPr>
          <w:sz w:val="20"/>
          <w:szCs w:val="20"/>
          <w:color w:val="auto"/>
        </w:rPr>
      </w:pPr>
    </w:p>
    <w:p>
      <w:pPr>
        <w:ind w:left="160" w:right="600"/>
        <w:spacing w:after="0" w:line="265" w:lineRule="auto"/>
        <w:rPr>
          <w:sz w:val="20"/>
          <w:szCs w:val="20"/>
          <w:color w:val="auto"/>
        </w:rPr>
      </w:pPr>
      <w:r>
        <w:rPr>
          <w:rFonts w:ascii="Arial" w:cs="Arial" w:eastAsia="Arial" w:hAnsi="Arial"/>
          <w:sz w:val="18"/>
          <w:szCs w:val="18"/>
          <w:color w:val="auto"/>
        </w:rPr>
        <w:t>On an annual basis, before PricewaterhouseCoopers LLP issues its report on our company’s annual financial statements, the Audit Committee:</w:t>
      </w:r>
    </w:p>
    <w:p>
      <w:pPr>
        <w:sectPr>
          <w:pgSz w:w="11900" w:h="16838" w:orient="portrait"/>
          <w:cols w:equalWidth="0" w:num="1">
            <w:col w:w="11080"/>
          </w:cols>
          <w:pgMar w:left="320" w:top="454" w:right="499" w:bottom="1440" w:gutter="0" w:footer="0" w:header="0"/>
        </w:sectPr>
      </w:pP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Confirms that PricewaterhouseCoopers LLP has submitted a written statement describing all of its relationships with Thomson Reuters that, in PricewaterhouseCoopers LLP’s professional judgment, may reasonably be thought to bear on its independence;</w:t>
      </w:r>
    </w:p>
    <w:p>
      <w:pPr>
        <w:spacing w:after="0" w:line="24"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Discusses any disclosed relationships or services, including any non-audit services, that PricewaterhouseCoopers LLP has provided to Thomson Reuters that may affect its independence;</w:t>
      </w:r>
    </w:p>
    <w:p>
      <w:pPr>
        <w:spacing w:after="0" w:line="24"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480" w:right="400" w:hanging="313"/>
        <w:spacing w:after="0" w:line="249" w:lineRule="auto"/>
        <w:tabs>
          <w:tab w:leader="none" w:pos="480" w:val="left"/>
        </w:tabs>
        <w:numPr>
          <w:ilvl w:val="0"/>
          <w:numId w:val="15"/>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Obtains written confirmation from PricewaterhouseCoopers LLP that it is independent with respect to Thomson Reuters within the meaning of the Rules of Professional Conduct adopted by the Ontario Institute of Chartered Accountants and the standards established by the Public Company Accounting Oversight Board; and</w:t>
      </w:r>
    </w:p>
    <w:p>
      <w:pPr>
        <w:spacing w:after="0" w:line="37" w:lineRule="exact"/>
        <w:rPr>
          <w:rFonts w:ascii="Times New Roman" w:cs="Times New Roman" w:eastAsia="Times New Roman" w:hAnsi="Times New Roman"/>
          <w:sz w:val="16"/>
          <w:szCs w:val="16"/>
          <w:color w:val="B94831"/>
          <w:vertAlign w:val="superscript"/>
        </w:rPr>
      </w:pPr>
    </w:p>
    <w:p>
      <w:pPr>
        <w:ind w:left="480" w:right="260" w:hanging="313"/>
        <w:spacing w:after="0" w:line="265" w:lineRule="auto"/>
        <w:tabs>
          <w:tab w:leader="none" w:pos="480" w:val="left"/>
        </w:tabs>
        <w:numPr>
          <w:ilvl w:val="0"/>
          <w:numId w:val="15"/>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Confirms that PricewaterhouseCoopers LLP has complied with applicable law with respect to the rotation of certain members of the audit engagement team for Thomson Reuters.</w:t>
      </w:r>
    </w:p>
    <w:p>
      <w:pPr>
        <w:spacing w:after="0" w:line="51"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color w:val="auto"/>
        </w:rPr>
        <w:t>The Audit Committee has also adopted a policy regarding its pre-approval of all audit and permissible non-audit services provided to our company by PricewaterhouseCoopers LLP.</w:t>
      </w:r>
    </w:p>
    <w:p>
      <w:pPr>
        <w:spacing w:after="0" w:line="24" w:lineRule="exact"/>
        <w:rPr>
          <w:sz w:val="20"/>
          <w:szCs w:val="20"/>
          <w:color w:val="auto"/>
        </w:rPr>
      </w:pPr>
    </w:p>
    <w:p>
      <w:pPr>
        <w:ind w:left="480" w:right="500" w:hanging="313"/>
        <w:spacing w:after="0" w:line="265" w:lineRule="auto"/>
        <w:tabs>
          <w:tab w:leader="none" w:pos="480" w:val="left"/>
        </w:tabs>
        <w:numPr>
          <w:ilvl w:val="0"/>
          <w:numId w:val="16"/>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policy gives detailed guidance to management as to the specific types of services that have been pre-approved by the Audit Committee.</w:t>
      </w:r>
    </w:p>
    <w:p>
      <w:pPr>
        <w:spacing w:after="0" w:line="24" w:lineRule="exact"/>
        <w:rPr>
          <w:rFonts w:ascii="Times New Roman" w:cs="Times New Roman" w:eastAsia="Times New Roman" w:hAnsi="Times New Roman"/>
          <w:sz w:val="16"/>
          <w:szCs w:val="16"/>
          <w:color w:val="B94831"/>
          <w:vertAlign w:val="superscript"/>
        </w:rPr>
      </w:pPr>
    </w:p>
    <w:p>
      <w:pPr>
        <w:ind w:left="480" w:right="400" w:hanging="313"/>
        <w:spacing w:after="0" w:line="265" w:lineRule="auto"/>
        <w:tabs>
          <w:tab w:leader="none" w:pos="480" w:val="left"/>
        </w:tabs>
        <w:numPr>
          <w:ilvl w:val="0"/>
          <w:numId w:val="16"/>
        </w:numPr>
        <w:rPr>
          <w:rFonts w:ascii="Times New Roman" w:cs="Times New Roman" w:eastAsia="Times New Roman" w:hAnsi="Times New Roman"/>
          <w:sz w:val="16"/>
          <w:szCs w:val="16"/>
          <w:color w:val="B94831"/>
          <w:vertAlign w:val="superscript"/>
        </w:rPr>
      </w:pPr>
      <w:r>
        <w:rPr>
          <w:rFonts w:ascii="Arial" w:cs="Arial" w:eastAsia="Arial" w:hAnsi="Arial"/>
          <w:sz w:val="18"/>
          <w:szCs w:val="18"/>
          <w:color w:val="auto"/>
        </w:rPr>
        <w:t>The policy requires the Audit Committee’s specific pre-approval of all other permitted types of services that have not already been pre-approved.</w:t>
      </w:r>
    </w:p>
    <w:p>
      <w:pPr>
        <w:spacing w:after="0" w:line="51"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The Audit Committee’s charter allows the Audit Committee to delegate to one or more members the authority to evaluate and approve engagements in the event that the need arises for approval between Audit Committee meetings. Pursuant to this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42 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provision, the Audit Committee has delegated this authority to its Chair. If the Chair approves any such engagements, he must report his approval decisions to the full Audit Committee at its next meeting. For the year ended December 31, 2023, none of the audit-related, tax or all other fees of Thomson Reuters described above made use of the de minimis exception to pre-approval provisions contained in Rule 2-01(c)(7)(i)(c) of SEC Regulation S-X and Section 2.4 of the Canadian Securities Administrators’ Multilateral Instrument 52-110 (Audit Committees).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Internal Audit and Internal Control Over Financial Reporting</w:t>
      </w:r>
    </w:p>
    <w:p>
      <w:pPr>
        <w:spacing w:after="0" w:line="51" w:lineRule="exact"/>
        <w:rPr>
          <w:sz w:val="20"/>
          <w:szCs w:val="20"/>
          <w:color w:val="auto"/>
        </w:rPr>
      </w:pPr>
    </w:p>
    <w:p>
      <w:pPr>
        <w:ind w:left="160" w:right="180"/>
        <w:spacing w:after="0" w:line="262"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for external purposes in accordance with international financial reporting standards. Our company has adopted the Committee of Sponsoring Organizations of the Treadway Commission guidance for implementing our internal control framework as part of compliance with the Sarbanes-Oxley Act and applicable Canadian securities law.</w:t>
      </w:r>
    </w:p>
    <w:p>
      <w:pPr>
        <w:spacing w:after="0" w:line="56"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The Corporate Compliance and Audit department of our company, which performs an internal audit function, prepares and oversees the overall plan for assessing our internal control over financial reporting.</w:t>
      </w:r>
    </w:p>
    <w:p>
      <w:pPr>
        <w:spacing w:after="0" w:line="51"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Each year, Corporate Compliance and Audit identifies certain processes, entities and/or significant accounts to be within the scope of its internal control focus areas and testing for the year. In determining the proposed scope of its annual internal audit plan, the Corporate Compliance and Audit department identifies, assesses and prioritizes risk to Thomson Reuters and considers both quantitative and qualitative factors in its assessment.</w:t>
      </w:r>
    </w:p>
    <w:p>
      <w:pPr>
        <w:spacing w:after="0" w:line="7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In the first quarter of 2023, Corporate Compliance and Audit presented an annual internal audit plan to the Audit Committee for its review and approval. The Head of Corporate Compliance and Audit met with the Chair of the Audit Committee to preview internal audit and internal controls matters which were to be discussed at each Audit Committee meeting. The Head of Corporate Compliance and Audit then provided updates to the Audit Committee at meetings throughout the year. During the second half of 2023, the Corporate Compliance and Audit department tested applicable internal controls over financial reporting in order to achieve compliance with the required year-end evaluation of the effectiveness of the company’s internal control environment.</w:t>
      </w:r>
    </w:p>
    <w:p>
      <w:pPr>
        <w:spacing w:after="0" w:line="74"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2023. In March 2024, the Audit Committee reviewed and discussed with management its assessment and report on the effectiveness of our internal control over financial reporting as of December 31, 2023. The Audit Committee also reviewed and discussed with PricewaterhouseCoopers LLP its independent review and report on the effectiveness of our internal controls over financial reporting.</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Disclosure and Communications Controls and Procedures</w:t>
      </w:r>
    </w:p>
    <w:p>
      <w:pPr>
        <w:spacing w:after="0" w:line="51"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We have adopted disclosure controls and procedures to ensure that all information required to be disclosed by us in reports and filings with Canadian and U.S. securities regulatory authorities and stock exchanges and other written and oral information that we publicly disclose is recorded, processed, summarized and reported accurately and within the time periods specified by rules and regulations of the securities regulatory authorities. These disclosure controls and procedures are also designed to ensure that this information is accumulated and communicated to management (including the CEO and CFO), as appropriate, to allow timely decisions regarding required disclosure. The Audit Committee receives an annual update from management regarding the adequacy and effectiveness of our disclosure controls and procedures, including the role and responsibilities of management’s disclosure committee.</w:t>
      </w:r>
    </w:p>
    <w:p>
      <w:pPr>
        <w:spacing w:after="0" w:line="74"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As required by applicable Canadian and U.S. securities laws, our CEO and CFO provide certifications that they have reviewed our annual and quarterly reports, that the reports contain no untrue statements or omissions of material facts and that the reports fairly present our financial condition, results of operations and cash flows. In addition, the CEO and CFO make certifications regarding our disclosure controls and procedures and internal control over financial reporting. Our CEO and CFO concluded that our disclosure controls and procedures were effective as of December 31, 2023.</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Risk Assessment and Management</w:t>
      </w:r>
    </w:p>
    <w:p>
      <w:pPr>
        <w:spacing w:after="0" w:line="42"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The Audit Committee continues to discuss Thomson Reuters’ guidelines and policies that govern the overall process by which risk assessment and risk management is undertaken at the company. As part of this oversight role, the Audit Committee periodically reviews reports from or meets with the Risk Committee regarding the company’s processes for assessing and managing risk. Risk</w:t>
      </w:r>
    </w:p>
    <w:p>
      <w:pPr>
        <w:spacing w:after="0" w:line="1" w:lineRule="exact"/>
        <w:rPr>
          <w:sz w:val="20"/>
          <w:szCs w:val="20"/>
          <w:color w:val="auto"/>
        </w:rPr>
      </w:pPr>
    </w:p>
    <w:p>
      <w:pPr>
        <w:ind w:left="160" w:right="520"/>
        <w:spacing w:after="0" w:line="244" w:lineRule="auto"/>
        <w:rPr>
          <w:sz w:val="20"/>
          <w:szCs w:val="20"/>
          <w:color w:val="auto"/>
        </w:rPr>
      </w:pPr>
      <w:r>
        <w:rPr>
          <w:rFonts w:ascii="Arial" w:cs="Arial" w:eastAsia="Arial" w:hAnsi="Arial"/>
          <w:sz w:val="18"/>
          <w:szCs w:val="18"/>
          <w:color w:val="auto"/>
        </w:rPr>
        <w:t>topics not otherwise assigned to the Audit Committee or the HR Committee are overseen by the Risk Committee, and the Corporate Governance Committee oversees the division of responsibilities between the Board and its committees. As part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336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43</w:t>
      </w:r>
    </w:p>
    <w:p>
      <w:pPr>
        <w:sectPr>
          <w:pgSz w:w="11900" w:h="16838" w:orient="portrait"/>
          <w:cols w:equalWidth="0" w:num="1">
            <w:col w:w="11080"/>
          </w:cols>
          <w:pgMar w:left="320" w:top="454"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division of responsibilities, the Audit Committee discusses the company’s major financial risk exposures and the steps that management has taken to monitor and control such exposures. As part of its financial risk management oversight responsibilities, the Audit Committee met with management in 2023 to discuss treasury risk management and the external tax environment.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Whistleblower Policy</w:t>
      </w:r>
    </w:p>
    <w:p>
      <w:pPr>
        <w:spacing w:after="0" w:line="51" w:lineRule="exact"/>
        <w:rPr>
          <w:sz w:val="20"/>
          <w:szCs w:val="20"/>
          <w:color w:val="auto"/>
        </w:rPr>
      </w:pPr>
    </w:p>
    <w:p>
      <w:pPr>
        <w:ind w:left="160" w:right="240"/>
        <w:spacing w:after="0"/>
        <w:rPr>
          <w:sz w:val="20"/>
          <w:szCs w:val="20"/>
          <w:color w:val="auto"/>
        </w:rPr>
      </w:pPr>
      <w:r>
        <w:rPr>
          <w:rFonts w:ascii="Arial" w:cs="Arial" w:eastAsia="Arial" w:hAnsi="Arial"/>
          <w:sz w:val="18"/>
          <w:szCs w:val="18"/>
          <w:color w:val="auto"/>
        </w:rPr>
        <w:t>The Audit Committee has adopted procedures for the receipt, retention and treatment of complaints received by our company regarding accounting, internal accounting controls, auditing matters, and disclosure controls and procedures, as well as procedures for the confidential, anonymous submission of concerns by our employees regarding questionable accounting, internal accounting controls, auditing matters or disclosure controls and procedures. These procedures are set forth in the Thomson Reuters Code of Business Conduct and Ethics, which is described earlier in this circular.</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Corporate Governance Committee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Corporate Governance Committee is responsible for assisting the Board in fulfilling its oversight responsibilities in relation to:</w:t>
      </w:r>
    </w:p>
    <w:p>
      <w:pPr>
        <w:sectPr>
          <w:pgSz w:w="11900" w:h="16838" w:orient="portrait"/>
          <w:cols w:equalWidth="0" w:num="1">
            <w:col w:w="11080"/>
          </w:cols>
          <w:pgMar w:left="320" w:top="454" w:right="499" w:bottom="1440" w:gutter="0" w:footer="0" w:header="0"/>
        </w:sectPr>
      </w:pP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company’s overall approach to corporate governance;</w:t>
      </w:r>
    </w:p>
    <w:p>
      <w:pPr>
        <w:spacing w:after="0" w:line="87" w:lineRule="exact"/>
        <w:rPr>
          <w:sz w:val="20"/>
          <w:szCs w:val="20"/>
          <w:color w:val="auto"/>
        </w:rPr>
      </w:pPr>
    </w:p>
    <w:p>
      <w:pPr>
        <w:ind w:right="820"/>
        <w:spacing w:after="0" w:line="341" w:lineRule="auto"/>
        <w:rPr>
          <w:sz w:val="20"/>
          <w:szCs w:val="20"/>
          <w:color w:val="auto"/>
        </w:rPr>
      </w:pPr>
      <w:r>
        <w:rPr>
          <w:rFonts w:ascii="Arial" w:cs="Arial" w:eastAsia="Arial" w:hAnsi="Arial"/>
          <w:sz w:val="18"/>
          <w:szCs w:val="18"/>
          <w:color w:val="auto"/>
        </w:rPr>
        <w:t>the size, composition and structure of the Thomson Reuters Board and its committees, including the nomination of directors; orientation and continuing education for directors;</w:t>
      </w:r>
    </w:p>
    <w:p>
      <w:pPr>
        <w:ind w:right="3020"/>
        <w:spacing w:after="0" w:line="356" w:lineRule="auto"/>
        <w:rPr>
          <w:sz w:val="20"/>
          <w:szCs w:val="20"/>
          <w:color w:val="auto"/>
        </w:rPr>
      </w:pPr>
      <w:r>
        <w:rPr>
          <w:rFonts w:ascii="Arial" w:cs="Arial" w:eastAsia="Arial" w:hAnsi="Arial"/>
          <w:sz w:val="18"/>
          <w:szCs w:val="18"/>
          <w:color w:val="auto"/>
        </w:rPr>
        <w:t>related party transactions and other matters involving actual or potential conflicts of interest; and any additional matters delegated to the Corporate Governance Committee by the Board.</w:t>
      </w:r>
    </w:p>
    <w:p>
      <w:pPr>
        <w:spacing w:after="0" w:line="1"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The following table provides an overview of the Corporate Governance Committee’s work plan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178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FFFFFF"/>
        </w:rPr>
        <w:t>2023 Primary Corporate Governance Committee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37465</wp:posOffset>
            </wp:positionV>
            <wp:extent cx="69297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size, composition and structure of the Board and its committees for</w:t>
            </w:r>
          </w:p>
        </w:tc>
        <w:tc>
          <w:tcPr>
            <w:tcW w:w="5340" w:type="dxa"/>
            <w:vAlign w:val="bottom"/>
          </w:tcPr>
          <w:p>
            <w:pPr>
              <w:ind w:left="120"/>
              <w:spacing w:after="0"/>
              <w:rPr>
                <w:sz w:val="20"/>
                <w:szCs w:val="20"/>
                <w:color w:val="auto"/>
              </w:rPr>
            </w:pPr>
            <w:r>
              <w:rPr>
                <w:rFonts w:ascii="Arial" w:cs="Arial" w:eastAsia="Arial" w:hAnsi="Arial"/>
                <w:sz w:val="14"/>
                <w:szCs w:val="14"/>
                <w:b w:val="1"/>
                <w:bCs w:val="1"/>
                <w:color w:val="auto"/>
              </w:rPr>
              <w:t>Periodically</w:t>
            </w:r>
          </w:p>
        </w:tc>
      </w:tr>
      <w:tr>
        <w:trPr>
          <w:trHeight w:val="160"/>
        </w:trPr>
        <w:tc>
          <w:tcPr>
            <w:tcW w:w="5580" w:type="dxa"/>
            <w:vAlign w:val="bottom"/>
          </w:tcPr>
          <w:p>
            <w:pPr>
              <w:ind w:left="220"/>
              <w:spacing w:after="0"/>
              <w:rPr>
                <w:sz w:val="20"/>
                <w:szCs w:val="20"/>
                <w:color w:val="auto"/>
              </w:rPr>
            </w:pPr>
            <w:r>
              <w:rPr>
                <w:rFonts w:ascii="Arial" w:cs="Arial" w:eastAsia="Arial" w:hAnsi="Arial"/>
                <w:sz w:val="14"/>
                <w:szCs w:val="14"/>
                <w:color w:val="auto"/>
              </w:rPr>
              <w:t>effective decision-making, including new committee members</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orientation and continuing education initiatives for directors</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 Board succession planning (which includes Board diversity)</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position descriptions for Board</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 Oversee the effectiveness of the Board and its committees, including receiving a</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related party transactions and conflicts of interest</w:t>
            </w:r>
          </w:p>
        </w:tc>
      </w:tr>
      <w:tr>
        <w:trPr>
          <w:trHeight w:val="164"/>
        </w:trPr>
        <w:tc>
          <w:tcPr>
            <w:tcW w:w="5580" w:type="dxa"/>
            <w:vAlign w:val="bottom"/>
          </w:tcPr>
          <w:p>
            <w:pPr>
              <w:ind w:left="220"/>
              <w:spacing w:after="0"/>
              <w:rPr>
                <w:sz w:val="20"/>
                <w:szCs w:val="20"/>
                <w:color w:val="auto"/>
              </w:rPr>
            </w:pPr>
            <w:r>
              <w:rPr>
                <w:rFonts w:ascii="Arial" w:cs="Arial" w:eastAsia="Arial" w:hAnsi="Arial"/>
                <w:sz w:val="14"/>
                <w:szCs w:val="14"/>
                <w:color w:val="auto"/>
              </w:rPr>
              <w:t>report from the Lead Independent Director on the evaluation process and the</w:t>
            </w:r>
          </w:p>
        </w:tc>
        <w:tc>
          <w:tcPr>
            <w:tcW w:w="5340" w:type="dxa"/>
            <w:vAlign w:val="bottom"/>
          </w:tcPr>
          <w:p>
            <w:pPr>
              <w:ind w:left="12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 Monitor developments in corporate governance and recommend appropriate</w:t>
            </w:r>
          </w:p>
        </w:tc>
      </w:tr>
      <w:tr>
        <w:trPr>
          <w:trHeight w:val="157"/>
        </w:trPr>
        <w:tc>
          <w:tcPr>
            <w:tcW w:w="5580" w:type="dxa"/>
            <w:vAlign w:val="bottom"/>
          </w:tcPr>
          <w:p>
            <w:pPr>
              <w:ind w:left="220"/>
              <w:spacing w:after="0" w:line="157" w:lineRule="exact"/>
              <w:rPr>
                <w:sz w:val="20"/>
                <w:szCs w:val="20"/>
                <w:color w:val="auto"/>
              </w:rPr>
            </w:pPr>
            <w:r>
              <w:rPr>
                <w:rFonts w:ascii="Arial" w:cs="Arial" w:eastAsia="Arial" w:hAnsi="Arial"/>
                <w:sz w:val="14"/>
                <w:szCs w:val="14"/>
                <w:color w:val="auto"/>
              </w:rPr>
              <w:t>interviews with directors</w:t>
            </w:r>
          </w:p>
        </w:tc>
        <w:tc>
          <w:tcPr>
            <w:tcW w:w="5340" w:type="dxa"/>
            <w:vAlign w:val="bottom"/>
          </w:tcPr>
          <w:p>
            <w:pPr>
              <w:ind w:left="320"/>
              <w:spacing w:after="0" w:line="157" w:lineRule="exact"/>
              <w:rPr>
                <w:sz w:val="20"/>
                <w:szCs w:val="20"/>
                <w:color w:val="auto"/>
              </w:rPr>
            </w:pPr>
            <w:r>
              <w:rPr>
                <w:rFonts w:ascii="Arial" w:cs="Arial" w:eastAsia="Arial" w:hAnsi="Arial"/>
                <w:sz w:val="14"/>
                <w:szCs w:val="14"/>
                <w:color w:val="auto"/>
              </w:rPr>
              <w:t>initiatives as part of overall approach to governance</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 Assess director independence, financial literacy and audit committee financial</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 Consider agendas for meetings of independent directors</w:t>
            </w:r>
          </w:p>
        </w:tc>
      </w:tr>
      <w:tr>
        <w:trPr>
          <w:trHeight w:val="160"/>
        </w:trPr>
        <w:tc>
          <w:tcPr>
            <w:tcW w:w="5580" w:type="dxa"/>
            <w:vAlign w:val="bottom"/>
          </w:tcPr>
          <w:p>
            <w:pPr>
              <w:ind w:left="220"/>
              <w:spacing w:after="0"/>
              <w:rPr>
                <w:sz w:val="20"/>
                <w:szCs w:val="20"/>
                <w:color w:val="auto"/>
              </w:rPr>
            </w:pPr>
            <w:r>
              <w:rPr>
                <w:rFonts w:ascii="Arial" w:cs="Arial" w:eastAsia="Arial" w:hAnsi="Arial"/>
                <w:sz w:val="14"/>
                <w:szCs w:val="14"/>
                <w:color w:val="auto"/>
              </w:rPr>
              <w:t>expert status</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Board and CEO expenses</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 Nominate directors for the annual meeting</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delegation of authority</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director compensation and structure</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share ownership expectations and compliance</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corporate governance disclosure for draft proxy circular and virtual AGM</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any waivers of Code of Business Conduct and Ethics</w:t>
            </w:r>
          </w:p>
        </w:tc>
      </w:tr>
      <w:tr>
        <w:trPr>
          <w:trHeight w:val="160"/>
        </w:trPr>
        <w:tc>
          <w:tcPr>
            <w:tcW w:w="5580" w:type="dxa"/>
            <w:vAlign w:val="bottom"/>
          </w:tcPr>
          <w:p>
            <w:pPr>
              <w:ind w:left="220"/>
              <w:spacing w:after="0"/>
              <w:rPr>
                <w:sz w:val="20"/>
                <w:szCs w:val="20"/>
                <w:color w:val="auto"/>
              </w:rPr>
            </w:pPr>
            <w:r>
              <w:rPr>
                <w:rFonts w:ascii="Arial" w:cs="Arial" w:eastAsia="Arial" w:hAnsi="Arial"/>
                <w:sz w:val="14"/>
                <w:szCs w:val="14"/>
                <w:color w:val="auto"/>
              </w:rPr>
              <w:t>format</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 Monitor relationships between senior management and the Board</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corporate governance guidelines and committee charters</w:t>
            </w:r>
          </w:p>
        </w:tc>
        <w:tc>
          <w:tcPr>
            <w:tcW w:w="5340" w:type="dxa"/>
            <w:vAlign w:val="bottom"/>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 Be available as a forum for addressing the concerns of individual directors</w:t>
            </w: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committee composition and chairs</w:t>
            </w:r>
          </w:p>
        </w:tc>
        <w:tc>
          <w:tcPr>
            <w:tcW w:w="5340" w:type="dxa"/>
            <w:vAlign w:val="bottom"/>
          </w:tcPr>
          <w:p>
            <w:pPr>
              <w:spacing w:after="0"/>
              <w:rPr>
                <w:sz w:val="13"/>
                <w:szCs w:val="13"/>
                <w:color w:val="auto"/>
              </w:rPr>
            </w:pPr>
          </w:p>
        </w:tc>
      </w:tr>
      <w:tr>
        <w:trPr>
          <w:trHeight w:val="164"/>
        </w:trPr>
        <w:tc>
          <w:tcPr>
            <w:tcW w:w="55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external analysis of proxy circular and other shareholder group</w:t>
            </w:r>
          </w:p>
        </w:tc>
        <w:tc>
          <w:tcPr>
            <w:tcW w:w="5340" w:type="dxa"/>
            <w:vAlign w:val="bottom"/>
          </w:tcPr>
          <w:p>
            <w:pPr>
              <w:spacing w:after="0"/>
              <w:rPr>
                <w:sz w:val="14"/>
                <w:szCs w:val="14"/>
                <w:color w:val="auto"/>
              </w:rPr>
            </w:pPr>
          </w:p>
        </w:tc>
      </w:tr>
      <w:tr>
        <w:trPr>
          <w:trHeight w:val="157"/>
        </w:trPr>
        <w:tc>
          <w:tcPr>
            <w:tcW w:w="5580" w:type="dxa"/>
            <w:vAlign w:val="bottom"/>
          </w:tcPr>
          <w:p>
            <w:pPr>
              <w:ind w:left="220"/>
              <w:spacing w:after="0" w:line="157" w:lineRule="exact"/>
              <w:rPr>
                <w:sz w:val="20"/>
                <w:szCs w:val="20"/>
                <w:color w:val="auto"/>
              </w:rPr>
            </w:pPr>
            <w:r>
              <w:rPr>
                <w:rFonts w:ascii="Arial" w:cs="Arial" w:eastAsia="Arial" w:hAnsi="Arial"/>
                <w:sz w:val="14"/>
                <w:szCs w:val="14"/>
                <w:color w:val="auto"/>
              </w:rPr>
              <w:t>assessments</w:t>
            </w:r>
          </w:p>
        </w:tc>
        <w:tc>
          <w:tcPr>
            <w:tcW w:w="5340" w:type="dxa"/>
            <w:vAlign w:val="bottom"/>
          </w:tcPr>
          <w:p>
            <w:pPr>
              <w:spacing w:after="0"/>
              <w:rPr>
                <w:sz w:val="13"/>
                <w:szCs w:val="13"/>
                <w:color w:val="auto"/>
              </w:rPr>
            </w:pP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the company’s approach to ESG</w:t>
            </w:r>
          </w:p>
        </w:tc>
        <w:tc>
          <w:tcPr>
            <w:tcW w:w="5340" w:type="dxa"/>
            <w:vAlign w:val="bottom"/>
          </w:tcPr>
          <w:p>
            <w:pPr>
              <w:spacing w:after="0"/>
              <w:rPr>
                <w:sz w:val="13"/>
                <w:szCs w:val="13"/>
                <w:color w:val="auto"/>
              </w:rPr>
            </w:pP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compliance with Thomson Reuters Trust Principles</w:t>
            </w:r>
          </w:p>
        </w:tc>
        <w:tc>
          <w:tcPr>
            <w:tcW w:w="5340" w:type="dxa"/>
            <w:vAlign w:val="bottom"/>
          </w:tcPr>
          <w:p>
            <w:pPr>
              <w:spacing w:after="0"/>
              <w:rPr>
                <w:sz w:val="13"/>
                <w:szCs w:val="13"/>
                <w:color w:val="auto"/>
              </w:rPr>
            </w:pPr>
          </w:p>
        </w:tc>
      </w:tr>
      <w:tr>
        <w:trPr>
          <w:trHeight w:val="160"/>
        </w:trPr>
        <w:tc>
          <w:tcPr>
            <w:tcW w:w="55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 Report on effectiveness of Thomson Reuters Code of Business Conduct and Ethics</w:t>
            </w:r>
          </w:p>
        </w:tc>
        <w:tc>
          <w:tcPr>
            <w:tcW w:w="5340" w:type="dxa"/>
            <w:vAlign w:val="bottom"/>
          </w:tcPr>
          <w:p>
            <w:pPr>
              <w:spacing w:after="0"/>
              <w:rPr>
                <w:sz w:val="13"/>
                <w:szCs w:val="13"/>
                <w:color w:val="auto"/>
              </w:rPr>
            </w:pPr>
          </w:p>
        </w:tc>
      </w:tr>
      <w:tr>
        <w:trPr>
          <w:trHeight w:val="21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D&amp;O insurance and indemnification</w:t>
            </w:r>
          </w:p>
        </w:tc>
        <w:tc>
          <w:tcPr>
            <w:tcW w:w="5340" w:type="dxa"/>
            <w:vAlign w:val="bottom"/>
          </w:tcPr>
          <w:p>
            <w:pPr>
              <w:spacing w:after="0"/>
              <w:rPr>
                <w:sz w:val="18"/>
                <w:szCs w:val="18"/>
                <w:color w:val="auto"/>
              </w:rPr>
            </w:pPr>
          </w:p>
        </w:tc>
      </w:tr>
      <w:tr>
        <w:trPr>
          <w:trHeight w:val="29"/>
        </w:trPr>
        <w:tc>
          <w:tcPr>
            <w:tcW w:w="5580" w:type="dxa"/>
            <w:vAlign w:val="bottom"/>
            <w:tcBorders>
              <w:bottom w:val="single" w:sz="8" w:color="B94831"/>
            </w:tcBorders>
          </w:tcPr>
          <w:p>
            <w:pPr>
              <w:spacing w:after="0"/>
              <w:rPr>
                <w:sz w:val="2"/>
                <w:szCs w:val="2"/>
                <w:color w:val="auto"/>
              </w:rPr>
            </w:pPr>
          </w:p>
        </w:tc>
        <w:tc>
          <w:tcPr>
            <w:tcW w:w="5340" w:type="dxa"/>
            <w:vAlign w:val="bottom"/>
            <w:tcBorders>
              <w:bottom w:val="single" w:sz="8" w:color="B94831"/>
            </w:tcBorders>
          </w:tcPr>
          <w:p>
            <w:pPr>
              <w:spacing w:after="0"/>
              <w:rPr>
                <w:sz w:val="2"/>
                <w:szCs w:val="2"/>
                <w:color w:val="auto"/>
              </w:rPr>
            </w:pP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Director Qualifications, Recruitment, Board Size and Appointments</w:t>
      </w:r>
    </w:p>
    <w:p>
      <w:pPr>
        <w:spacing w:after="0" w:line="117"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Corporate Governance Committee is responsible for assessing the skills and competencies of current directors, their anticipated tenure and the need for new directors. The Corporate Governance Committee retains a professional search firm to assist it in identifying and evaluating potential director candidates. Through its search firm, the Corporate Governance Committee maintains an evergreen list of potential director candidates.</w:t>
      </w:r>
    </w:p>
    <w:p>
      <w:pPr>
        <w:spacing w:after="0" w:line="7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The Corporate Governance Committee recommends candidates for initial Board membership and Board members for re-nomination. Recommendations are based on character, integrity, judgment, skills and competencies, business experience, record of achievement and any other attributes that would enhance the Board and overall management of the business and affairs of our company.</w:t>
      </w:r>
    </w:p>
    <w:p>
      <w:pPr>
        <w:spacing w:after="0" w:line="65"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Diversity is among these other attributes as the Corporate Governance Committee believes that having a diverse Board enhances Board operations. While the Corporate Governance Committee focuses on finding the best qualified candidates for the Board,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44 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320"/>
        <w:spacing w:after="0" w:line="243" w:lineRule="auto"/>
        <w:rPr>
          <w:sz w:val="20"/>
          <w:szCs w:val="20"/>
          <w:color w:val="auto"/>
        </w:rPr>
      </w:pPr>
      <w:r>
        <w:rPr>
          <w:rFonts w:ascii="Arial" w:cs="Arial" w:eastAsia="Arial" w:hAnsi="Arial"/>
          <w:sz w:val="18"/>
          <w:szCs w:val="18"/>
          <w:color w:val="auto"/>
        </w:rPr>
        <w:t>nominee’s diversity may be considered favorably in his or her assessment. In 2020, our company’s Corporate Governance Guidelines were updated and currently reflect that for purposes of those guidelines, diversity includes business experience, thought, style, culture, gender, geographic background, race, visible minorities, national origin, Indigenous persons, religion, gender identity and expression, sexual orientation, disability, age and other personal characteristics.</w:t>
      </w:r>
    </w:p>
    <w:p>
      <w:pPr>
        <w:spacing w:after="0" w:line="71" w:lineRule="exact"/>
        <w:rPr>
          <w:sz w:val="20"/>
          <w:szCs w:val="20"/>
          <w:color w:val="auto"/>
        </w:rPr>
      </w:pPr>
    </w:p>
    <w:p>
      <w:pPr>
        <w:ind w:left="160" w:right="700"/>
        <w:spacing w:after="0" w:line="265" w:lineRule="auto"/>
        <w:rPr>
          <w:sz w:val="20"/>
          <w:szCs w:val="20"/>
          <w:color w:val="auto"/>
        </w:rPr>
      </w:pPr>
      <w:r>
        <w:rPr>
          <w:rFonts w:ascii="Arial" w:cs="Arial" w:eastAsia="Arial" w:hAnsi="Arial"/>
          <w:sz w:val="18"/>
          <w:szCs w:val="18"/>
          <w:color w:val="auto"/>
        </w:rPr>
        <w:t>In identifying candidates for appointment, election or re-election, the Board and the Corporate Governance Committee specifically consider the level of representation of women on the Board.</w:t>
      </w:r>
    </w:p>
    <w:p>
      <w:pPr>
        <w:spacing w:after="0" w:line="5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In April 2022, the Board formalized an objective that at least 30% of its members should be women. The Board met this goal at its 2022 annual meeting. Five of the 13 director nominees proposed for election (approximately 38%) at this year’s meeting are women and two director nominees have self-identified as racially or ethnically diverse. Thomson Reuters is also a member of the 30% Club Canada, which has a goal of at least 30% representation of women on all boards and in C-suites by 2022.</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Director Orientation</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new directors are provided with an orientation in connection with their election or appointment to the Board, which includes:</w:t>
      </w:r>
    </w:p>
    <w:p>
      <w:pPr>
        <w:sectPr>
          <w:pgSz w:w="11900" w:h="16838" w:orient="portrait"/>
          <w:cols w:equalWidth="0" w:num="1">
            <w:col w:w="11080"/>
          </w:cols>
          <w:pgMar w:left="320" w:top="454" w:right="499" w:bottom="1440" w:gutter="0" w:footer="0" w:header="0"/>
        </w:sectPr>
      </w:pP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1020"/>
        <w:spacing w:after="0" w:line="356" w:lineRule="auto"/>
        <w:rPr>
          <w:sz w:val="20"/>
          <w:szCs w:val="20"/>
          <w:color w:val="auto"/>
        </w:rPr>
      </w:pPr>
      <w:r>
        <w:rPr>
          <w:rFonts w:ascii="Arial" w:cs="Arial" w:eastAsia="Arial" w:hAnsi="Arial"/>
          <w:sz w:val="18"/>
          <w:szCs w:val="18"/>
          <w:color w:val="auto"/>
        </w:rPr>
        <w:t>Induction materials describing our business, our corporate governance structure and related policies and information; and Meetings with the Chairman, Lead Independent Director, CEO, CFO and other executives.</w:t>
      </w:r>
    </w:p>
    <w:p>
      <w:pPr>
        <w:spacing w:after="0" w:line="1"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right="300"/>
        <w:spacing w:after="0" w:line="265" w:lineRule="auto"/>
        <w:rPr>
          <w:sz w:val="20"/>
          <w:szCs w:val="20"/>
          <w:color w:val="auto"/>
        </w:rPr>
      </w:pPr>
      <w:r>
        <w:rPr>
          <w:rFonts w:ascii="Arial" w:cs="Arial" w:eastAsia="Arial" w:hAnsi="Arial"/>
          <w:sz w:val="18"/>
          <w:szCs w:val="18"/>
          <w:color w:val="auto"/>
        </w:rPr>
        <w:t>The Board’s secure website, management reports and other means of communication also provide directors with information to ensure their knowledge and understanding of our business remain current.</w:t>
      </w:r>
    </w:p>
    <w:p>
      <w:pPr>
        <w:spacing w:after="0" w:line="5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Largely in connection with Board and committee meetings, members of senior management prepare memoranda and presentations on strategic and operating matters which are distributed to the directors. These Board papers are often prepared in connection with matters that require director approval under our policies or applicable law and are also used to inform the directors about developments that senior management believe should be brought to the directors’ attention. The Board also periodically receives reports on other non-operational matters, including corporate governance, taxation, pension and treasury matters.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Continuing Education</w:t>
      </w:r>
    </w:p>
    <w:p>
      <w:pPr>
        <w:spacing w:after="0" w:line="51"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The Corporate Governance Committee is responsible for confirming that procedures are in place and resources are made available to provide directors with appropriate continuing education opportunities.</w:t>
      </w:r>
    </w:p>
    <w:p>
      <w:pPr>
        <w:spacing w:after="0" w:line="5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Our directors are members of the National Association of Corporate Directors (NACD) and the company pays the cost of that membership. NACD membership provides directors with access to insights, analytics, courses and events. To facilitate ongoing education, the directors are also entitled to attend external continuing education opportunities at the expense of Thomson Reuters.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some of the education sessions provided to our directors in 2023:</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960" w:type="dxa"/>
            <w:vAlign w:val="bottom"/>
            <w:shd w:val="clear" w:color="auto" w:fill="262626"/>
          </w:tcPr>
          <w:p>
            <w:pPr>
              <w:spacing w:after="0"/>
              <w:rPr>
                <w:sz w:val="20"/>
                <w:szCs w:val="20"/>
                <w:color w:val="auto"/>
              </w:rPr>
            </w:pPr>
            <w:r>
              <w:rPr>
                <w:rFonts w:ascii="Arial" w:cs="Arial" w:eastAsia="Arial" w:hAnsi="Arial"/>
                <w:sz w:val="14"/>
                <w:szCs w:val="14"/>
                <w:b w:val="1"/>
                <w:bCs w:val="1"/>
                <w:color w:val="FFFFFF"/>
              </w:rPr>
              <w:t>Month</w:t>
            </w:r>
          </w:p>
        </w:tc>
        <w:tc>
          <w:tcPr>
            <w:tcW w:w="3600" w:type="dxa"/>
            <w:vAlign w:val="bottom"/>
            <w:shd w:val="clear" w:color="auto" w:fill="262626"/>
          </w:tcPr>
          <w:p>
            <w:pPr>
              <w:ind w:left="180"/>
              <w:spacing w:after="0"/>
              <w:rPr>
                <w:sz w:val="20"/>
                <w:szCs w:val="20"/>
                <w:color w:val="auto"/>
              </w:rPr>
            </w:pPr>
            <w:r>
              <w:rPr>
                <w:rFonts w:ascii="Arial" w:cs="Arial" w:eastAsia="Arial" w:hAnsi="Arial"/>
                <w:sz w:val="14"/>
                <w:szCs w:val="14"/>
                <w:b w:val="1"/>
                <w:bCs w:val="1"/>
                <w:color w:val="FFFFFF"/>
              </w:rPr>
              <w:t>Topic/Subject</w:t>
            </w:r>
          </w:p>
        </w:tc>
        <w:tc>
          <w:tcPr>
            <w:tcW w:w="1480" w:type="dxa"/>
            <w:vAlign w:val="bottom"/>
            <w:shd w:val="clear" w:color="auto" w:fill="262626"/>
          </w:tcPr>
          <w:p>
            <w:pPr>
              <w:ind w:left="260"/>
              <w:spacing w:after="0"/>
              <w:rPr>
                <w:sz w:val="20"/>
                <w:szCs w:val="20"/>
                <w:color w:val="auto"/>
              </w:rPr>
            </w:pPr>
            <w:r>
              <w:rPr>
                <w:rFonts w:ascii="Arial" w:cs="Arial" w:eastAsia="Arial" w:hAnsi="Arial"/>
                <w:sz w:val="14"/>
                <w:szCs w:val="14"/>
                <w:b w:val="1"/>
                <w:bCs w:val="1"/>
                <w:color w:val="FFFFFF"/>
              </w:rPr>
              <w:t>Attendees</w:t>
            </w:r>
          </w:p>
        </w:tc>
        <w:tc>
          <w:tcPr>
            <w:tcW w:w="4860" w:type="dxa"/>
            <w:vAlign w:val="bottom"/>
            <w:shd w:val="clear" w:color="auto" w:fill="262626"/>
          </w:tcPr>
          <w:p>
            <w:pPr>
              <w:ind w:left="180"/>
              <w:spacing w:after="0"/>
              <w:rPr>
                <w:sz w:val="20"/>
                <w:szCs w:val="20"/>
                <w:color w:val="auto"/>
              </w:rPr>
            </w:pPr>
            <w:r>
              <w:rPr>
                <w:rFonts w:ascii="Arial" w:cs="Arial" w:eastAsia="Arial" w:hAnsi="Arial"/>
                <w:sz w:val="14"/>
                <w:szCs w:val="14"/>
                <w:b w:val="1"/>
                <w:bCs w:val="1"/>
                <w:color w:val="FFFFFF"/>
              </w:rPr>
              <w:t>Presenter(s)</w:t>
            </w:r>
          </w:p>
        </w:tc>
      </w:tr>
      <w:tr>
        <w:trPr>
          <w:trHeight w:val="160"/>
        </w:trPr>
        <w:tc>
          <w:tcPr>
            <w:tcW w:w="20" w:type="dxa"/>
            <w:vAlign w:val="bottom"/>
            <w:tcBorders>
              <w:bottom w:val="single" w:sz="8" w:color="AFAFAF"/>
            </w:tcBorders>
          </w:tcPr>
          <w:p>
            <w:pPr>
              <w:spacing w:after="0"/>
              <w:rPr>
                <w:sz w:val="13"/>
                <w:szCs w:val="13"/>
                <w:color w:val="auto"/>
              </w:rPr>
            </w:pPr>
          </w:p>
        </w:tc>
        <w:tc>
          <w:tcPr>
            <w:tcW w:w="96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February</w:t>
            </w:r>
          </w:p>
        </w:tc>
        <w:tc>
          <w:tcPr>
            <w:tcW w:w="360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Executive compensation risks</w:t>
            </w:r>
          </w:p>
        </w:tc>
        <w:tc>
          <w:tcPr>
            <w:tcW w:w="1480" w:type="dxa"/>
            <w:vAlign w:val="bottom"/>
            <w:tcBorders>
              <w:bottom w:val="single" w:sz="8" w:color="AFAFAF"/>
            </w:tcBorders>
          </w:tcPr>
          <w:p>
            <w:pPr>
              <w:ind w:left="260"/>
              <w:spacing w:after="0"/>
              <w:rPr>
                <w:sz w:val="20"/>
                <w:szCs w:val="20"/>
                <w:color w:val="auto"/>
              </w:rPr>
            </w:pPr>
            <w:r>
              <w:rPr>
                <w:rFonts w:ascii="Arial" w:cs="Arial" w:eastAsia="Arial" w:hAnsi="Arial"/>
                <w:sz w:val="14"/>
                <w:szCs w:val="14"/>
                <w:color w:val="auto"/>
              </w:rPr>
              <w:t>HR Committee</w:t>
            </w:r>
          </w:p>
        </w:tc>
        <w:tc>
          <w:tcPr>
            <w:tcW w:w="486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FW Cook (external compensation consultant)</w:t>
            </w:r>
          </w:p>
        </w:tc>
      </w:tr>
      <w:tr>
        <w:trPr>
          <w:trHeight w:val="154"/>
        </w:trPr>
        <w:tc>
          <w:tcPr>
            <w:tcW w:w="98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March</w:t>
            </w:r>
          </w:p>
        </w:tc>
        <w:tc>
          <w:tcPr>
            <w:tcW w:w="3600" w:type="dxa"/>
            <w:vAlign w:val="bottom"/>
          </w:tcPr>
          <w:p>
            <w:pPr>
              <w:ind w:left="180"/>
              <w:spacing w:after="0" w:line="154" w:lineRule="exact"/>
              <w:rPr>
                <w:sz w:val="20"/>
                <w:szCs w:val="20"/>
                <w:color w:val="auto"/>
              </w:rPr>
            </w:pPr>
            <w:r>
              <w:rPr>
                <w:rFonts w:ascii="Arial" w:cs="Arial" w:eastAsia="Arial" w:hAnsi="Arial"/>
                <w:sz w:val="14"/>
                <w:szCs w:val="14"/>
                <w:color w:val="auto"/>
              </w:rPr>
              <w:t>Compliance update</w:t>
            </w:r>
          </w:p>
        </w:tc>
        <w:tc>
          <w:tcPr>
            <w:tcW w:w="1480" w:type="dxa"/>
            <w:vAlign w:val="bottom"/>
          </w:tcPr>
          <w:p>
            <w:pPr>
              <w:ind w:left="260"/>
              <w:spacing w:after="0" w:line="154" w:lineRule="exact"/>
              <w:rPr>
                <w:sz w:val="20"/>
                <w:szCs w:val="20"/>
                <w:color w:val="auto"/>
              </w:rPr>
            </w:pPr>
            <w:r>
              <w:rPr>
                <w:rFonts w:ascii="Arial" w:cs="Arial" w:eastAsia="Arial" w:hAnsi="Arial"/>
                <w:sz w:val="14"/>
                <w:szCs w:val="14"/>
                <w:color w:val="auto"/>
              </w:rPr>
              <w:t>Risk Committee</w:t>
            </w:r>
          </w:p>
        </w:tc>
        <w:tc>
          <w:tcPr>
            <w:tcW w:w="4860" w:type="dxa"/>
            <w:vAlign w:val="bottom"/>
          </w:tcPr>
          <w:p>
            <w:pPr>
              <w:ind w:left="180"/>
              <w:spacing w:after="0" w:line="154" w:lineRule="exact"/>
              <w:rPr>
                <w:sz w:val="20"/>
                <w:szCs w:val="20"/>
                <w:color w:val="auto"/>
              </w:rPr>
            </w:pPr>
            <w:r>
              <w:rPr>
                <w:rFonts w:ascii="Arial" w:cs="Arial" w:eastAsia="Arial" w:hAnsi="Arial"/>
                <w:sz w:val="14"/>
                <w:szCs w:val="14"/>
                <w:color w:val="auto"/>
              </w:rPr>
              <w:t>Thomson Reuters Chief Compliance Officer</w:t>
            </w:r>
          </w:p>
        </w:tc>
      </w:tr>
      <w:tr>
        <w:trPr>
          <w:trHeight w:val="154"/>
        </w:trPr>
        <w:tc>
          <w:tcPr>
            <w:tcW w:w="20" w:type="dxa"/>
            <w:vAlign w:val="bottom"/>
          </w:tcPr>
          <w:p>
            <w:pPr>
              <w:spacing w:after="0"/>
              <w:rPr>
                <w:sz w:val="13"/>
                <w:szCs w:val="13"/>
                <w:color w:val="auto"/>
              </w:rPr>
            </w:pPr>
          </w:p>
        </w:tc>
        <w:tc>
          <w:tcPr>
            <w:tcW w:w="960" w:type="dxa"/>
            <w:vAlign w:val="bottom"/>
            <w:tcBorders>
              <w:top w:val="single" w:sz="8" w:color="AFAFAF"/>
              <w:bottom w:val="single" w:sz="8" w:color="AFAFAF"/>
            </w:tcBorders>
          </w:tcPr>
          <w:p>
            <w:pPr>
              <w:spacing w:after="0"/>
              <w:rPr>
                <w:sz w:val="13"/>
                <w:szCs w:val="13"/>
                <w:color w:val="auto"/>
              </w:rPr>
            </w:pPr>
          </w:p>
        </w:tc>
        <w:tc>
          <w:tcPr>
            <w:tcW w:w="3600" w:type="dxa"/>
            <w:vAlign w:val="bottom"/>
            <w:tcBorders>
              <w:top w:val="single" w:sz="8" w:color="AFAFAF"/>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Disclosure controls and procedures update</w:t>
            </w:r>
          </w:p>
        </w:tc>
        <w:tc>
          <w:tcPr>
            <w:tcW w:w="1480" w:type="dxa"/>
            <w:vAlign w:val="bottom"/>
            <w:tcBorders>
              <w:top w:val="single" w:sz="8" w:color="AFAFAF"/>
              <w:bottom w:val="single" w:sz="8" w:color="AFAFAF"/>
            </w:tcBorders>
          </w:tcPr>
          <w:p>
            <w:pPr>
              <w:ind w:left="260"/>
              <w:spacing w:after="0" w:line="154" w:lineRule="exact"/>
              <w:rPr>
                <w:sz w:val="20"/>
                <w:szCs w:val="20"/>
                <w:color w:val="auto"/>
              </w:rPr>
            </w:pPr>
            <w:r>
              <w:rPr>
                <w:rFonts w:ascii="Arial" w:cs="Arial" w:eastAsia="Arial" w:hAnsi="Arial"/>
                <w:sz w:val="14"/>
                <w:szCs w:val="14"/>
                <w:color w:val="auto"/>
              </w:rPr>
              <w:t>Audit Committee</w:t>
            </w:r>
          </w:p>
        </w:tc>
        <w:tc>
          <w:tcPr>
            <w:tcW w:w="4860" w:type="dxa"/>
            <w:vAlign w:val="bottom"/>
            <w:tcBorders>
              <w:top w:val="single" w:sz="8" w:color="AFAFAF"/>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Thomson Reuters internal legal counsel</w:t>
            </w:r>
          </w:p>
        </w:tc>
      </w:tr>
      <w:tr>
        <w:trPr>
          <w:trHeight w:val="154"/>
        </w:trPr>
        <w:tc>
          <w:tcPr>
            <w:tcW w:w="20" w:type="dxa"/>
            <w:vAlign w:val="bottom"/>
            <w:tcBorders>
              <w:bottom w:val="single" w:sz="8" w:color="AFAFAF"/>
            </w:tcBorders>
          </w:tcPr>
          <w:p>
            <w:pPr>
              <w:spacing w:after="0"/>
              <w:rPr>
                <w:sz w:val="13"/>
                <w:szCs w:val="13"/>
                <w:color w:val="auto"/>
              </w:rPr>
            </w:pPr>
          </w:p>
        </w:tc>
        <w:tc>
          <w:tcPr>
            <w:tcW w:w="96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April</w:t>
            </w:r>
          </w:p>
        </w:tc>
        <w:tc>
          <w:tcPr>
            <w:tcW w:w="360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AI board education session</w:t>
            </w:r>
          </w:p>
        </w:tc>
        <w:tc>
          <w:tcPr>
            <w:tcW w:w="1480" w:type="dxa"/>
            <w:vAlign w:val="bottom"/>
            <w:tcBorders>
              <w:bottom w:val="single" w:sz="8" w:color="AFAFAF"/>
            </w:tcBorders>
          </w:tcPr>
          <w:p>
            <w:pPr>
              <w:ind w:left="260"/>
              <w:spacing w:after="0" w:line="154" w:lineRule="exact"/>
              <w:rPr>
                <w:sz w:val="20"/>
                <w:szCs w:val="20"/>
                <w:color w:val="auto"/>
              </w:rPr>
            </w:pPr>
            <w:r>
              <w:rPr>
                <w:rFonts w:ascii="Arial" w:cs="Arial" w:eastAsia="Arial" w:hAnsi="Arial"/>
                <w:sz w:val="14"/>
                <w:szCs w:val="14"/>
                <w:color w:val="auto"/>
              </w:rPr>
              <w:t>Board</w:t>
            </w:r>
          </w:p>
        </w:tc>
        <w:tc>
          <w:tcPr>
            <w:tcW w:w="486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Thomson Reuters Head of AI &amp; TR Labs</w:t>
            </w:r>
          </w:p>
        </w:tc>
      </w:tr>
      <w:tr>
        <w:trPr>
          <w:trHeight w:val="154"/>
        </w:trPr>
        <w:tc>
          <w:tcPr>
            <w:tcW w:w="980" w:type="dxa"/>
            <w:vAlign w:val="bottom"/>
            <w:tcBorders>
              <w:bottom w:val="single" w:sz="8" w:color="AFAFAF"/>
            </w:tcBorders>
            <w:gridSpan w:val="2"/>
          </w:tcPr>
          <w:p>
            <w:pPr>
              <w:spacing w:after="0" w:line="154" w:lineRule="exact"/>
              <w:rPr>
                <w:sz w:val="20"/>
                <w:szCs w:val="20"/>
                <w:color w:val="auto"/>
              </w:rPr>
            </w:pPr>
            <w:r>
              <w:rPr>
                <w:rFonts w:ascii="Arial" w:cs="Arial" w:eastAsia="Arial" w:hAnsi="Arial"/>
                <w:sz w:val="14"/>
                <w:szCs w:val="14"/>
                <w:b w:val="1"/>
                <w:bCs w:val="1"/>
                <w:color w:val="auto"/>
              </w:rPr>
              <w:t>September</w:t>
            </w:r>
          </w:p>
        </w:tc>
        <w:tc>
          <w:tcPr>
            <w:tcW w:w="360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Executive compensation trends and developments</w:t>
            </w:r>
          </w:p>
        </w:tc>
        <w:tc>
          <w:tcPr>
            <w:tcW w:w="1480" w:type="dxa"/>
            <w:vAlign w:val="bottom"/>
            <w:tcBorders>
              <w:bottom w:val="single" w:sz="8" w:color="AFAFAF"/>
            </w:tcBorders>
          </w:tcPr>
          <w:p>
            <w:pPr>
              <w:ind w:left="260"/>
              <w:spacing w:after="0" w:line="154" w:lineRule="exact"/>
              <w:rPr>
                <w:sz w:val="20"/>
                <w:szCs w:val="20"/>
                <w:color w:val="auto"/>
              </w:rPr>
            </w:pPr>
            <w:r>
              <w:rPr>
                <w:rFonts w:ascii="Arial" w:cs="Arial" w:eastAsia="Arial" w:hAnsi="Arial"/>
                <w:sz w:val="14"/>
                <w:szCs w:val="14"/>
                <w:color w:val="auto"/>
              </w:rPr>
              <w:t>HR Committee</w:t>
            </w:r>
          </w:p>
        </w:tc>
        <w:tc>
          <w:tcPr>
            <w:tcW w:w="486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FW Cook (external compensation consultant)</w:t>
            </w:r>
          </w:p>
        </w:tc>
      </w:tr>
      <w:tr>
        <w:trPr>
          <w:trHeight w:val="145"/>
        </w:trPr>
        <w:tc>
          <w:tcPr>
            <w:tcW w:w="9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September</w:t>
            </w:r>
          </w:p>
        </w:tc>
        <w:tc>
          <w:tcPr>
            <w:tcW w:w="3600" w:type="dxa"/>
            <w:vAlign w:val="bottom"/>
          </w:tcPr>
          <w:p>
            <w:pPr>
              <w:ind w:left="180"/>
              <w:spacing w:after="0" w:line="145" w:lineRule="exact"/>
              <w:rPr>
                <w:sz w:val="20"/>
                <w:szCs w:val="20"/>
                <w:color w:val="auto"/>
              </w:rPr>
            </w:pPr>
            <w:r>
              <w:rPr>
                <w:rFonts w:ascii="Arial" w:cs="Arial" w:eastAsia="Arial" w:hAnsi="Arial"/>
                <w:sz w:val="14"/>
                <w:szCs w:val="14"/>
                <w:color w:val="auto"/>
              </w:rPr>
              <w:t>ESG regulatory update, including climate change</w:t>
            </w:r>
          </w:p>
        </w:tc>
        <w:tc>
          <w:tcPr>
            <w:tcW w:w="1480" w:type="dxa"/>
            <w:vAlign w:val="bottom"/>
          </w:tcPr>
          <w:p>
            <w:pPr>
              <w:ind w:left="260"/>
              <w:spacing w:after="0" w:line="145" w:lineRule="exact"/>
              <w:rPr>
                <w:sz w:val="20"/>
                <w:szCs w:val="20"/>
                <w:color w:val="auto"/>
              </w:rPr>
            </w:pPr>
            <w:r>
              <w:rPr>
                <w:rFonts w:ascii="Arial" w:cs="Arial" w:eastAsia="Arial" w:hAnsi="Arial"/>
                <w:sz w:val="14"/>
                <w:szCs w:val="14"/>
                <w:color w:val="auto"/>
              </w:rPr>
              <w:t>Audit Committee</w:t>
            </w:r>
          </w:p>
        </w:tc>
        <w:tc>
          <w:tcPr>
            <w:tcW w:w="4860" w:type="dxa"/>
            <w:vAlign w:val="bottom"/>
          </w:tcPr>
          <w:p>
            <w:pPr>
              <w:ind w:left="180"/>
              <w:spacing w:after="0" w:line="145" w:lineRule="exact"/>
              <w:rPr>
                <w:sz w:val="20"/>
                <w:szCs w:val="20"/>
                <w:color w:val="auto"/>
              </w:rPr>
            </w:pPr>
            <w:r>
              <w:rPr>
                <w:rFonts w:ascii="Arial" w:cs="Arial" w:eastAsia="Arial" w:hAnsi="Arial"/>
                <w:sz w:val="14"/>
                <w:szCs w:val="14"/>
                <w:color w:val="auto"/>
              </w:rPr>
              <w:t>Thomson Reuters internal ESG leadership</w:t>
            </w:r>
          </w:p>
        </w:tc>
      </w:tr>
      <w:tr>
        <w:trPr>
          <w:trHeight w:val="170"/>
        </w:trPr>
        <w:tc>
          <w:tcPr>
            <w:tcW w:w="20" w:type="dxa"/>
            <w:vAlign w:val="bottom"/>
          </w:tcPr>
          <w:p>
            <w:pPr>
              <w:spacing w:after="0"/>
              <w:rPr>
                <w:sz w:val="14"/>
                <w:szCs w:val="14"/>
                <w:color w:val="auto"/>
              </w:rPr>
            </w:pPr>
          </w:p>
        </w:tc>
        <w:tc>
          <w:tcPr>
            <w:tcW w:w="960" w:type="dxa"/>
            <w:vAlign w:val="bottom"/>
            <w:tcBorders>
              <w:bottom w:val="single" w:sz="8" w:color="AFAFAF"/>
            </w:tcBorders>
          </w:tcPr>
          <w:p>
            <w:pPr>
              <w:spacing w:after="0"/>
              <w:rPr>
                <w:sz w:val="14"/>
                <w:szCs w:val="14"/>
                <w:color w:val="auto"/>
              </w:rPr>
            </w:pPr>
          </w:p>
        </w:tc>
        <w:tc>
          <w:tcPr>
            <w:tcW w:w="360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disclosure update</w:t>
            </w:r>
          </w:p>
        </w:tc>
        <w:tc>
          <w:tcPr>
            <w:tcW w:w="1480" w:type="dxa"/>
            <w:vAlign w:val="bottom"/>
            <w:tcBorders>
              <w:bottom w:val="single" w:sz="8" w:color="AFAFAF"/>
            </w:tcBorders>
          </w:tcPr>
          <w:p>
            <w:pPr>
              <w:spacing w:after="0"/>
              <w:rPr>
                <w:sz w:val="14"/>
                <w:szCs w:val="14"/>
                <w:color w:val="auto"/>
              </w:rPr>
            </w:pPr>
          </w:p>
        </w:tc>
        <w:tc>
          <w:tcPr>
            <w:tcW w:w="4860" w:type="dxa"/>
            <w:vAlign w:val="bottom"/>
            <w:tcBorders>
              <w:bottom w:val="single" w:sz="8" w:color="AFAFAF"/>
            </w:tcBorders>
          </w:tcPr>
          <w:p>
            <w:pPr>
              <w:spacing w:after="0"/>
              <w:rPr>
                <w:sz w:val="14"/>
                <w:szCs w:val="14"/>
                <w:color w:val="auto"/>
              </w:rPr>
            </w:pPr>
          </w:p>
        </w:tc>
      </w:tr>
      <w:tr>
        <w:trPr>
          <w:trHeight w:val="154"/>
        </w:trPr>
        <w:tc>
          <w:tcPr>
            <w:tcW w:w="20" w:type="dxa"/>
            <w:vAlign w:val="bottom"/>
            <w:tcBorders>
              <w:bottom w:val="single" w:sz="8" w:color="AFAFAF"/>
            </w:tcBorders>
          </w:tcPr>
          <w:p>
            <w:pPr>
              <w:spacing w:after="0"/>
              <w:rPr>
                <w:sz w:val="13"/>
                <w:szCs w:val="13"/>
                <w:color w:val="auto"/>
              </w:rPr>
            </w:pPr>
          </w:p>
        </w:tc>
        <w:tc>
          <w:tcPr>
            <w:tcW w:w="960" w:type="dxa"/>
            <w:vAlign w:val="bottom"/>
            <w:tcBorders>
              <w:bottom w:val="single" w:sz="8" w:color="AFAFAF"/>
            </w:tcBorders>
          </w:tcPr>
          <w:p>
            <w:pPr>
              <w:spacing w:after="0" w:line="154" w:lineRule="exact"/>
              <w:rPr>
                <w:sz w:val="20"/>
                <w:szCs w:val="20"/>
                <w:color w:val="auto"/>
              </w:rPr>
            </w:pPr>
            <w:r>
              <w:rPr>
                <w:rFonts w:ascii="Arial" w:cs="Arial" w:eastAsia="Arial" w:hAnsi="Arial"/>
                <w:sz w:val="14"/>
                <w:szCs w:val="14"/>
                <w:b w:val="1"/>
                <w:bCs w:val="1"/>
                <w:color w:val="auto"/>
              </w:rPr>
              <w:t>October</w:t>
            </w:r>
          </w:p>
        </w:tc>
        <w:tc>
          <w:tcPr>
            <w:tcW w:w="360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Legal and compliance update</w:t>
            </w:r>
          </w:p>
        </w:tc>
        <w:tc>
          <w:tcPr>
            <w:tcW w:w="1480" w:type="dxa"/>
            <w:vAlign w:val="bottom"/>
            <w:tcBorders>
              <w:bottom w:val="single" w:sz="8" w:color="AFAFAF"/>
            </w:tcBorders>
          </w:tcPr>
          <w:p>
            <w:pPr>
              <w:ind w:left="260"/>
              <w:spacing w:after="0" w:line="154" w:lineRule="exact"/>
              <w:rPr>
                <w:sz w:val="20"/>
                <w:szCs w:val="20"/>
                <w:color w:val="auto"/>
              </w:rPr>
            </w:pPr>
            <w:r>
              <w:rPr>
                <w:rFonts w:ascii="Arial" w:cs="Arial" w:eastAsia="Arial" w:hAnsi="Arial"/>
                <w:sz w:val="14"/>
                <w:szCs w:val="14"/>
                <w:color w:val="auto"/>
              </w:rPr>
              <w:t>Board</w:t>
            </w:r>
          </w:p>
        </w:tc>
        <w:tc>
          <w:tcPr>
            <w:tcW w:w="486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Thomson Reuters Chief Legal Officer</w:t>
            </w:r>
          </w:p>
        </w:tc>
      </w:tr>
      <w:tr>
        <w:trPr>
          <w:trHeight w:val="154"/>
        </w:trPr>
        <w:tc>
          <w:tcPr>
            <w:tcW w:w="980" w:type="dxa"/>
            <w:vAlign w:val="bottom"/>
            <w:tcBorders>
              <w:bottom w:val="single" w:sz="8" w:color="AFAFAF"/>
            </w:tcBorders>
            <w:gridSpan w:val="2"/>
          </w:tcPr>
          <w:p>
            <w:pPr>
              <w:spacing w:after="0" w:line="154" w:lineRule="exact"/>
              <w:rPr>
                <w:sz w:val="20"/>
                <w:szCs w:val="20"/>
                <w:color w:val="auto"/>
              </w:rPr>
            </w:pPr>
            <w:r>
              <w:rPr>
                <w:rFonts w:ascii="Arial" w:cs="Arial" w:eastAsia="Arial" w:hAnsi="Arial"/>
                <w:sz w:val="14"/>
                <w:szCs w:val="14"/>
                <w:b w:val="1"/>
                <w:bCs w:val="1"/>
                <w:color w:val="auto"/>
              </w:rPr>
              <w:t>November</w:t>
            </w:r>
          </w:p>
        </w:tc>
        <w:tc>
          <w:tcPr>
            <w:tcW w:w="360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Regulatory compliance session</w:t>
            </w:r>
          </w:p>
        </w:tc>
        <w:tc>
          <w:tcPr>
            <w:tcW w:w="1480" w:type="dxa"/>
            <w:vAlign w:val="bottom"/>
            <w:tcBorders>
              <w:bottom w:val="single" w:sz="8" w:color="AFAFAF"/>
            </w:tcBorders>
          </w:tcPr>
          <w:p>
            <w:pPr>
              <w:ind w:left="260"/>
              <w:spacing w:after="0" w:line="154" w:lineRule="exact"/>
              <w:rPr>
                <w:sz w:val="20"/>
                <w:szCs w:val="20"/>
                <w:color w:val="auto"/>
              </w:rPr>
            </w:pPr>
            <w:r>
              <w:rPr>
                <w:rFonts w:ascii="Arial" w:cs="Arial" w:eastAsia="Arial" w:hAnsi="Arial"/>
                <w:sz w:val="14"/>
                <w:szCs w:val="14"/>
                <w:color w:val="auto"/>
              </w:rPr>
              <w:t>Board</w:t>
            </w:r>
          </w:p>
        </w:tc>
        <w:tc>
          <w:tcPr>
            <w:tcW w:w="486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E&amp;Y</w:t>
            </w:r>
          </w:p>
        </w:tc>
      </w:tr>
      <w:tr>
        <w:trPr>
          <w:trHeight w:val="154"/>
        </w:trPr>
        <w:tc>
          <w:tcPr>
            <w:tcW w:w="980" w:type="dxa"/>
            <w:vAlign w:val="bottom"/>
            <w:tcBorders>
              <w:bottom w:val="single" w:sz="8" w:color="AFAFAF"/>
            </w:tcBorders>
            <w:gridSpan w:val="2"/>
          </w:tcPr>
          <w:p>
            <w:pPr>
              <w:spacing w:after="0" w:line="154" w:lineRule="exact"/>
              <w:rPr>
                <w:sz w:val="20"/>
                <w:szCs w:val="20"/>
                <w:color w:val="auto"/>
              </w:rPr>
            </w:pPr>
            <w:r>
              <w:rPr>
                <w:rFonts w:ascii="Arial" w:cs="Arial" w:eastAsia="Arial" w:hAnsi="Arial"/>
                <w:sz w:val="14"/>
                <w:szCs w:val="14"/>
                <w:b w:val="1"/>
                <w:bCs w:val="1"/>
                <w:color w:val="auto"/>
              </w:rPr>
              <w:t>Quarterly</w:t>
            </w:r>
          </w:p>
        </w:tc>
        <w:tc>
          <w:tcPr>
            <w:tcW w:w="360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Tax updates</w:t>
            </w:r>
          </w:p>
        </w:tc>
        <w:tc>
          <w:tcPr>
            <w:tcW w:w="1480" w:type="dxa"/>
            <w:vAlign w:val="bottom"/>
            <w:tcBorders>
              <w:bottom w:val="single" w:sz="8" w:color="AFAFAF"/>
            </w:tcBorders>
          </w:tcPr>
          <w:p>
            <w:pPr>
              <w:ind w:left="260"/>
              <w:spacing w:after="0" w:line="154" w:lineRule="exact"/>
              <w:rPr>
                <w:sz w:val="20"/>
                <w:szCs w:val="20"/>
                <w:color w:val="auto"/>
              </w:rPr>
            </w:pPr>
            <w:r>
              <w:rPr>
                <w:rFonts w:ascii="Arial" w:cs="Arial" w:eastAsia="Arial" w:hAnsi="Arial"/>
                <w:sz w:val="14"/>
                <w:szCs w:val="14"/>
                <w:color w:val="auto"/>
              </w:rPr>
              <w:t>Audit Committee</w:t>
            </w:r>
          </w:p>
        </w:tc>
        <w:tc>
          <w:tcPr>
            <w:tcW w:w="4860" w:type="dxa"/>
            <w:vAlign w:val="bottom"/>
            <w:tcBorders>
              <w:bottom w:val="single" w:sz="8" w:color="AFAFAF"/>
            </w:tcBorders>
          </w:tcPr>
          <w:p>
            <w:pPr>
              <w:ind w:left="180"/>
              <w:spacing w:after="0" w:line="154" w:lineRule="exact"/>
              <w:rPr>
                <w:sz w:val="20"/>
                <w:szCs w:val="20"/>
                <w:color w:val="auto"/>
              </w:rPr>
            </w:pPr>
            <w:r>
              <w:rPr>
                <w:rFonts w:ascii="Arial" w:cs="Arial" w:eastAsia="Arial" w:hAnsi="Arial"/>
                <w:sz w:val="14"/>
                <w:szCs w:val="14"/>
                <w:color w:val="auto"/>
              </w:rPr>
              <w:t>Thomson Reuters Head of Tax</w:t>
            </w:r>
          </w:p>
        </w:tc>
      </w:tr>
      <w:tr>
        <w:trPr>
          <w:trHeight w:val="154"/>
        </w:trPr>
        <w:tc>
          <w:tcPr>
            <w:tcW w:w="980" w:type="dxa"/>
            <w:vAlign w:val="bottom"/>
            <w:tcBorders>
              <w:bottom w:val="single" w:sz="8" w:color="B94831"/>
            </w:tcBorders>
            <w:gridSpan w:val="2"/>
          </w:tcPr>
          <w:p>
            <w:pPr>
              <w:spacing w:after="0" w:line="154" w:lineRule="exact"/>
              <w:rPr>
                <w:sz w:val="20"/>
                <w:szCs w:val="20"/>
                <w:color w:val="auto"/>
              </w:rPr>
            </w:pPr>
            <w:r>
              <w:rPr>
                <w:rFonts w:ascii="Arial" w:cs="Arial" w:eastAsia="Arial" w:hAnsi="Arial"/>
                <w:sz w:val="14"/>
                <w:szCs w:val="14"/>
                <w:b w:val="1"/>
                <w:bCs w:val="1"/>
                <w:color w:val="auto"/>
              </w:rPr>
              <w:t>Quarterly</w:t>
            </w:r>
          </w:p>
        </w:tc>
        <w:tc>
          <w:tcPr>
            <w:tcW w:w="3600" w:type="dxa"/>
            <w:vAlign w:val="bottom"/>
            <w:tcBorders>
              <w:bottom w:val="single" w:sz="8" w:color="B94831"/>
            </w:tcBorders>
          </w:tcPr>
          <w:p>
            <w:pPr>
              <w:ind w:left="180"/>
              <w:spacing w:after="0" w:line="154" w:lineRule="exact"/>
              <w:rPr>
                <w:sz w:val="20"/>
                <w:szCs w:val="20"/>
                <w:color w:val="auto"/>
              </w:rPr>
            </w:pPr>
            <w:r>
              <w:rPr>
                <w:rFonts w:ascii="Arial" w:cs="Arial" w:eastAsia="Arial" w:hAnsi="Arial"/>
                <w:sz w:val="14"/>
                <w:szCs w:val="14"/>
                <w:color w:val="auto"/>
              </w:rPr>
              <w:t>Accounting updates</w:t>
            </w:r>
          </w:p>
        </w:tc>
        <w:tc>
          <w:tcPr>
            <w:tcW w:w="1480" w:type="dxa"/>
            <w:vAlign w:val="bottom"/>
            <w:tcBorders>
              <w:bottom w:val="single" w:sz="8" w:color="B94831"/>
            </w:tcBorders>
          </w:tcPr>
          <w:p>
            <w:pPr>
              <w:ind w:left="260"/>
              <w:spacing w:after="0" w:line="154" w:lineRule="exact"/>
              <w:rPr>
                <w:sz w:val="20"/>
                <w:szCs w:val="20"/>
                <w:color w:val="auto"/>
              </w:rPr>
            </w:pPr>
            <w:r>
              <w:rPr>
                <w:rFonts w:ascii="Arial" w:cs="Arial" w:eastAsia="Arial" w:hAnsi="Arial"/>
                <w:sz w:val="14"/>
                <w:szCs w:val="14"/>
                <w:color w:val="auto"/>
              </w:rPr>
              <w:t>Audit Committee</w:t>
            </w:r>
          </w:p>
        </w:tc>
        <w:tc>
          <w:tcPr>
            <w:tcW w:w="4860" w:type="dxa"/>
            <w:vAlign w:val="bottom"/>
            <w:tcBorders>
              <w:bottom w:val="single" w:sz="8" w:color="B94831"/>
            </w:tcBorders>
          </w:tcPr>
          <w:p>
            <w:pPr>
              <w:ind w:left="180"/>
              <w:spacing w:after="0" w:line="154" w:lineRule="exact"/>
              <w:rPr>
                <w:sz w:val="20"/>
                <w:szCs w:val="20"/>
                <w:color w:val="auto"/>
              </w:rPr>
            </w:pPr>
            <w:r>
              <w:rPr>
                <w:rFonts w:ascii="Arial" w:cs="Arial" w:eastAsia="Arial" w:hAnsi="Arial"/>
                <w:sz w:val="14"/>
                <w:szCs w:val="14"/>
                <w:color w:val="auto"/>
              </w:rPr>
              <w:t>Thomson Reuters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33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45</w:t>
      </w:r>
    </w:p>
    <w:p>
      <w:pPr>
        <w:sectPr>
          <w:pgSz w:w="11900" w:h="16838" w:orient="portrait"/>
          <w:cols w:equalWidth="0" w:num="1">
            <w:col w:w="11080"/>
          </w:cols>
          <w:pgMar w:left="320" w:top="454" w:right="4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Site Visits</w:t>
      </w:r>
    </w:p>
    <w:p>
      <w:pPr>
        <w:spacing w:after="0" w:line="5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In January 2024, the Corporate Governance Committee facilitated a visit by directors to the Thomson Reuters office in Zug, Switzerland. The Board coordinates the timing of these site visits to coincide with regularly scheduled Board meetings. This allows the directors to participate in the site visit at the same time and then attend a Board meeting as part of one trip. The visits are designed to:</w:t>
      </w:r>
    </w:p>
    <w:p>
      <w:pPr>
        <w:sectPr>
          <w:pgSz w:w="11900" w:h="16838" w:orient="portrait"/>
          <w:cols w:equalWidth="0" w:num="1">
            <w:col w:w="11020"/>
          </w:cols>
          <w:pgMar w:left="320" w:top="454" w:right="559" w:bottom="1440" w:gutter="0" w:footer="0" w:header="0"/>
        </w:sectPr>
      </w:pP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Enable directors to update themselves on our key businesses, products and services;</w:t>
      </w:r>
    </w:p>
    <w:p>
      <w:pPr>
        <w:spacing w:after="0" w:line="87" w:lineRule="exact"/>
        <w:rPr>
          <w:sz w:val="20"/>
          <w:szCs w:val="20"/>
          <w:color w:val="auto"/>
        </w:rPr>
      </w:pPr>
    </w:p>
    <w:p>
      <w:pPr>
        <w:ind w:right="2080"/>
        <w:spacing w:after="0" w:line="356" w:lineRule="auto"/>
        <w:rPr>
          <w:sz w:val="20"/>
          <w:szCs w:val="20"/>
          <w:color w:val="auto"/>
        </w:rPr>
      </w:pPr>
      <w:r>
        <w:rPr>
          <w:rFonts w:ascii="Arial" w:cs="Arial" w:eastAsia="Arial" w:hAnsi="Arial"/>
          <w:sz w:val="18"/>
          <w:szCs w:val="18"/>
          <w:color w:val="auto"/>
        </w:rPr>
        <w:t>Provide an opportunity for directors to interact with key executives, high potential talent and customers; and Give a broader selection of current and future executives the opportunity to meet directors.</w:t>
      </w:r>
    </w:p>
    <w:p>
      <w:pPr>
        <w:spacing w:after="0" w:line="1" w:lineRule="exact"/>
        <w:rPr>
          <w:sz w:val="20"/>
          <w:szCs w:val="20"/>
          <w:color w:val="auto"/>
        </w:rPr>
      </w:pPr>
    </w:p>
    <w:p>
      <w:pPr>
        <w:sectPr>
          <w:pgSz w:w="11900" w:h="16838" w:orient="portrait"/>
          <w:cols w:equalWidth="0" w:num="2">
            <w:col w:w="180" w:space="300"/>
            <w:col w:w="10540"/>
          </w:cols>
          <w:pgMar w:left="320" w:top="454" w:right="559"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Feedback on this program from directors and location hosts has been positive and it is expected to continue in the future.</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Board Effectiveness Review</w:t>
      </w:r>
    </w:p>
    <w:p>
      <w:pPr>
        <w:spacing w:after="0" w:line="51"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The Corporate Governance Committee, together with the Lead Independent Director, reviews the effectiveness of the Board, its committees and individual directors annually. This review helps identify opportunities for continuing Board and director development and forms the basis of action plans for improving the Board and committee operations.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assessment process is conducted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5570855" cy="10782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08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Each director is required to complete a detailed questionnaire which includes an individual self-assessment and an assessment of the Board and each committee they are a member of. Thomson Reuters General Counsel’s Office collects the completed questionnaires and summarizes the results in a report to the Lead Independent Director.</w:t>
      </w:r>
    </w:p>
    <w:p>
      <w:pPr>
        <w:spacing w:after="0" w:line="65"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The Lead Independent Director then meets individually with each independent and non-independent director to discuss the results of the questionnaires, to assess the performance of the Board and its committees and to solicit peer evaluation.</w:t>
      </w:r>
    </w:p>
    <w:p>
      <w:pPr>
        <w:spacing w:after="0" w:line="51" w:lineRule="exact"/>
        <w:rPr>
          <w:sz w:val="20"/>
          <w:szCs w:val="20"/>
          <w:color w:val="auto"/>
        </w:rPr>
      </w:pPr>
    </w:p>
    <w:p>
      <w:pPr>
        <w:ind w:left="160" w:right="80"/>
        <w:spacing w:after="0" w:line="262" w:lineRule="auto"/>
        <w:rPr>
          <w:sz w:val="20"/>
          <w:szCs w:val="20"/>
          <w:color w:val="auto"/>
        </w:rPr>
      </w:pPr>
      <w:r>
        <w:rPr>
          <w:rFonts w:ascii="Arial" w:cs="Arial" w:eastAsia="Arial" w:hAnsi="Arial"/>
          <w:sz w:val="17"/>
          <w:szCs w:val="17"/>
          <w:color w:val="auto"/>
        </w:rPr>
        <w:t>The Lead Independent Director initially prepares a summary of the outcome of the questionnaires and his one-on-one interviews for review and discussion with the Corporate Governance Committee before presenting the report to the Board. The Corporate Governance Committee may make recommendations to the Board to improve the effectiveness of the Board in light of the results of the assessments. The Corporate Governance Committee monitors any priorities and action plans that are developed as a result of the evaluation process.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process was most recently completed and reviewed with the Corporate Governance Committee and the Board in March 2024.</w:t>
      </w:r>
    </w:p>
    <w:p>
      <w:pPr>
        <w:spacing w:after="0" w:line="101"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The Corporate Governance Committee reviews the adequacy of the assessment process and the questionnaires periodically to take into account new trends and best practices.</w:t>
      </w:r>
    </w:p>
    <w:p>
      <w:pPr>
        <w:spacing w:after="0" w:line="51" w:lineRule="exact"/>
        <w:rPr>
          <w:sz w:val="20"/>
          <w:szCs w:val="20"/>
          <w:color w:val="auto"/>
        </w:rPr>
      </w:pPr>
    </w:p>
    <w:p>
      <w:pPr>
        <w:jc w:val="both"/>
        <w:ind w:left="160" w:right="140"/>
        <w:spacing w:after="0" w:line="249" w:lineRule="auto"/>
        <w:rPr>
          <w:sz w:val="20"/>
          <w:szCs w:val="20"/>
          <w:color w:val="auto"/>
        </w:rPr>
      </w:pPr>
      <w:r>
        <w:rPr>
          <w:rFonts w:ascii="Arial" w:cs="Arial" w:eastAsia="Arial" w:hAnsi="Arial"/>
          <w:sz w:val="18"/>
          <w:szCs w:val="18"/>
          <w:color w:val="auto"/>
        </w:rPr>
        <w:t>Annually, the Board also reviews its responsibilities by assessing our corporate governance guidelines and each committee of the Board performs an annual review of its charter. The Corporate Governance Committee also reviews various position descriptions on an annual basis.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Conflicts of Interest and Transactions Involving Directors or Officers</w:t>
      </w:r>
    </w:p>
    <w:p>
      <w:pPr>
        <w:spacing w:after="0" w:line="42" w:lineRule="exact"/>
        <w:rPr>
          <w:sz w:val="20"/>
          <w:szCs w:val="20"/>
          <w:color w:val="auto"/>
        </w:rPr>
      </w:pPr>
    </w:p>
    <w:p>
      <w:pPr>
        <w:ind w:left="160"/>
        <w:spacing w:after="0" w:line="241" w:lineRule="auto"/>
        <w:rPr>
          <w:sz w:val="20"/>
          <w:szCs w:val="20"/>
          <w:color w:val="auto"/>
        </w:rPr>
      </w:pPr>
      <w:r>
        <w:rPr>
          <w:rFonts w:ascii="Arial" w:cs="Arial" w:eastAsia="Arial" w:hAnsi="Arial"/>
          <w:sz w:val="18"/>
          <w:szCs w:val="18"/>
          <w:color w:val="auto"/>
        </w:rPr>
        <w:t>In the case of any potential or actual conflict of interest, each director is required to inform the Board and executive officers are required to inform the CEO. We also ask our directors and executive officers about potential or actual conflicts of interest in annual questionnaires. Our policies on conflicts of interest are reflected in our Code of Business Conduct and Ethics, our Corporate Governance Guidelines and in supplemental guidance approved by the Board.</w:t>
      </w:r>
    </w:p>
    <w:p>
      <w:pPr>
        <w:spacing w:after="0" w:line="73"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Unless otherwise expressly determined by the Board or relevant committee of the Board, a director who has a conflict of interest in a matter before the Board or such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w:t>
      </w:r>
    </w:p>
    <w:p>
      <w:pPr>
        <w:spacing w:after="0" w:line="71"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If a director has a significant, ongoing and irreconcilable conflict, voluntary resignation from the Board or the conflicting interest may be appropriate or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46   Management Proxy Circular and Notice of Annual Meeting of Shareholders</w:t>
      </w:r>
    </w:p>
    <w:p>
      <w:pPr>
        <w:sectPr>
          <w:pgSz w:w="11900" w:h="16838" w:orient="portrait"/>
          <w:cols w:equalWidth="0" w:num="1">
            <w:col w:w="11020"/>
          </w:cols>
          <w:pgMar w:left="320" w:top="454" w:right="5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Related Party Transactions Policy</w:t>
      </w:r>
    </w:p>
    <w:p>
      <w:pPr>
        <w:spacing w:after="0" w:line="51" w:lineRule="exact"/>
        <w:rPr>
          <w:sz w:val="20"/>
          <w:szCs w:val="20"/>
          <w:color w:val="auto"/>
        </w:rPr>
      </w:pPr>
    </w:p>
    <w:p>
      <w:pPr>
        <w:jc w:val="both"/>
        <w:ind w:left="160" w:right="20"/>
        <w:spacing w:after="0" w:line="270" w:lineRule="auto"/>
        <w:rPr>
          <w:sz w:val="20"/>
          <w:szCs w:val="20"/>
          <w:color w:val="auto"/>
        </w:rPr>
      </w:pPr>
      <w:r>
        <w:rPr>
          <w:rFonts w:ascii="Arial" w:cs="Arial" w:eastAsia="Arial" w:hAnsi="Arial"/>
          <w:sz w:val="17"/>
          <w:szCs w:val="17"/>
          <w:color w:val="auto"/>
        </w:rPr>
        <w:t>Under our current related party transactions policy, the disinterested members of the Corporate Governance Committee or an independent body of the Board conducts a reasonable prior review and oversight of related party transactions for potential conflicts of interests and will only approve such a transaction if it is determined that the transaction is in the best interests of Thomson Reuters and its stakeholders.</w:t>
      </w:r>
    </w:p>
    <w:p>
      <w:pPr>
        <w:spacing w:after="0" w:line="49"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If it is not possible to convene a meeting of the Corporate Governance Committee to review and approve any such transaction in advance, then the Chair of the Corporate Governance Committee will consider whether the related party transaction is appropriate and, if so, will approve it. Any such transaction will be subject to ratification by the Corporate Governance Committee at its next regularly scheduled meeting.</w:t>
      </w:r>
    </w:p>
    <w:p>
      <w:pPr>
        <w:spacing w:after="0" w:line="71"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color w:val="auto"/>
        </w:rPr>
        <w:t>An “independent special committee” of the Board shall be established in connection with related party transactions when required pursuant to applicable Canadian law or otherwise determined to be advisable.</w:t>
      </w:r>
    </w:p>
    <w:p>
      <w:pPr>
        <w:spacing w:after="0" w:line="51" w:lineRule="exact"/>
        <w:rPr>
          <w:sz w:val="20"/>
          <w:szCs w:val="20"/>
          <w:color w:val="auto"/>
        </w:rPr>
      </w:pPr>
    </w:p>
    <w:p>
      <w:pPr>
        <w:ind w:left="160" w:right="420"/>
        <w:spacing w:after="0" w:line="265" w:lineRule="auto"/>
        <w:rPr>
          <w:sz w:val="20"/>
          <w:szCs w:val="20"/>
          <w:color w:val="auto"/>
        </w:rPr>
      </w:pPr>
      <w:r>
        <w:rPr>
          <w:rFonts w:ascii="Arial" w:cs="Arial" w:eastAsia="Arial" w:hAnsi="Arial"/>
          <w:sz w:val="18"/>
          <w:szCs w:val="18"/>
          <w:color w:val="auto"/>
        </w:rPr>
        <w:t>The company’s related party transactions policy includes various considerations for reviewing the relevant facts and circumstances of transactions and includes a set of related party transactions that are pre-approved for purposes of the policy.</w:t>
      </w:r>
    </w:p>
    <w:p>
      <w:pPr>
        <w:spacing w:after="0" w:line="51"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A director who may not be considered independent for purposes of a related party transaction (e.g., a director, including any immediate family member, who is a party to or has a potential conflict of interest in a proposed related party transaction, or has a material interest in any related party transaction or in a party to a related party transaction) is to disclose that fact and provide all material information concerning the transaction to the Chair of the Corporate Governance Committee and the Chief Legal Officer and Company Secretary as soon as they become aware. Any such director must not receive or review any written materials or correspondence related to the conflict subject area, nor attend any part of a meeting during which the matter is discussed or participate in any vote on the matter, except where the disinterested members of the Corporate Governance Committee have expressly determined that it is appropriate for him or her to do so.</w:t>
      </w:r>
    </w:p>
    <w:p>
      <w:pPr>
        <w:spacing w:after="0" w:line="77" w:lineRule="exact"/>
        <w:rPr>
          <w:sz w:val="20"/>
          <w:szCs w:val="20"/>
          <w:color w:val="auto"/>
        </w:rPr>
      </w:pPr>
    </w:p>
    <w:p>
      <w:pPr>
        <w:ind w:left="160" w:right="840"/>
        <w:spacing w:after="0" w:line="265" w:lineRule="auto"/>
        <w:rPr>
          <w:sz w:val="20"/>
          <w:szCs w:val="20"/>
          <w:color w:val="auto"/>
        </w:rPr>
      </w:pPr>
      <w:r>
        <w:rPr>
          <w:rFonts w:ascii="Arial" w:cs="Arial" w:eastAsia="Arial" w:hAnsi="Arial"/>
          <w:sz w:val="18"/>
          <w:szCs w:val="18"/>
          <w:color w:val="auto"/>
        </w:rPr>
        <w:t>All related party transactions that are required to be disclosed pursuant to Canadian law shall be disclosed in Thomson Reuters’ applicable filings with the Canadian securities regulatory authorities and/or the SEC.</w:t>
      </w:r>
    </w:p>
    <w:p>
      <w:pPr>
        <w:spacing w:after="0" w:line="5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For more information about related party transactions in the last two years, please see the management’s discussion and analysis (MD&amp;A) section of our 2023 annual report.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HR Committee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HR Committee is responsible for assisting the Board in fulfilling its oversight responsibilities in relation to:</w:t>
      </w:r>
    </w:p>
    <w:p>
      <w:pPr>
        <w:sectPr>
          <w:pgSz w:w="11900" w:h="16838" w:orient="portrait"/>
          <w:cols w:equalWidth="0" w:num="1">
            <w:col w:w="11080"/>
          </w:cols>
          <w:pgMar w:left="320" w:top="454" w:right="499" w:bottom="1440" w:gutter="0" w:footer="0" w:header="0"/>
        </w:sectPr>
      </w:pP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selection and retention of senior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planning for the succession of senior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talent and professional development for senior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of the CEO and other senior management and assessment of compensation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human capital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of pension and significant benefit plans for employees; and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any additional matters delegated to the HR Committee by the Board.</w:t>
      </w:r>
    </w:p>
    <w:p>
      <w:pPr>
        <w:spacing w:after="0" w:line="114"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The following table provides an overview of the HR Committee’s work plan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91440</wp:posOffset>
            </wp:positionV>
            <wp:extent cx="6929755" cy="178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FFFFFF"/>
        </w:rPr>
        <w:t>2023 Primary HR Committee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37465</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target compensation for executive officers</w:t>
      </w:r>
    </w:p>
    <w:p>
      <w:pPr>
        <w:ind w:left="480" w:right="280" w:hanging="213"/>
        <w:spacing w:after="0" w:line="222"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 Evaluate the performance of the CEO and review of the evaluations of other executive officers</w:t>
      </w:r>
    </w:p>
    <w:p>
      <w:pPr>
        <w:ind w:left="260"/>
        <w:spacing w:after="0" w:line="210"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2022 annual incentive award payouts</w:t>
      </w:r>
    </w:p>
    <w:p>
      <w:pPr>
        <w:ind w:left="480" w:hanging="213"/>
        <w:spacing w:after="0" w:line="228"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2023 annual and long-term incentive award design, the mix of cash and equity compensation, the allocation of equity-based awards, and performance goals</w:t>
      </w:r>
    </w:p>
    <w:p>
      <w:pPr>
        <w:ind w:left="260"/>
        <w:spacing w:after="0" w:line="208"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2023 annual and long-term incentive award design</w:t>
      </w:r>
    </w:p>
    <w:p>
      <w:pPr>
        <w:spacing w:after="0" w:line="1" w:lineRule="exact"/>
        <w:rPr>
          <w:sz w:val="20"/>
          <w:szCs w:val="20"/>
          <w:color w:val="auto"/>
        </w:rPr>
      </w:pPr>
    </w:p>
    <w:p>
      <w:pPr>
        <w:ind w:left="260" w:right="320"/>
        <w:spacing w:after="0" w:line="266"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compensation disclosure in the annual management proxy circular </w:t>
      </w: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and approve new 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243840</wp:posOffset>
            </wp:positionV>
            <wp:extent cx="6929755" cy="336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right"/>
        <w:ind w:right="260"/>
        <w:spacing w:after="0" w:line="228"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human capital management matters such as diversity and inclusion initiatives, talent, organizational health and culture and related ESG matters</w:t>
      </w:r>
    </w:p>
    <w:p>
      <w:pPr>
        <w:spacing w:after="0" w:line="209"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succession planning</w:t>
      </w:r>
    </w:p>
    <w:p>
      <w:pPr>
        <w:spacing w:after="0" w:line="208"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compensation program risk assessment</w:t>
      </w:r>
    </w:p>
    <w:p>
      <w:pPr>
        <w:spacing w:after="0" w:line="1" w:lineRule="exact"/>
        <w:rPr>
          <w:sz w:val="20"/>
          <w:szCs w:val="20"/>
          <w:color w:val="auto"/>
        </w:rPr>
      </w:pPr>
    </w:p>
    <w:p>
      <w:pPr>
        <w:ind w:right="1320"/>
        <w:spacing w:after="0" w:line="222"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compensation trends and regulatory developments </w:t>
      </w: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compensation peer group</w:t>
      </w:r>
    </w:p>
    <w:p>
      <w:pPr>
        <w:spacing w:after="0" w:line="210"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equity share plan reserve analysis</w:t>
      </w:r>
    </w:p>
    <w:p>
      <w:pPr>
        <w:ind w:right="340"/>
        <w:spacing w:after="0" w:line="222"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“Say on pay” modeling and evaluate outcome of “Say on pay” vote </w:t>
      </w: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key global retirement plans</w:t>
      </w:r>
    </w:p>
    <w:p>
      <w:pPr>
        <w:spacing w:after="0" w:line="210" w:lineRule="auto"/>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senior management’s share ownership guidelines</w:t>
      </w:r>
    </w:p>
    <w:p>
      <w:pPr>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certain new senior executive hirings and terminations</w:t>
      </w:r>
    </w:p>
    <w:p>
      <w:pPr>
        <w:spacing w:after="0" w:line="200" w:lineRule="exact"/>
        <w:rPr>
          <w:sz w:val="20"/>
          <w:szCs w:val="20"/>
          <w:color w:val="auto"/>
        </w:rPr>
      </w:pPr>
    </w:p>
    <w:p>
      <w:pPr>
        <w:sectPr>
          <w:pgSz w:w="11900" w:h="16838" w:orient="portrait"/>
          <w:cols w:equalWidth="0" w:num="2">
            <w:col w:w="5520" w:space="340"/>
            <w:col w:w="5220"/>
          </w:cols>
          <w:pgMar w:left="320" w:top="454" w:right="499" w:bottom="1440" w:gutter="0" w:footer="0" w:header="0"/>
          <w:type w:val="continuous"/>
        </w:sectPr>
      </w:pPr>
    </w:p>
    <w:p>
      <w:pPr>
        <w:spacing w:after="0" w:line="182"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47</w:t>
      </w:r>
    </w:p>
    <w:p>
      <w:pPr>
        <w:sectPr>
          <w:pgSz w:w="11900" w:h="16838" w:orient="portrait"/>
          <w:cols w:equalWidth="0" w:num="1">
            <w:col w:w="11080"/>
          </w:cols>
          <w:pgMar w:left="320" w:top="454" w:right="4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The following is a brief summary of the experience of each director nominee who is a member of the HR Committee that is relevant to the performance of his or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52705</wp:posOffset>
            </wp:positionV>
            <wp:extent cx="8255" cy="1276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27635"/>
                    </a:xfrm>
                    <a:prstGeom prst="rect">
                      <a:avLst/>
                    </a:prstGeom>
                    <a:noFill/>
                  </pic:spPr>
                </pic:pic>
              </a:graphicData>
            </a:graphic>
          </wp:anchor>
        </w:drawing>
      </w: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10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HR Committee Member</w:t>
            </w:r>
          </w:p>
        </w:tc>
        <w:tc>
          <w:tcPr>
            <w:tcW w:w="7820" w:type="dxa"/>
            <w:vAlign w:val="bottom"/>
            <w:shd w:val="clear" w:color="auto" w:fill="262626"/>
          </w:tcPr>
          <w:p>
            <w:pPr>
              <w:ind w:left="180"/>
              <w:spacing w:after="0"/>
              <w:rPr>
                <w:sz w:val="20"/>
                <w:szCs w:val="20"/>
                <w:color w:val="auto"/>
              </w:rPr>
            </w:pPr>
            <w:r>
              <w:rPr>
                <w:rFonts w:ascii="Arial" w:cs="Arial" w:eastAsia="Arial" w:hAnsi="Arial"/>
                <w:sz w:val="15"/>
                <w:szCs w:val="15"/>
                <w:b w:val="1"/>
                <w:bCs w:val="1"/>
                <w:color w:val="FFFFFF"/>
              </w:rPr>
              <w:t>Experience</w:t>
            </w:r>
          </w:p>
        </w:tc>
      </w:tr>
      <w:tr>
        <w:trPr>
          <w:trHeight w:val="148"/>
        </w:trPr>
        <w:tc>
          <w:tcPr>
            <w:tcW w:w="3100" w:type="dxa"/>
            <w:vAlign w:val="bottom"/>
            <w:tcBorders>
              <w:right w:val="single" w:sz="8" w:color="AFAFAF"/>
            </w:tcBorders>
          </w:tcPr>
          <w:p>
            <w:pPr>
              <w:ind w:left="160"/>
              <w:spacing w:after="0" w:line="148" w:lineRule="exact"/>
              <w:rPr>
                <w:sz w:val="20"/>
                <w:szCs w:val="20"/>
                <w:color w:val="auto"/>
              </w:rPr>
            </w:pPr>
            <w:r>
              <w:rPr>
                <w:rFonts w:ascii="Arial" w:cs="Arial" w:eastAsia="Arial" w:hAnsi="Arial"/>
                <w:sz w:val="14"/>
                <w:szCs w:val="14"/>
                <w:b w:val="1"/>
                <w:bCs w:val="1"/>
                <w:color w:val="auto"/>
              </w:rPr>
              <w:t>W. Edmund Clark, C.M. (Chair)</w:t>
            </w:r>
          </w:p>
        </w:tc>
        <w:tc>
          <w:tcPr>
            <w:tcW w:w="782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Group President and Chief Executive Officer of TD Bank Group</w:t>
            </w:r>
          </w:p>
        </w:tc>
      </w:tr>
      <w:tr>
        <w:trPr>
          <w:trHeight w:val="186"/>
        </w:trPr>
        <w:tc>
          <w:tcPr>
            <w:tcW w:w="3100" w:type="dxa"/>
            <w:vAlign w:val="bottom"/>
            <w:tcBorders>
              <w:bottom w:val="single" w:sz="8" w:color="AFAFAF"/>
              <w:right w:val="single" w:sz="8" w:color="AFAFAF"/>
            </w:tcBorders>
          </w:tcPr>
          <w:p>
            <w:pPr>
              <w:spacing w:after="0"/>
              <w:rPr>
                <w:sz w:val="16"/>
                <w:szCs w:val="16"/>
                <w:color w:val="auto"/>
              </w:rPr>
            </w:pPr>
          </w:p>
        </w:tc>
        <w:tc>
          <w:tcPr>
            <w:tcW w:w="7820" w:type="dxa"/>
            <w:vAlign w:val="bottom"/>
            <w:tcBorders>
              <w:bottom w:val="single" w:sz="8" w:color="AFAFAF"/>
            </w:tcBorders>
          </w:tcPr>
          <w:p>
            <w:pPr>
              <w:ind w:left="1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 Familiarity with global compensation standards</w:t>
            </w:r>
          </w:p>
        </w:tc>
      </w:tr>
      <w:tr>
        <w:trPr>
          <w:trHeight w:val="141"/>
        </w:trPr>
        <w:tc>
          <w:tcPr>
            <w:tcW w:w="3100" w:type="dxa"/>
            <w:vAlign w:val="bottom"/>
            <w:tcBorders>
              <w:right w:val="single" w:sz="8" w:color="AFAFAF"/>
            </w:tcBorders>
          </w:tcPr>
          <w:p>
            <w:pPr>
              <w:ind w:left="160"/>
              <w:spacing w:after="0" w:line="141" w:lineRule="exact"/>
              <w:rPr>
                <w:sz w:val="20"/>
                <w:szCs w:val="20"/>
                <w:color w:val="auto"/>
              </w:rPr>
            </w:pPr>
            <w:r>
              <w:rPr>
                <w:rFonts w:ascii="Arial" w:cs="Arial" w:eastAsia="Arial" w:hAnsi="Arial"/>
                <w:sz w:val="14"/>
                <w:szCs w:val="14"/>
                <w:b w:val="1"/>
                <w:bCs w:val="1"/>
                <w:color w:val="auto"/>
              </w:rPr>
              <w:t>Kirk E. Arnold</w:t>
            </w:r>
          </w:p>
        </w:tc>
        <w:tc>
          <w:tcPr>
            <w:tcW w:w="7820" w:type="dxa"/>
            <w:vAlign w:val="bottom"/>
          </w:tcPr>
          <w:p>
            <w:pPr>
              <w:ind w:left="18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 Chair of Ingersoll Rand Inc. compensation committee</w:t>
            </w:r>
          </w:p>
        </w:tc>
      </w:tr>
      <w:tr>
        <w:trPr>
          <w:trHeight w:val="160"/>
        </w:trPr>
        <w:tc>
          <w:tcPr>
            <w:tcW w:w="3100" w:type="dxa"/>
            <w:vAlign w:val="bottom"/>
            <w:tcBorders>
              <w:right w:val="single" w:sz="8" w:color="AFAFAF"/>
            </w:tcBorders>
          </w:tcPr>
          <w:p>
            <w:pPr>
              <w:spacing w:after="0"/>
              <w:rPr>
                <w:sz w:val="13"/>
                <w:szCs w:val="13"/>
                <w:color w:val="auto"/>
              </w:rPr>
            </w:pPr>
          </w:p>
        </w:tc>
        <w:tc>
          <w:tcPr>
            <w:tcW w:w="78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Trane Technologies PLC human resources and compensation committee</w:t>
            </w:r>
          </w:p>
        </w:tc>
      </w:tr>
      <w:tr>
        <w:trPr>
          <w:trHeight w:val="164"/>
        </w:trPr>
        <w:tc>
          <w:tcPr>
            <w:tcW w:w="3100" w:type="dxa"/>
            <w:vAlign w:val="bottom"/>
            <w:tcBorders>
              <w:right w:val="single" w:sz="8" w:color="AFAFAF"/>
            </w:tcBorders>
          </w:tcPr>
          <w:p>
            <w:pPr>
              <w:spacing w:after="0"/>
              <w:rPr>
                <w:sz w:val="14"/>
                <w:szCs w:val="14"/>
                <w:color w:val="auto"/>
              </w:rPr>
            </w:pPr>
          </w:p>
        </w:tc>
        <w:tc>
          <w:tcPr>
            <w:tcW w:w="7820" w:type="dxa"/>
            <w:vAlign w:val="bottom"/>
          </w:tcPr>
          <w:p>
            <w:pPr>
              <w:ind w:left="18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 Member of the Board of Directors of The Predictive Index, a private software company focused on human resource</w:t>
            </w:r>
          </w:p>
        </w:tc>
      </w:tr>
      <w:tr>
        <w:trPr>
          <w:trHeight w:val="157"/>
        </w:trPr>
        <w:tc>
          <w:tcPr>
            <w:tcW w:w="3100" w:type="dxa"/>
            <w:vAlign w:val="bottom"/>
            <w:tcBorders>
              <w:right w:val="single" w:sz="8" w:color="AFAFAF"/>
            </w:tcBorders>
          </w:tcPr>
          <w:p>
            <w:pPr>
              <w:spacing w:after="0"/>
              <w:rPr>
                <w:sz w:val="13"/>
                <w:szCs w:val="13"/>
                <w:color w:val="auto"/>
              </w:rPr>
            </w:pPr>
          </w:p>
        </w:tc>
        <w:tc>
          <w:tcPr>
            <w:tcW w:w="7820" w:type="dxa"/>
            <w:vAlign w:val="bottom"/>
          </w:tcPr>
          <w:p>
            <w:pPr>
              <w:ind w:left="400"/>
              <w:spacing w:after="0" w:line="157" w:lineRule="exact"/>
              <w:rPr>
                <w:sz w:val="20"/>
                <w:szCs w:val="20"/>
                <w:color w:val="auto"/>
              </w:rPr>
            </w:pPr>
            <w:r>
              <w:rPr>
                <w:rFonts w:ascii="Arial" w:cs="Arial" w:eastAsia="Arial" w:hAnsi="Arial"/>
                <w:sz w:val="14"/>
                <w:szCs w:val="14"/>
                <w:color w:val="auto"/>
              </w:rPr>
              <w:t>engagement tools and leadership practices</w:t>
            </w:r>
          </w:p>
        </w:tc>
      </w:tr>
      <w:tr>
        <w:trPr>
          <w:trHeight w:val="160"/>
        </w:trPr>
        <w:tc>
          <w:tcPr>
            <w:tcW w:w="3100" w:type="dxa"/>
            <w:vAlign w:val="bottom"/>
            <w:tcBorders>
              <w:right w:val="single" w:sz="8" w:color="AFAFAF"/>
            </w:tcBorders>
          </w:tcPr>
          <w:p>
            <w:pPr>
              <w:spacing w:after="0"/>
              <w:rPr>
                <w:sz w:val="13"/>
                <w:szCs w:val="13"/>
                <w:color w:val="auto"/>
              </w:rPr>
            </w:pPr>
          </w:p>
        </w:tc>
        <w:tc>
          <w:tcPr>
            <w:tcW w:w="78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 Senior Lecturer at MIT Sloan School of Management, including teaching a course on compensation strategies</w:t>
            </w:r>
          </w:p>
        </w:tc>
      </w:tr>
      <w:tr>
        <w:trPr>
          <w:trHeight w:val="186"/>
        </w:trPr>
        <w:tc>
          <w:tcPr>
            <w:tcW w:w="3100" w:type="dxa"/>
            <w:vAlign w:val="bottom"/>
            <w:tcBorders>
              <w:bottom w:val="single" w:sz="8" w:color="AFAFAF"/>
              <w:right w:val="single" w:sz="8" w:color="AFAFAF"/>
            </w:tcBorders>
          </w:tcPr>
          <w:p>
            <w:pPr>
              <w:spacing w:after="0"/>
              <w:rPr>
                <w:sz w:val="16"/>
                <w:szCs w:val="16"/>
                <w:color w:val="auto"/>
              </w:rPr>
            </w:pPr>
          </w:p>
        </w:tc>
        <w:tc>
          <w:tcPr>
            <w:tcW w:w="7820" w:type="dxa"/>
            <w:vAlign w:val="bottom"/>
            <w:tcBorders>
              <w:bottom w:val="single" w:sz="8" w:color="AFAFAF"/>
            </w:tcBorders>
          </w:tcPr>
          <w:p>
            <w:pPr>
              <w:ind w:left="1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Chief Executive Officer of Data Intensity, Inc., Keane, Inc. and NerveWire</w:t>
            </w:r>
          </w:p>
        </w:tc>
      </w:tr>
      <w:tr>
        <w:trPr>
          <w:trHeight w:val="141"/>
        </w:trPr>
        <w:tc>
          <w:tcPr>
            <w:tcW w:w="3100" w:type="dxa"/>
            <w:vAlign w:val="bottom"/>
            <w:tcBorders>
              <w:right w:val="single" w:sz="8" w:color="AFAFAF"/>
            </w:tcBorders>
          </w:tcPr>
          <w:p>
            <w:pPr>
              <w:ind w:left="160"/>
              <w:spacing w:after="0" w:line="141" w:lineRule="exact"/>
              <w:rPr>
                <w:sz w:val="20"/>
                <w:szCs w:val="20"/>
                <w:color w:val="auto"/>
              </w:rPr>
            </w:pPr>
            <w:r>
              <w:rPr>
                <w:rFonts w:ascii="Arial" w:cs="Arial" w:eastAsia="Arial" w:hAnsi="Arial"/>
                <w:sz w:val="14"/>
                <w:szCs w:val="14"/>
                <w:b w:val="1"/>
                <w:bCs w:val="1"/>
                <w:color w:val="auto"/>
              </w:rPr>
              <w:t>Michael E. Daniels</w:t>
            </w:r>
          </w:p>
        </w:tc>
        <w:tc>
          <w:tcPr>
            <w:tcW w:w="7820" w:type="dxa"/>
            <w:vAlign w:val="bottom"/>
          </w:tcPr>
          <w:p>
            <w:pPr>
              <w:ind w:left="18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 Over 25 years of executive experience at IBM</w:t>
            </w:r>
          </w:p>
        </w:tc>
      </w:tr>
      <w:tr>
        <w:trPr>
          <w:trHeight w:val="160"/>
        </w:trPr>
        <w:tc>
          <w:tcPr>
            <w:tcW w:w="3100" w:type="dxa"/>
            <w:vAlign w:val="bottom"/>
            <w:tcBorders>
              <w:right w:val="single" w:sz="8" w:color="AFAFAF"/>
            </w:tcBorders>
          </w:tcPr>
          <w:p>
            <w:pPr>
              <w:spacing w:after="0"/>
              <w:rPr>
                <w:sz w:val="13"/>
                <w:szCs w:val="13"/>
                <w:color w:val="auto"/>
              </w:rPr>
            </w:pPr>
          </w:p>
        </w:tc>
        <w:tc>
          <w:tcPr>
            <w:tcW w:w="78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 Familiarity with global compensation standards</w:t>
            </w:r>
          </w:p>
        </w:tc>
      </w:tr>
      <w:tr>
        <w:trPr>
          <w:trHeight w:val="186"/>
        </w:trPr>
        <w:tc>
          <w:tcPr>
            <w:tcW w:w="3100" w:type="dxa"/>
            <w:vAlign w:val="bottom"/>
            <w:tcBorders>
              <w:bottom w:val="single" w:sz="8" w:color="AFAFAF"/>
              <w:right w:val="single" w:sz="8" w:color="AFAFAF"/>
            </w:tcBorders>
          </w:tcPr>
          <w:p>
            <w:pPr>
              <w:spacing w:after="0"/>
              <w:rPr>
                <w:sz w:val="16"/>
                <w:szCs w:val="16"/>
                <w:color w:val="auto"/>
              </w:rPr>
            </w:pPr>
          </w:p>
        </w:tc>
        <w:tc>
          <w:tcPr>
            <w:tcW w:w="7820" w:type="dxa"/>
            <w:vAlign w:val="bottom"/>
            <w:tcBorders>
              <w:bottom w:val="single" w:sz="8" w:color="AFAFAF"/>
            </w:tcBorders>
          </w:tcPr>
          <w:p>
            <w:pPr>
              <w:ind w:left="1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 Chair of Johnson Controls International plc compensation committee</w:t>
            </w:r>
          </w:p>
        </w:tc>
      </w:tr>
      <w:tr>
        <w:trPr>
          <w:trHeight w:val="141"/>
        </w:trPr>
        <w:tc>
          <w:tcPr>
            <w:tcW w:w="3100" w:type="dxa"/>
            <w:vAlign w:val="bottom"/>
            <w:tcBorders>
              <w:right w:val="single" w:sz="8" w:color="AFAFAF"/>
            </w:tcBorders>
          </w:tcPr>
          <w:p>
            <w:pPr>
              <w:ind w:left="160"/>
              <w:spacing w:after="0" w:line="141" w:lineRule="exact"/>
              <w:rPr>
                <w:sz w:val="20"/>
                <w:szCs w:val="20"/>
                <w:color w:val="auto"/>
              </w:rPr>
            </w:pPr>
            <w:r>
              <w:rPr>
                <w:rFonts w:ascii="Arial" w:cs="Arial" w:eastAsia="Arial" w:hAnsi="Arial"/>
                <w:sz w:val="14"/>
                <w:szCs w:val="14"/>
                <w:b w:val="1"/>
                <w:bCs w:val="1"/>
                <w:color w:val="auto"/>
              </w:rPr>
              <w:t>Kirk Koenigsbauer</w:t>
            </w:r>
          </w:p>
        </w:tc>
        <w:tc>
          <w:tcPr>
            <w:tcW w:w="7820" w:type="dxa"/>
            <w:vAlign w:val="bottom"/>
          </w:tcPr>
          <w:p>
            <w:pPr>
              <w:ind w:left="18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 Chief Operating Officer and Corporate Vice President at Microsoft Corporation.</w:t>
            </w:r>
          </w:p>
        </w:tc>
      </w:tr>
      <w:tr>
        <w:trPr>
          <w:trHeight w:val="186"/>
        </w:trPr>
        <w:tc>
          <w:tcPr>
            <w:tcW w:w="3100" w:type="dxa"/>
            <w:vAlign w:val="bottom"/>
            <w:tcBorders>
              <w:bottom w:val="single" w:sz="8" w:color="AFAFAF"/>
              <w:right w:val="single" w:sz="8" w:color="AFAFAF"/>
            </w:tcBorders>
          </w:tcPr>
          <w:p>
            <w:pPr>
              <w:spacing w:after="0"/>
              <w:rPr>
                <w:sz w:val="16"/>
                <w:szCs w:val="16"/>
                <w:color w:val="auto"/>
              </w:rPr>
            </w:pPr>
          </w:p>
        </w:tc>
        <w:tc>
          <w:tcPr>
            <w:tcW w:w="7820" w:type="dxa"/>
            <w:vAlign w:val="bottom"/>
            <w:tcBorders>
              <w:bottom w:val="single" w:sz="8" w:color="AFAFAF"/>
            </w:tcBorders>
          </w:tcPr>
          <w:p>
            <w:pPr>
              <w:ind w:left="1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 Familiarity with global compensation standards</w:t>
            </w:r>
          </w:p>
        </w:tc>
      </w:tr>
      <w:tr>
        <w:trPr>
          <w:trHeight w:val="141"/>
        </w:trPr>
        <w:tc>
          <w:tcPr>
            <w:tcW w:w="3100" w:type="dxa"/>
            <w:vAlign w:val="bottom"/>
            <w:tcBorders>
              <w:right w:val="single" w:sz="8" w:color="AFAFAF"/>
            </w:tcBorders>
          </w:tcPr>
          <w:p>
            <w:pPr>
              <w:ind w:left="160"/>
              <w:spacing w:after="0" w:line="141" w:lineRule="exact"/>
              <w:rPr>
                <w:sz w:val="20"/>
                <w:szCs w:val="20"/>
                <w:color w:val="auto"/>
              </w:rPr>
            </w:pPr>
            <w:r>
              <w:rPr>
                <w:rFonts w:ascii="Arial" w:cs="Arial" w:eastAsia="Arial" w:hAnsi="Arial"/>
                <w:sz w:val="14"/>
                <w:szCs w:val="14"/>
                <w:b w:val="1"/>
                <w:bCs w:val="1"/>
                <w:color w:val="auto"/>
              </w:rPr>
              <w:t>Peter J. Thomson</w:t>
            </w:r>
          </w:p>
        </w:tc>
        <w:tc>
          <w:tcPr>
            <w:tcW w:w="7820" w:type="dxa"/>
            <w:vAlign w:val="bottom"/>
          </w:tcPr>
          <w:p>
            <w:pPr>
              <w:ind w:left="18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 Chair of Woodbridge and familiar with compensation programs at many companies</w:t>
            </w:r>
          </w:p>
        </w:tc>
      </w:tr>
      <w:tr>
        <w:trPr>
          <w:trHeight w:val="186"/>
        </w:trPr>
        <w:tc>
          <w:tcPr>
            <w:tcW w:w="3100" w:type="dxa"/>
            <w:vAlign w:val="bottom"/>
            <w:tcBorders>
              <w:bottom w:val="single" w:sz="8" w:color="AFAFAF"/>
              <w:right w:val="single" w:sz="8" w:color="AFAFAF"/>
            </w:tcBorders>
          </w:tcPr>
          <w:p>
            <w:pPr>
              <w:spacing w:after="0"/>
              <w:rPr>
                <w:sz w:val="16"/>
                <w:szCs w:val="16"/>
                <w:color w:val="auto"/>
              </w:rPr>
            </w:pPr>
          </w:p>
        </w:tc>
        <w:tc>
          <w:tcPr>
            <w:tcW w:w="7820" w:type="dxa"/>
            <w:vAlign w:val="bottom"/>
            <w:tcBorders>
              <w:bottom w:val="single" w:sz="8" w:color="AFAFAF"/>
            </w:tcBorders>
          </w:tcPr>
          <w:p>
            <w:pPr>
              <w:ind w:left="1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 Familiarity with global compensation standards</w:t>
            </w:r>
          </w:p>
        </w:tc>
      </w:tr>
      <w:tr>
        <w:trPr>
          <w:trHeight w:val="141"/>
        </w:trPr>
        <w:tc>
          <w:tcPr>
            <w:tcW w:w="3100" w:type="dxa"/>
            <w:vAlign w:val="bottom"/>
            <w:tcBorders>
              <w:right w:val="single" w:sz="8" w:color="AFAFAF"/>
            </w:tcBorders>
          </w:tcPr>
          <w:p>
            <w:pPr>
              <w:ind w:left="160"/>
              <w:spacing w:after="0" w:line="141" w:lineRule="exact"/>
              <w:rPr>
                <w:sz w:val="20"/>
                <w:szCs w:val="20"/>
                <w:color w:val="auto"/>
              </w:rPr>
            </w:pPr>
            <w:r>
              <w:rPr>
                <w:rFonts w:ascii="Arial" w:cs="Arial" w:eastAsia="Arial" w:hAnsi="Arial"/>
                <w:sz w:val="14"/>
                <w:szCs w:val="14"/>
                <w:b w:val="1"/>
                <w:bCs w:val="1"/>
                <w:color w:val="auto"/>
              </w:rPr>
              <w:t>Beth Wilson</w:t>
            </w:r>
          </w:p>
        </w:tc>
        <w:tc>
          <w:tcPr>
            <w:tcW w:w="7820" w:type="dxa"/>
            <w:vAlign w:val="bottom"/>
          </w:tcPr>
          <w:p>
            <w:pPr>
              <w:ind w:left="18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 Director at Woodgreen Foundation and IGM Financial Inc.</w:t>
            </w:r>
          </w:p>
        </w:tc>
      </w:tr>
      <w:tr>
        <w:trPr>
          <w:trHeight w:val="160"/>
        </w:trPr>
        <w:tc>
          <w:tcPr>
            <w:tcW w:w="3100" w:type="dxa"/>
            <w:vAlign w:val="bottom"/>
            <w:tcBorders>
              <w:right w:val="single" w:sz="8" w:color="AFAFAF"/>
            </w:tcBorders>
          </w:tcPr>
          <w:p>
            <w:pPr>
              <w:spacing w:after="0"/>
              <w:rPr>
                <w:sz w:val="13"/>
                <w:szCs w:val="13"/>
                <w:color w:val="auto"/>
              </w:rPr>
            </w:pPr>
          </w:p>
        </w:tc>
        <w:tc>
          <w:tcPr>
            <w:tcW w:w="78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Chief Human Resources Officer at KPMG</w:t>
            </w:r>
          </w:p>
        </w:tc>
      </w:tr>
      <w:tr>
        <w:trPr>
          <w:trHeight w:val="160"/>
        </w:trPr>
        <w:tc>
          <w:tcPr>
            <w:tcW w:w="3100" w:type="dxa"/>
            <w:vAlign w:val="bottom"/>
            <w:tcBorders>
              <w:right w:val="single" w:sz="8" w:color="AFAFAF"/>
            </w:tcBorders>
          </w:tcPr>
          <w:p>
            <w:pPr>
              <w:spacing w:after="0"/>
              <w:rPr>
                <w:sz w:val="13"/>
                <w:szCs w:val="13"/>
                <w:color w:val="auto"/>
              </w:rPr>
            </w:pPr>
          </w:p>
        </w:tc>
        <w:tc>
          <w:tcPr>
            <w:tcW w:w="78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 Former Chief Executive Officer at Dentons LLP</w:t>
            </w:r>
          </w:p>
        </w:tc>
      </w:tr>
      <w:tr>
        <w:trPr>
          <w:trHeight w:val="186"/>
        </w:trPr>
        <w:tc>
          <w:tcPr>
            <w:tcW w:w="3100" w:type="dxa"/>
            <w:vAlign w:val="bottom"/>
            <w:tcBorders>
              <w:bottom w:val="single" w:sz="8" w:color="B94831"/>
              <w:right w:val="single" w:sz="8" w:color="AFAFAF"/>
            </w:tcBorders>
          </w:tcPr>
          <w:p>
            <w:pPr>
              <w:spacing w:after="0"/>
              <w:rPr>
                <w:sz w:val="16"/>
                <w:szCs w:val="16"/>
                <w:color w:val="auto"/>
              </w:rPr>
            </w:pPr>
          </w:p>
        </w:tc>
        <w:tc>
          <w:tcPr>
            <w:tcW w:w="7820" w:type="dxa"/>
            <w:vAlign w:val="bottom"/>
            <w:tcBorders>
              <w:bottom w:val="single" w:sz="8" w:color="B94831"/>
            </w:tcBorders>
          </w:tcPr>
          <w:p>
            <w:pPr>
              <w:ind w:left="18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 Familiarity with global compensation standards</w:t>
            </w: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Compensation Planning</w:t>
      </w:r>
    </w:p>
    <w:p>
      <w:pPr>
        <w:spacing w:after="0" w:line="51"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The HR Committee’s responsibilities include establishing, implementing and overseeing our compensation policies and programs. A detailed discussion of the HR Committee’s responsibilities in this area is provided in the “Compensation Discussion and Analysis” section of this circular.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CEO Performance Evaluation and Objectives Setting</w:t>
      </w:r>
    </w:p>
    <w:p>
      <w:pPr>
        <w:spacing w:after="0" w:line="51" w:lineRule="exact"/>
        <w:rPr>
          <w:sz w:val="20"/>
          <w:szCs w:val="20"/>
          <w:color w:val="auto"/>
        </w:rPr>
      </w:pPr>
    </w:p>
    <w:p>
      <w:pPr>
        <w:ind w:left="160" w:right="520"/>
        <w:spacing w:after="0" w:line="243" w:lineRule="auto"/>
        <w:rPr>
          <w:sz w:val="20"/>
          <w:szCs w:val="20"/>
          <w:color w:val="auto"/>
        </w:rPr>
      </w:pPr>
      <w:r>
        <w:rPr>
          <w:rFonts w:ascii="Arial" w:cs="Arial" w:eastAsia="Arial" w:hAnsi="Arial"/>
          <w:sz w:val="18"/>
          <w:szCs w:val="18"/>
          <w:color w:val="auto"/>
        </w:rPr>
        <w:t>The HR Committee assists the Board in setting objectives each year for the CEO. The HR Committee and the Board evaluate the performance of the CEO against these objectives at year end. The HR Committee reports to the full Board on the objectives for the forthcoming year and the performance against objectives in the preceding year. The HR Committee also maintains a written position description for the CEO.</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Human Capital Management</w:t>
      </w:r>
    </w:p>
    <w:p>
      <w:pPr>
        <w:spacing w:after="0" w:line="42"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Our human capital practices and initiatives are designed to attract, develop and retain talented employees across all of our businesses around the globe, and ensure they feel valued, are provided with opportunities to grow, and are driven to succeed. We focus on a variety of human capital topics, such as compensation and benefits, culture and employee engagement, talent acquisition/development, and diversity and inclusion. Over the last few years, oversight of human capital management has also been a key focus area for our Board of Directors.</w:t>
      </w:r>
    </w:p>
    <w:p>
      <w:pPr>
        <w:spacing w:after="0" w:line="74"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Our talent priorities continue to focus on addressing shifting organizational needs and business realities. In an AI-enabled world, jobs are changing rapidly and continuously. Our talent strategy in turn must also be agile, flexible and proactive. Our focus is on helping employees build skills necessary for an AI-enabled future and supporting their career growth. We will be doing more to identify, articulate and build critical skills and make a “skills-first” approach the basis for our talent decisions, development, and internal mobility efforts.</w:t>
      </w:r>
    </w:p>
    <w:p>
      <w:pPr>
        <w:spacing w:after="0" w:line="7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The HR Committee plays a key role in overseeing talent management and succession planning strategies, with strong leadership from our CEO and Chief People Officer. As such, the HR Committee is regularly updated on the leadership development, and engagement of our employees. The HR Committee also partners with the CEO and the Chief People Officer in reviewing succession and developmental plans for executive management, critical talent and succession risk metrics, progress made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33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48 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color w:val="auto"/>
        </w:rPr>
        <w:t>the year and plans for the upcoming year. The Board, the HR Committee and management also engage in detailed succession planning discussions for senior roles, and the principles employed at the senior-most levels of the organization are embraced by management throughout the entire organization.</w:t>
      </w:r>
    </w:p>
    <w:p>
      <w:pPr>
        <w:spacing w:after="0" w:line="65"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While we voluntarily publish numerous human capital-related metrics and data in our securities filings and on our website (notably in our Social Impact &amp; ESG Report), some metrics and data are not publicly disclosed due to competitive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38010" cy="4076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38010" cy="407670"/>
                    </a:xfrm>
                    <a:prstGeom prst="rect">
                      <a:avLst/>
                    </a:prstGeom>
                    <a:noFill/>
                  </pic:spPr>
                </pic:pic>
              </a:graphicData>
            </a:graphic>
          </wp:anchor>
        </w:drawing>
      </w: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For additional information regarding some of our human capital management initiatives,</w:t>
      </w:r>
    </w:p>
    <w:p>
      <w:pPr>
        <w:spacing w:after="0" w:line="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please see the “ESG” section of this proxy circular.</w:t>
      </w:r>
    </w:p>
    <w:p>
      <w:pPr>
        <w:spacing w:after="0" w:line="230" w:lineRule="exact"/>
        <w:rPr>
          <w:sz w:val="20"/>
          <w:szCs w:val="20"/>
          <w:color w:val="auto"/>
        </w:rPr>
      </w:pPr>
    </w:p>
    <w:p>
      <w:pPr>
        <w:ind w:left="160" w:right="580"/>
        <w:spacing w:after="0" w:line="249" w:lineRule="auto"/>
        <w:rPr>
          <w:sz w:val="20"/>
          <w:szCs w:val="20"/>
          <w:color w:val="auto"/>
        </w:rPr>
      </w:pPr>
      <w:r>
        <w:rPr>
          <w:rFonts w:ascii="Arial" w:cs="Arial" w:eastAsia="Arial" w:hAnsi="Arial"/>
          <w:sz w:val="18"/>
          <w:szCs w:val="18"/>
          <w:color w:val="auto"/>
        </w:rPr>
        <w:t>We expect that human capital management will continue to be an important focus area in the future for management and the Board because it ensures solid stewardship of our organization, supports important societal objectives, and is key to ensuring strategic advantage in the marketplace.</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Risk Committee</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Risk Committee is responsible for assisting the Board in fulfilling its oversight responsibilities in relation to:</w:t>
      </w:r>
    </w:p>
    <w:p>
      <w:pPr>
        <w:sectPr>
          <w:pgSz w:w="11900" w:h="16838" w:orient="portrait"/>
          <w:cols w:equalWidth="0" w:num="1">
            <w:col w:w="11080"/>
          </w:cols>
          <w:pgMar w:left="320" w:top="454" w:right="499" w:bottom="1440" w:gutter="0" w:footer="0" w:header="0"/>
        </w:sectPr>
      </w:pP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Thomson Reuters’ identification, assessment and management of enterprise risks, other than financial risks (which are overseen by the Audit Committee) or risks related to talent/employee matters (which are overseen by the HR Committee); and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any additional matters delegated to the Risk Committee by the Board.</w:t>
      </w:r>
    </w:p>
    <w:p>
      <w:pPr>
        <w:spacing w:after="0" w:line="114" w:lineRule="exact"/>
        <w:rPr>
          <w:sz w:val="20"/>
          <w:szCs w:val="20"/>
          <w:color w:val="auto"/>
        </w:rPr>
      </w:pPr>
    </w:p>
    <w:p>
      <w:pPr>
        <w:sectPr>
          <w:pgSz w:w="11900" w:h="16838" w:orient="portrait"/>
          <w:cols w:equalWidth="0" w:num="2">
            <w:col w:w="180" w:space="300"/>
            <w:col w:w="10600"/>
          </w:cols>
          <w:pgMar w:left="320" w:top="454" w:right="499" w:bottom="1440" w:gutter="0" w:footer="0" w:header="0"/>
          <w:type w:val="continuous"/>
        </w:sectPr>
      </w:pPr>
    </w:p>
    <w:p>
      <w:pPr>
        <w:ind w:left="160" w:right="40"/>
        <w:spacing w:after="0" w:line="237" w:lineRule="auto"/>
        <w:rPr>
          <w:sz w:val="20"/>
          <w:szCs w:val="20"/>
          <w:color w:val="auto"/>
        </w:rPr>
      </w:pPr>
      <w:r>
        <w:rPr>
          <w:rFonts w:ascii="Arial" w:cs="Arial" w:eastAsia="Arial" w:hAnsi="Arial"/>
          <w:sz w:val="18"/>
          <w:szCs w:val="18"/>
          <w:color w:val="auto"/>
        </w:rPr>
        <w:t>In 2023, the Risk Committee met with senior management to review the company’s frameworks and policies for risk management, including the steps and process taken to identify, assess, monitor and manage risks. As part of this review, senior management presented an overview of its 2023 ERM process to the Risk Committee. The overview reflected key risks identified by management and a proposed calendar of future meetings for “deep dive” reviews and discussions about specific risks (at the Board or committee level). While the Risk Committee oversees and manages our company’s framework policies and procedures with respect to risk identification, assessment and management, it is the responsibility of our CEO and senior management to identify, assess and manage our company’s risks through the design, implementation and maintenance of our ERM program. The Risk Committee’s responsibilities include reviewing and approving the ERM framework on an annual basis.</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an overview of the Risk Committee’s work plan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1187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2023 Primary Risk Committee Activities</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41"/>
        </w:trPr>
        <w:tc>
          <w:tcPr>
            <w:tcW w:w="5580" w:type="dxa"/>
            <w:vAlign w:val="bottom"/>
            <w:tcBorders>
              <w:top w:val="single" w:sz="8" w:color="B94831"/>
            </w:tcBorders>
          </w:tcPr>
          <w:p>
            <w:pPr>
              <w:ind w:left="100"/>
              <w:spacing w:after="0" w:line="14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2023 enterprise top risks</w:t>
            </w:r>
          </w:p>
        </w:tc>
        <w:tc>
          <w:tcPr>
            <w:tcW w:w="5340" w:type="dxa"/>
            <w:vAlign w:val="bottom"/>
            <w:tcBorders>
              <w:top w:val="single" w:sz="8" w:color="B94831"/>
            </w:tcBorders>
          </w:tcPr>
          <w:p>
            <w:pPr>
              <w:ind w:left="120"/>
              <w:spacing w:after="0" w:line="141" w:lineRule="exact"/>
              <w:rPr>
                <w:sz w:val="20"/>
                <w:szCs w:val="20"/>
                <w:color w:val="auto"/>
              </w:rPr>
            </w:pPr>
            <w:r>
              <w:rPr>
                <w:rFonts w:ascii="Arial" w:cs="Arial" w:eastAsia="Arial" w:hAnsi="Arial"/>
                <w:sz w:val="14"/>
                <w:szCs w:val="14"/>
                <w:b w:val="1"/>
                <w:bCs w:val="1"/>
                <w:color w:val="auto"/>
              </w:rPr>
              <w:t>Periodically</w:t>
            </w:r>
          </w:p>
        </w:tc>
        <w:tc>
          <w:tcPr>
            <w:tcW w:w="20" w:type="dxa"/>
            <w:vAlign w:val="bottom"/>
          </w:tcPr>
          <w:p>
            <w:pPr>
              <w:spacing w:after="0"/>
              <w:rPr>
                <w:sz w:val="12"/>
                <w:szCs w:val="12"/>
                <w:color w:val="auto"/>
              </w:rPr>
            </w:pPr>
          </w:p>
        </w:tc>
      </w:tr>
      <w:tr>
        <w:trPr>
          <w:trHeight w:val="160"/>
        </w:trPr>
        <w:tc>
          <w:tcPr>
            <w:tcW w:w="55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ERM quarterly report, which discusses the ongoing management of</w:t>
            </w:r>
          </w:p>
        </w:tc>
        <w:tc>
          <w:tcPr>
            <w:tcW w:w="53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Table-top exercises on topics such as cybersecurity</w:t>
            </w:r>
          </w:p>
        </w:tc>
      </w:tr>
      <w:tr>
        <w:trPr>
          <w:trHeight w:val="160"/>
        </w:trPr>
        <w:tc>
          <w:tcPr>
            <w:tcW w:w="5580" w:type="dxa"/>
            <w:vAlign w:val="bottom"/>
          </w:tcPr>
          <w:p>
            <w:pPr>
              <w:ind w:left="320"/>
              <w:spacing w:after="0"/>
              <w:rPr>
                <w:sz w:val="20"/>
                <w:szCs w:val="20"/>
                <w:color w:val="auto"/>
              </w:rPr>
            </w:pPr>
            <w:r>
              <w:rPr>
                <w:rFonts w:ascii="Arial" w:cs="Arial" w:eastAsia="Arial" w:hAnsi="Arial"/>
                <w:sz w:val="14"/>
                <w:szCs w:val="14"/>
                <w:color w:val="auto"/>
              </w:rPr>
              <w:t>enterprise top risks</w:t>
            </w:r>
          </w:p>
        </w:tc>
        <w:tc>
          <w:tcPr>
            <w:tcW w:w="53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 “Deep dives” on selected risk topics</w:t>
            </w:r>
          </w:p>
        </w:tc>
      </w:tr>
      <w:tr>
        <w:trPr>
          <w:trHeight w:val="164"/>
        </w:trPr>
        <w:tc>
          <w:tcPr>
            <w:tcW w:w="558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cybersecurity, data protection controls, data and ethics, business</w:t>
            </w:r>
          </w:p>
        </w:tc>
        <w:tc>
          <w:tcPr>
            <w:tcW w:w="5360" w:type="dxa"/>
            <w:vAlign w:val="bottom"/>
            <w:gridSpan w:val="2"/>
          </w:tcPr>
          <w:p>
            <w:pPr>
              <w:ind w:left="12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certain reputational risks</w:t>
            </w:r>
          </w:p>
        </w:tc>
      </w:tr>
      <w:tr>
        <w:trPr>
          <w:trHeight w:val="157"/>
        </w:trPr>
        <w:tc>
          <w:tcPr>
            <w:tcW w:w="5580" w:type="dxa"/>
            <w:vAlign w:val="bottom"/>
          </w:tcPr>
          <w:p>
            <w:pPr>
              <w:ind w:left="320"/>
              <w:spacing w:after="0" w:line="157" w:lineRule="exact"/>
              <w:rPr>
                <w:sz w:val="20"/>
                <w:szCs w:val="20"/>
                <w:color w:val="auto"/>
              </w:rPr>
            </w:pPr>
            <w:r>
              <w:rPr>
                <w:rFonts w:ascii="Arial" w:cs="Arial" w:eastAsia="Arial" w:hAnsi="Arial"/>
                <w:sz w:val="14"/>
                <w:szCs w:val="14"/>
                <w:color w:val="auto"/>
              </w:rPr>
              <w:t>continuity/disaster recovery systems and other information security matters</w:t>
            </w: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558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key risks related to macroeconomic and geopolitical environment, product</w:t>
            </w: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5580" w:type="dxa"/>
            <w:vAlign w:val="bottom"/>
          </w:tcPr>
          <w:p>
            <w:pPr>
              <w:ind w:left="320"/>
              <w:spacing w:after="0"/>
              <w:rPr>
                <w:sz w:val="20"/>
                <w:szCs w:val="20"/>
                <w:color w:val="auto"/>
              </w:rPr>
            </w:pPr>
            <w:r>
              <w:rPr>
                <w:rFonts w:ascii="Arial" w:cs="Arial" w:eastAsia="Arial" w:hAnsi="Arial"/>
                <w:sz w:val="14"/>
                <w:szCs w:val="14"/>
                <w:color w:val="auto"/>
              </w:rPr>
              <w:t>stability, third party issues, competitors and acquisitions, dispositions and</w:t>
            </w: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5580" w:type="dxa"/>
            <w:vAlign w:val="bottom"/>
          </w:tcPr>
          <w:p>
            <w:pPr>
              <w:ind w:left="320"/>
              <w:spacing w:after="0" w:line="157" w:lineRule="exact"/>
              <w:rPr>
                <w:sz w:val="20"/>
                <w:szCs w:val="20"/>
                <w:color w:val="auto"/>
              </w:rPr>
            </w:pPr>
            <w:r>
              <w:rPr>
                <w:rFonts w:ascii="Arial" w:cs="Arial" w:eastAsia="Arial" w:hAnsi="Arial"/>
                <w:sz w:val="14"/>
                <w:szCs w:val="14"/>
                <w:color w:val="auto"/>
              </w:rPr>
              <w:t>integration</w:t>
            </w: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5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key risks related to employee wellbeing, safety and security</w:t>
            </w: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558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 Discuss legal and regulatory compliance risks that are not overseen by the Audit</w:t>
            </w: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5580" w:type="dxa"/>
            <w:vAlign w:val="bottom"/>
          </w:tcPr>
          <w:p>
            <w:pPr>
              <w:ind w:left="320"/>
              <w:spacing w:after="0" w:line="157" w:lineRule="exact"/>
              <w:rPr>
                <w:sz w:val="20"/>
                <w:szCs w:val="20"/>
                <w:color w:val="auto"/>
              </w:rPr>
            </w:pPr>
            <w:r>
              <w:rPr>
                <w:rFonts w:ascii="Arial" w:cs="Arial" w:eastAsia="Arial" w:hAnsi="Arial"/>
                <w:sz w:val="14"/>
                <w:szCs w:val="14"/>
                <w:color w:val="auto"/>
              </w:rPr>
              <w:t>Committee</w:t>
            </w: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5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 Review 2024 internal audit plan</w:t>
            </w: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5580" w:type="dxa"/>
            <w:vAlign w:val="bottom"/>
            <w:tcBorders>
              <w:bottom w:val="single" w:sz="8" w:color="B94831"/>
            </w:tcBorders>
          </w:tcPr>
          <w:p>
            <w:pPr>
              <w:ind w:left="10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 Approve 2024 ERM framework</w:t>
            </w:r>
          </w:p>
        </w:tc>
        <w:tc>
          <w:tcPr>
            <w:tcW w:w="5340" w:type="dxa"/>
            <w:vAlign w:val="bottom"/>
            <w:tcBorders>
              <w:bottom w:val="single" w:sz="8" w:color="B94831"/>
            </w:tcBorders>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5580" w:type="dxa"/>
            <w:vAlign w:val="bottom"/>
            <w:tcBorders>
              <w:bottom w:val="single" w:sz="8" w:color="B94831"/>
            </w:tcBorders>
          </w:tcPr>
          <w:p>
            <w:pPr>
              <w:spacing w:after="0"/>
              <w:rPr>
                <w:sz w:val="19"/>
                <w:szCs w:val="19"/>
                <w:color w:val="auto"/>
              </w:rPr>
            </w:pPr>
          </w:p>
        </w:tc>
        <w:tc>
          <w:tcPr>
            <w:tcW w:w="5340" w:type="dxa"/>
            <w:vAlign w:val="bottom"/>
            <w:tcBorders>
              <w:bottom w:val="single" w:sz="8" w:color="B94831"/>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580" w:type="dxa"/>
            <w:vAlign w:val="bottom"/>
          </w:tcPr>
          <w:p>
            <w:pPr>
              <w:spacing w:after="0"/>
              <w:rPr>
                <w:sz w:val="21"/>
                <w:szCs w:val="21"/>
                <w:color w:val="auto"/>
              </w:rPr>
            </w:pPr>
          </w:p>
        </w:tc>
        <w:tc>
          <w:tcPr>
            <w:tcW w:w="5360" w:type="dxa"/>
            <w:vAlign w:val="bottom"/>
            <w:gridSpan w:val="2"/>
          </w:tcPr>
          <w:p>
            <w:pPr>
              <w:ind w:left="280"/>
              <w:spacing w:after="0"/>
              <w:rPr>
                <w:sz w:val="20"/>
                <w:szCs w:val="20"/>
                <w:color w:val="auto"/>
              </w:rPr>
            </w:pPr>
            <w:r>
              <w:rPr>
                <w:rFonts w:ascii="Arial" w:cs="Arial" w:eastAsia="Arial" w:hAnsi="Arial"/>
                <w:sz w:val="13"/>
                <w:szCs w:val="13"/>
                <w:color w:val="auto"/>
              </w:rPr>
              <w:t>Management Proxy Circular and Notice of Annual Meeting of Shareholders   Page 49</w:t>
            </w:r>
          </w:p>
        </w:tc>
      </w:tr>
    </w:tbl>
    <w:p>
      <w:pPr>
        <w:sectPr>
          <w:pgSz w:w="11900" w:h="16838" w:orient="portrait"/>
          <w:cols w:equalWidth="0" w:num="1">
            <w:col w:w="11080"/>
          </w:cols>
          <w:pgMar w:left="320" w:top="454" w:right="4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Joint Audit Committee and Risk Committee Meetings</w:t>
      </w:r>
    </w:p>
    <w:p>
      <w:pPr>
        <w:spacing w:after="0" w:line="56" w:lineRule="exact"/>
        <w:rPr>
          <w:sz w:val="20"/>
          <w:szCs w:val="20"/>
          <w:color w:val="auto"/>
        </w:rPr>
      </w:pPr>
    </w:p>
    <w:p>
      <w:pPr>
        <w:ind w:left="160"/>
        <w:spacing w:after="0" w:line="246" w:lineRule="auto"/>
        <w:rPr>
          <w:sz w:val="20"/>
          <w:szCs w:val="20"/>
          <w:color w:val="auto"/>
        </w:rPr>
      </w:pPr>
      <w:r>
        <w:rPr>
          <w:rFonts w:ascii="Arial" w:cs="Arial" w:eastAsia="Arial" w:hAnsi="Arial"/>
          <w:sz w:val="18"/>
          <w:szCs w:val="18"/>
          <w:color w:val="auto"/>
        </w:rPr>
        <w:t>As part of the Board’s risk assessment and risk management oversight, the Audit Committee and the Risk Committee met jointly in March 2023 to discuss topics of interest to each committee. The joint committee meeting was co-chaired by Barry Salzberg (Audit Committee Chair) and Kirk Arnold (Risk Committee Chair).</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topics discussed by the joint committees were the following:</w:t>
      </w:r>
    </w:p>
    <w:p>
      <w:pPr>
        <w:sectPr>
          <w:pgSz w:w="11900" w:h="16838" w:orient="portrait"/>
          <w:cols w:equalWidth="0" w:num="1">
            <w:col w:w="11000"/>
          </w:cols>
          <w:pgMar w:left="320" w:top="454" w:right="579" w:bottom="1440" w:gutter="0" w:footer="0" w:header="0"/>
        </w:sectPr>
      </w:pP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6"/>
          <w:szCs w:val="6"/>
          <w:color w:val="B94831"/>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Review of the 2023 internal audit work plan; and</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Review of “Risk Factors” disclosure for the annual report and general review of the risk 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151130</wp:posOffset>
            </wp:positionV>
            <wp:extent cx="6929755" cy="33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 w:space="300"/>
            <w:col w:w="10520"/>
          </w:cols>
          <w:pgMar w:left="320" w:top="454" w:right="579" w:bottom="1440" w:gutter="0" w:footer="0" w:header="0"/>
          <w:type w:val="continuous"/>
        </w:sectPr>
      </w:pPr>
    </w:p>
    <w:p>
      <w:pPr>
        <w:spacing w:after="0" w:line="1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50   Management Proxy Circular and Notice of Annual Meeting of Shareholders</w:t>
      </w:r>
    </w:p>
    <w:p>
      <w:pPr>
        <w:sectPr>
          <w:pgSz w:w="11900" w:h="16838" w:orient="portrait"/>
          <w:cols w:equalWidth="0" w:num="1">
            <w:col w:w="11000"/>
          </w:cols>
          <w:pgMar w:left="320" w:top="454" w:right="5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About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358775</wp:posOffset>
            </wp:positionV>
            <wp:extent cx="69297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27"/>
          <w:szCs w:val="27"/>
          <w:color w:val="B94831"/>
        </w:rPr>
        <w:t>HIGHLIGHTS</w:t>
      </w:r>
    </w:p>
    <w:p>
      <w:pPr>
        <w:spacing w:after="0" w:line="117" w:lineRule="exact"/>
        <w:rPr>
          <w:sz w:val="20"/>
          <w:szCs w:val="20"/>
          <w:color w:val="auto"/>
        </w:rPr>
      </w:pPr>
    </w:p>
    <w:p>
      <w:pPr>
        <w:ind w:left="480" w:right="140" w:hanging="313"/>
        <w:spacing w:after="0" w:line="270" w:lineRule="auto"/>
        <w:tabs>
          <w:tab w:leader="none" w:pos="480" w:val="left"/>
        </w:tabs>
        <w:numPr>
          <w:ilvl w:val="0"/>
          <w:numId w:val="17"/>
        </w:numPr>
        <w:rPr>
          <w:rFonts w:ascii="Times New Roman" w:cs="Times New Roman" w:eastAsia="Times New Roman" w:hAnsi="Times New Roman"/>
          <w:sz w:val="27"/>
          <w:szCs w:val="27"/>
          <w:color w:val="B94831"/>
        </w:rPr>
      </w:pPr>
      <w:r>
        <w:rPr>
          <w:rFonts w:ascii="Arial" w:cs="Arial" w:eastAsia="Arial" w:hAnsi="Arial"/>
          <w:sz w:val="27"/>
          <w:szCs w:val="27"/>
          <w:color w:val="auto"/>
        </w:rPr>
        <w:t>We are proposing to re-appoint PricewaterhouseCoopers LLP (U.S.) as our independent auditor for another year until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133350</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The Board unanimously recommends that PricewaterhouseCoopers LLP (U.S.) be appointed as the auditor of our company, to hold office until the next annual meeting of shareholders. It is also recommended that the Board be authorized to fix the remuneration of PricewaterhouseCoopers LLP (U.S.).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fees related to services rendered by PricewaterhouseCoopers LLP and its affiliates in 2023 and 2022.</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66"/>
        </w:trPr>
        <w:tc>
          <w:tcPr>
            <w:tcW w:w="9260" w:type="dxa"/>
            <w:vAlign w:val="bottom"/>
            <w:shd w:val="clear" w:color="auto" w:fill="262626"/>
          </w:tcPr>
          <w:p>
            <w:pPr>
              <w:ind w:left="160"/>
              <w:spacing w:after="0"/>
              <w:rPr>
                <w:sz w:val="20"/>
                <w:szCs w:val="20"/>
                <w:color w:val="auto"/>
              </w:rPr>
            </w:pPr>
            <w:r>
              <w:rPr>
                <w:rFonts w:ascii="Arial" w:cs="Arial" w:eastAsia="Arial" w:hAnsi="Arial"/>
                <w:sz w:val="14"/>
                <w:szCs w:val="14"/>
                <w:b w:val="1"/>
                <w:bCs w:val="1"/>
                <w:color w:val="FFFFFF"/>
              </w:rPr>
              <w:t>(in millions of U.S. dollars)</w:t>
            </w:r>
          </w:p>
        </w:tc>
        <w:tc>
          <w:tcPr>
            <w:tcW w:w="720" w:type="dxa"/>
            <w:vAlign w:val="bottom"/>
            <w:shd w:val="clear" w:color="auto" w:fill="262626"/>
          </w:tcPr>
          <w:p>
            <w:pPr>
              <w:jc w:val="right"/>
              <w:ind w:right="149"/>
              <w:spacing w:after="0"/>
              <w:rPr>
                <w:sz w:val="20"/>
                <w:szCs w:val="20"/>
                <w:color w:val="auto"/>
              </w:rPr>
            </w:pPr>
            <w:r>
              <w:rPr>
                <w:rFonts w:ascii="Arial" w:cs="Arial" w:eastAsia="Arial" w:hAnsi="Arial"/>
                <w:sz w:val="14"/>
                <w:szCs w:val="14"/>
                <w:b w:val="1"/>
                <w:bCs w:val="1"/>
                <w:color w:val="FFFFFF"/>
              </w:rPr>
              <w:t>2023</w:t>
            </w:r>
          </w:p>
        </w:tc>
        <w:tc>
          <w:tcPr>
            <w:tcW w:w="940" w:type="dxa"/>
            <w:vAlign w:val="bottom"/>
            <w:shd w:val="clear" w:color="auto" w:fill="262626"/>
          </w:tcPr>
          <w:p>
            <w:pPr>
              <w:jc w:val="right"/>
              <w:ind w:right="249"/>
              <w:spacing w:after="0"/>
              <w:rPr>
                <w:sz w:val="20"/>
                <w:szCs w:val="20"/>
                <w:color w:val="auto"/>
              </w:rPr>
            </w:pPr>
            <w:r>
              <w:rPr>
                <w:rFonts w:ascii="Arial" w:cs="Arial" w:eastAsia="Arial" w:hAnsi="Arial"/>
                <w:sz w:val="14"/>
                <w:szCs w:val="14"/>
                <w:b w:val="1"/>
                <w:bCs w:val="1"/>
                <w:color w:val="FFFFFF"/>
              </w:rPr>
              <w:t>2022</w:t>
            </w:r>
          </w:p>
        </w:tc>
      </w:tr>
      <w:tr>
        <w:trPr>
          <w:trHeight w:val="68"/>
        </w:trPr>
        <w:tc>
          <w:tcPr>
            <w:tcW w:w="9260" w:type="dxa"/>
            <w:vAlign w:val="bottom"/>
            <w:shd w:val="clear" w:color="auto" w:fill="262626"/>
          </w:tcPr>
          <w:p>
            <w:pPr>
              <w:spacing w:after="0"/>
              <w:rPr>
                <w:sz w:val="5"/>
                <w:szCs w:val="5"/>
                <w:color w:val="auto"/>
              </w:rPr>
            </w:pPr>
          </w:p>
        </w:tc>
        <w:tc>
          <w:tcPr>
            <w:tcW w:w="720" w:type="dxa"/>
            <w:vAlign w:val="bottom"/>
            <w:shd w:val="clear" w:color="auto" w:fill="262626"/>
          </w:tcPr>
          <w:p>
            <w:pPr>
              <w:spacing w:after="0"/>
              <w:rPr>
                <w:sz w:val="5"/>
                <w:szCs w:val="5"/>
                <w:color w:val="auto"/>
              </w:rPr>
            </w:pPr>
          </w:p>
        </w:tc>
        <w:tc>
          <w:tcPr>
            <w:tcW w:w="940" w:type="dxa"/>
            <w:vAlign w:val="bottom"/>
            <w:shd w:val="clear" w:color="auto" w:fill="262626"/>
          </w:tcPr>
          <w:p>
            <w:pPr>
              <w:spacing w:after="0"/>
              <w:rPr>
                <w:sz w:val="5"/>
                <w:szCs w:val="5"/>
                <w:color w:val="auto"/>
              </w:rPr>
            </w:pPr>
          </w:p>
        </w:tc>
      </w:tr>
      <w:tr>
        <w:trPr>
          <w:trHeight w:val="279"/>
        </w:trPr>
        <w:tc>
          <w:tcPr>
            <w:tcW w:w="9260" w:type="dxa"/>
            <w:vAlign w:val="bottom"/>
          </w:tcPr>
          <w:p>
            <w:pPr>
              <w:ind w:left="160"/>
              <w:spacing w:after="0"/>
              <w:rPr>
                <w:sz w:val="20"/>
                <w:szCs w:val="20"/>
                <w:color w:val="auto"/>
              </w:rPr>
            </w:pPr>
            <w:r>
              <w:rPr>
                <w:rFonts w:ascii="Arial" w:cs="Arial" w:eastAsia="Arial" w:hAnsi="Arial"/>
                <w:sz w:val="14"/>
                <w:szCs w:val="14"/>
                <w:b w:val="1"/>
                <w:bCs w:val="1"/>
                <w:color w:val="auto"/>
              </w:rPr>
              <w:t>Audit fees</w:t>
            </w:r>
          </w:p>
        </w:tc>
        <w:tc>
          <w:tcPr>
            <w:tcW w:w="720" w:type="dxa"/>
            <w:vAlign w:val="bottom"/>
          </w:tcPr>
          <w:p>
            <w:pPr>
              <w:jc w:val="right"/>
              <w:ind w:right="129"/>
              <w:spacing w:after="0"/>
              <w:rPr>
                <w:sz w:val="20"/>
                <w:szCs w:val="20"/>
                <w:color w:val="auto"/>
              </w:rPr>
            </w:pPr>
            <w:r>
              <w:rPr>
                <w:rFonts w:ascii="Arial" w:cs="Arial" w:eastAsia="Arial" w:hAnsi="Arial"/>
                <w:sz w:val="14"/>
                <w:szCs w:val="14"/>
                <w:b w:val="1"/>
                <w:bCs w:val="1"/>
                <w:color w:val="auto"/>
              </w:rPr>
              <w:t>$ 12.8</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$ 11.9</w:t>
            </w:r>
          </w:p>
        </w:tc>
      </w:tr>
      <w:tr>
        <w:trPr>
          <w:trHeight w:val="82"/>
        </w:trPr>
        <w:tc>
          <w:tcPr>
            <w:tcW w:w="9260" w:type="dxa"/>
            <w:vAlign w:val="bottom"/>
            <w:tcBorders>
              <w:bottom w:val="single" w:sz="8" w:color="AFAFAF"/>
            </w:tcBorders>
          </w:tcPr>
          <w:p>
            <w:pPr>
              <w:spacing w:after="0"/>
              <w:rPr>
                <w:sz w:val="7"/>
                <w:szCs w:val="7"/>
                <w:color w:val="auto"/>
              </w:rPr>
            </w:pPr>
          </w:p>
        </w:tc>
        <w:tc>
          <w:tcPr>
            <w:tcW w:w="7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r>
      <w:tr>
        <w:trPr>
          <w:trHeight w:val="273"/>
        </w:trPr>
        <w:tc>
          <w:tcPr>
            <w:tcW w:w="9260" w:type="dxa"/>
            <w:vAlign w:val="bottom"/>
          </w:tcPr>
          <w:p>
            <w:pPr>
              <w:ind w:left="160"/>
              <w:spacing w:after="0"/>
              <w:rPr>
                <w:sz w:val="20"/>
                <w:szCs w:val="20"/>
                <w:color w:val="auto"/>
              </w:rPr>
            </w:pPr>
            <w:r>
              <w:rPr>
                <w:rFonts w:ascii="Arial" w:cs="Arial" w:eastAsia="Arial" w:hAnsi="Arial"/>
                <w:sz w:val="14"/>
                <w:szCs w:val="14"/>
                <w:b w:val="1"/>
                <w:bCs w:val="1"/>
                <w:color w:val="auto"/>
              </w:rPr>
              <w:t>Audit-related fees</w:t>
            </w:r>
          </w:p>
        </w:tc>
        <w:tc>
          <w:tcPr>
            <w:tcW w:w="720" w:type="dxa"/>
            <w:vAlign w:val="bottom"/>
          </w:tcPr>
          <w:p>
            <w:pPr>
              <w:jc w:val="right"/>
              <w:ind w:right="129"/>
              <w:spacing w:after="0"/>
              <w:rPr>
                <w:sz w:val="20"/>
                <w:szCs w:val="20"/>
                <w:color w:val="auto"/>
              </w:rPr>
            </w:pPr>
            <w:r>
              <w:rPr>
                <w:rFonts w:ascii="Arial" w:cs="Arial" w:eastAsia="Arial" w:hAnsi="Arial"/>
                <w:sz w:val="14"/>
                <w:szCs w:val="14"/>
                <w:b w:val="1"/>
                <w:bCs w:val="1"/>
                <w:color w:val="auto"/>
              </w:rPr>
              <w:t>1.0</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2.0</w:t>
            </w:r>
          </w:p>
        </w:tc>
      </w:tr>
      <w:tr>
        <w:trPr>
          <w:trHeight w:val="82"/>
        </w:trPr>
        <w:tc>
          <w:tcPr>
            <w:tcW w:w="9260" w:type="dxa"/>
            <w:vAlign w:val="bottom"/>
            <w:tcBorders>
              <w:bottom w:val="single" w:sz="8" w:color="AFAFAF"/>
            </w:tcBorders>
          </w:tcPr>
          <w:p>
            <w:pPr>
              <w:spacing w:after="0"/>
              <w:rPr>
                <w:sz w:val="7"/>
                <w:szCs w:val="7"/>
                <w:color w:val="auto"/>
              </w:rPr>
            </w:pPr>
          </w:p>
        </w:tc>
        <w:tc>
          <w:tcPr>
            <w:tcW w:w="7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r>
      <w:tr>
        <w:trPr>
          <w:trHeight w:val="273"/>
        </w:trPr>
        <w:tc>
          <w:tcPr>
            <w:tcW w:w="9260" w:type="dxa"/>
            <w:vAlign w:val="bottom"/>
          </w:tcPr>
          <w:p>
            <w:pPr>
              <w:ind w:left="160"/>
              <w:spacing w:after="0"/>
              <w:rPr>
                <w:sz w:val="20"/>
                <w:szCs w:val="20"/>
                <w:color w:val="auto"/>
              </w:rPr>
            </w:pPr>
            <w:r>
              <w:rPr>
                <w:rFonts w:ascii="Arial" w:cs="Arial" w:eastAsia="Arial" w:hAnsi="Arial"/>
                <w:sz w:val="14"/>
                <w:szCs w:val="14"/>
                <w:b w:val="1"/>
                <w:bCs w:val="1"/>
                <w:color w:val="auto"/>
              </w:rPr>
              <w:t>Tax fees</w:t>
            </w:r>
          </w:p>
        </w:tc>
        <w:tc>
          <w:tcPr>
            <w:tcW w:w="720" w:type="dxa"/>
            <w:vAlign w:val="bottom"/>
          </w:tcPr>
          <w:p>
            <w:pPr>
              <w:jc w:val="right"/>
              <w:ind w:right="129"/>
              <w:spacing w:after="0"/>
              <w:rPr>
                <w:sz w:val="20"/>
                <w:szCs w:val="20"/>
                <w:color w:val="auto"/>
              </w:rPr>
            </w:pPr>
            <w:r>
              <w:rPr>
                <w:rFonts w:ascii="Arial" w:cs="Arial" w:eastAsia="Arial" w:hAnsi="Arial"/>
                <w:sz w:val="14"/>
                <w:szCs w:val="14"/>
                <w:b w:val="1"/>
                <w:bCs w:val="1"/>
                <w:color w:val="auto"/>
              </w:rPr>
              <w:t>1.4</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1.3</w:t>
            </w:r>
          </w:p>
        </w:tc>
      </w:tr>
      <w:tr>
        <w:trPr>
          <w:trHeight w:val="82"/>
        </w:trPr>
        <w:tc>
          <w:tcPr>
            <w:tcW w:w="9260" w:type="dxa"/>
            <w:vAlign w:val="bottom"/>
            <w:tcBorders>
              <w:bottom w:val="single" w:sz="8" w:color="AFAFAF"/>
            </w:tcBorders>
          </w:tcPr>
          <w:p>
            <w:pPr>
              <w:spacing w:after="0"/>
              <w:rPr>
                <w:sz w:val="7"/>
                <w:szCs w:val="7"/>
                <w:color w:val="auto"/>
              </w:rPr>
            </w:pPr>
          </w:p>
        </w:tc>
        <w:tc>
          <w:tcPr>
            <w:tcW w:w="720" w:type="dxa"/>
            <w:vAlign w:val="bottom"/>
            <w:tcBorders>
              <w:bottom w:val="single" w:sz="8" w:color="AFAFAF"/>
            </w:tcBorders>
          </w:tcPr>
          <w:p>
            <w:pPr>
              <w:spacing w:after="0"/>
              <w:rPr>
                <w:sz w:val="7"/>
                <w:szCs w:val="7"/>
                <w:color w:val="auto"/>
              </w:rPr>
            </w:pPr>
          </w:p>
        </w:tc>
        <w:tc>
          <w:tcPr>
            <w:tcW w:w="940" w:type="dxa"/>
            <w:vAlign w:val="bottom"/>
            <w:tcBorders>
              <w:bottom w:val="single" w:sz="8" w:color="AFAFAF"/>
            </w:tcBorders>
          </w:tcPr>
          <w:p>
            <w:pPr>
              <w:spacing w:after="0"/>
              <w:rPr>
                <w:sz w:val="7"/>
                <w:szCs w:val="7"/>
                <w:color w:val="auto"/>
              </w:rPr>
            </w:pPr>
          </w:p>
        </w:tc>
      </w:tr>
      <w:tr>
        <w:trPr>
          <w:trHeight w:val="273"/>
        </w:trPr>
        <w:tc>
          <w:tcPr>
            <w:tcW w:w="9260" w:type="dxa"/>
            <w:vAlign w:val="bottom"/>
          </w:tcPr>
          <w:p>
            <w:pPr>
              <w:ind w:left="160"/>
              <w:spacing w:after="0"/>
              <w:rPr>
                <w:sz w:val="20"/>
                <w:szCs w:val="20"/>
                <w:color w:val="auto"/>
              </w:rPr>
            </w:pPr>
            <w:r>
              <w:rPr>
                <w:rFonts w:ascii="Arial" w:cs="Arial" w:eastAsia="Arial" w:hAnsi="Arial"/>
                <w:sz w:val="14"/>
                <w:szCs w:val="14"/>
                <w:b w:val="1"/>
                <w:bCs w:val="1"/>
                <w:color w:val="auto"/>
              </w:rPr>
              <w:t>All other fees</w:t>
            </w:r>
          </w:p>
        </w:tc>
        <w:tc>
          <w:tcPr>
            <w:tcW w:w="7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82"/>
        </w:trPr>
        <w:tc>
          <w:tcPr>
            <w:tcW w:w="9260" w:type="dxa"/>
            <w:vAlign w:val="bottom"/>
            <w:tcBorders>
              <w:bottom w:val="single" w:sz="8" w:color="B94831"/>
            </w:tcBorders>
          </w:tcPr>
          <w:p>
            <w:pPr>
              <w:spacing w:after="0"/>
              <w:rPr>
                <w:sz w:val="7"/>
                <w:szCs w:val="7"/>
                <w:color w:val="auto"/>
              </w:rPr>
            </w:pPr>
          </w:p>
        </w:tc>
        <w:tc>
          <w:tcPr>
            <w:tcW w:w="720" w:type="dxa"/>
            <w:vAlign w:val="bottom"/>
            <w:tcBorders>
              <w:bottom w:val="single" w:sz="8" w:color="B94831"/>
            </w:tcBorders>
          </w:tcPr>
          <w:p>
            <w:pPr>
              <w:spacing w:after="0"/>
              <w:rPr>
                <w:sz w:val="7"/>
                <w:szCs w:val="7"/>
                <w:color w:val="auto"/>
              </w:rPr>
            </w:pPr>
          </w:p>
        </w:tc>
        <w:tc>
          <w:tcPr>
            <w:tcW w:w="940" w:type="dxa"/>
            <w:vAlign w:val="bottom"/>
            <w:tcBorders>
              <w:bottom w:val="single" w:sz="8" w:color="B94831"/>
            </w:tcBorders>
          </w:tcPr>
          <w:p>
            <w:pPr>
              <w:spacing w:after="0"/>
              <w:rPr>
                <w:sz w:val="7"/>
                <w:szCs w:val="7"/>
                <w:color w:val="auto"/>
              </w:rPr>
            </w:pPr>
          </w:p>
        </w:tc>
      </w:tr>
      <w:tr>
        <w:trPr>
          <w:trHeight w:val="273"/>
        </w:trPr>
        <w:tc>
          <w:tcPr>
            <w:tcW w:w="926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jc w:val="right"/>
              <w:ind w:right="129"/>
              <w:spacing w:after="0"/>
              <w:rPr>
                <w:sz w:val="20"/>
                <w:szCs w:val="20"/>
                <w:color w:val="auto"/>
              </w:rPr>
            </w:pPr>
            <w:r>
              <w:rPr>
                <w:rFonts w:ascii="Arial" w:cs="Arial" w:eastAsia="Arial" w:hAnsi="Arial"/>
                <w:sz w:val="14"/>
                <w:szCs w:val="14"/>
                <w:b w:val="1"/>
                <w:bCs w:val="1"/>
                <w:color w:val="auto"/>
              </w:rPr>
              <w:t>$ 15.2</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$ 15.2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52070</wp:posOffset>
            </wp:positionV>
            <wp:extent cx="69297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are descriptions of fees for services rendered by PricewaterhouseCoopers LLP in 2023 and 2022.</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Audit Fees</w:t>
      </w:r>
    </w:p>
    <w:p>
      <w:pPr>
        <w:spacing w:after="0" w:line="42"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These audit fees were for professional services rendered for the audits of consolidated financial statements, reviews of interim financial statements included in periodic reports, audits related to internal control over financial reporting, statutory audits and services that generally only the independent auditor can reasonably provide, such as comfort letters and consents. These services included French translations of our financial statements, MD&amp;A and financial information included in our interim and annual filings and prospectuses and other offering documents.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Audit-related Fees</w:t>
      </w:r>
    </w:p>
    <w:p>
      <w:pPr>
        <w:spacing w:after="0" w:line="5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These audit-related fees were for assurance and related services that are reasonably related to the performance of the audit or review of the financial statements and are not reported under the “audit fees” category above. These services included transaction due diligence, system pre-post implementation reviews, other attestation engagements, audits of various employee benefit plans and agreed-upon procedures principally related to executive compensation reporting.</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Tax Fees</w:t>
      </w:r>
    </w:p>
    <w:p>
      <w:pPr>
        <w:spacing w:after="0" w:line="51"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Tax fees were for tax compliance, tax advice and tax planning. These services included the preparation and review of corporate tax returns, assistance with tax audits and transfer pricing matters, advisory services relating to federal, state, provincial and international tax compliance, and restructurings, mergers and acquisitions and divestitures.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All Other Fees</w:t>
      </w:r>
    </w:p>
    <w:p>
      <w:pPr>
        <w:spacing w:after="0" w:line="42"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Fees disclosed in the tables above under the item “all other fees” were for services other than the audit fees, audit-related fees and tax fees described above.</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Pre-approval Policies and Procedures</w:t>
      </w:r>
    </w:p>
    <w:p>
      <w:pPr>
        <w:spacing w:after="0" w:line="51"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color w:val="auto"/>
        </w:rPr>
        <w:t>Information regarding our policy regarding pre-approval of all audit and permissible non-audit services is set forth in the corporate governance disclosure included earlier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51</w:t>
      </w:r>
    </w:p>
    <w:p>
      <w:pPr>
        <w:sectPr>
          <w:pgSz w:w="11900" w:h="16838" w:orient="portrait"/>
          <w:cols w:equalWidth="0" w:num="1">
            <w:col w:w="11080"/>
          </w:cols>
          <w:pgMar w:left="320" w:top="454"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358775</wp:posOffset>
            </wp:positionV>
            <wp:extent cx="69297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27"/>
          <w:szCs w:val="27"/>
          <w:color w:val="B94831"/>
        </w:rPr>
        <w:t>HIGHLIGHTS</w:t>
      </w:r>
    </w:p>
    <w:p>
      <w:pPr>
        <w:spacing w:after="0" w:line="117" w:lineRule="exact"/>
        <w:rPr>
          <w:sz w:val="20"/>
          <w:szCs w:val="20"/>
          <w:color w:val="auto"/>
        </w:rPr>
      </w:pPr>
    </w:p>
    <w:p>
      <w:pPr>
        <w:ind w:left="480" w:hanging="313"/>
        <w:spacing w:after="0"/>
        <w:tabs>
          <w:tab w:leader="none" w:pos="480" w:val="left"/>
        </w:tabs>
        <w:numPr>
          <w:ilvl w:val="0"/>
          <w:numId w:val="18"/>
        </w:numPr>
        <w:rPr>
          <w:rFonts w:ascii="Times New Roman" w:cs="Times New Roman" w:eastAsia="Times New Roman" w:hAnsi="Times New Roman"/>
          <w:sz w:val="27"/>
          <w:szCs w:val="27"/>
          <w:color w:val="B94831"/>
        </w:rPr>
      </w:pPr>
      <w:r>
        <w:rPr>
          <w:rFonts w:ascii="Arial" w:cs="Arial" w:eastAsia="Arial" w:hAnsi="Arial"/>
          <w:sz w:val="27"/>
          <w:szCs w:val="27"/>
          <w:color w:val="auto"/>
        </w:rPr>
        <w:t>We actively engage with our stakeholders throughout the year</w:t>
      </w:r>
    </w:p>
    <w:p>
      <w:pPr>
        <w:spacing w:after="0" w:line="42" w:lineRule="exact"/>
        <w:rPr>
          <w:rFonts w:ascii="Times New Roman" w:cs="Times New Roman" w:eastAsia="Times New Roman" w:hAnsi="Times New Roman"/>
          <w:sz w:val="27"/>
          <w:szCs w:val="27"/>
          <w:color w:val="B94831"/>
        </w:rPr>
      </w:pPr>
    </w:p>
    <w:p>
      <w:pPr>
        <w:ind w:left="480" w:hanging="313"/>
        <w:spacing w:after="0"/>
        <w:tabs>
          <w:tab w:leader="none" w:pos="480" w:val="left"/>
        </w:tabs>
        <w:numPr>
          <w:ilvl w:val="0"/>
          <w:numId w:val="18"/>
        </w:numPr>
        <w:rPr>
          <w:rFonts w:ascii="Times New Roman" w:cs="Times New Roman" w:eastAsia="Times New Roman" w:hAnsi="Times New Roman"/>
          <w:sz w:val="27"/>
          <w:szCs w:val="27"/>
          <w:color w:val="B94831"/>
        </w:rPr>
      </w:pPr>
      <w:r>
        <w:rPr>
          <w:rFonts w:ascii="Arial" w:cs="Arial" w:eastAsia="Arial" w:hAnsi="Arial"/>
          <w:sz w:val="27"/>
          <w:szCs w:val="27"/>
          <w:color w:val="auto"/>
        </w:rPr>
        <w:t>We welcome feedback and input from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180340</wp:posOffset>
            </wp:positionV>
            <wp:extent cx="6929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Thomson Reuters actively engages with its stakeholders on a variety of topics, including:</w:t>
      </w:r>
    </w:p>
    <w:p>
      <w:pPr>
        <w:spacing w:after="0" w:line="114" w:lineRule="exact"/>
        <w:rPr>
          <w:sz w:val="20"/>
          <w:szCs w:val="20"/>
          <w:color w:val="auto"/>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Financial performance</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Corporate/growth strategy</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Corporate governance</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Executive compensation</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Human capital management</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Diversity and inclusion</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19"/>
        </w:numPr>
        <w:rPr>
          <w:rFonts w:ascii="Times New Roman" w:cs="Times New Roman" w:eastAsia="Times New Roman" w:hAnsi="Times New Roman"/>
          <w:sz w:val="20"/>
          <w:szCs w:val="20"/>
          <w:color w:val="B94831"/>
        </w:rPr>
      </w:pPr>
      <w:r>
        <w:rPr>
          <w:rFonts w:ascii="Arial" w:cs="Arial" w:eastAsia="Arial" w:hAnsi="Arial"/>
          <w:sz w:val="18"/>
          <w:szCs w:val="18"/>
          <w:color w:val="auto"/>
        </w:rPr>
        <w:t>Other ESG-related topics (as discussed further on the next page of this circular)</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2023, stakeholder engagement was conducted by different leaders and groups across our company, including:</w:t>
      </w:r>
    </w:p>
    <w:p>
      <w:pPr>
        <w:spacing w:after="0" w:line="74" w:lineRule="exact"/>
        <w:rPr>
          <w:sz w:val="20"/>
          <w:szCs w:val="20"/>
          <w:color w:val="auto"/>
        </w:rPr>
      </w:pPr>
    </w:p>
    <w:p>
      <w:pPr>
        <w:ind w:left="480" w:hanging="313"/>
        <w:spacing w:after="0"/>
        <w:tabs>
          <w:tab w:leader="none" w:pos="480" w:val="left"/>
        </w:tabs>
        <w:numPr>
          <w:ilvl w:val="0"/>
          <w:numId w:val="20"/>
        </w:numPr>
        <w:rPr>
          <w:rFonts w:ascii="Times New Roman" w:cs="Times New Roman" w:eastAsia="Times New Roman" w:hAnsi="Times New Roman"/>
          <w:sz w:val="20"/>
          <w:szCs w:val="20"/>
          <w:color w:val="B94831"/>
        </w:rPr>
      </w:pPr>
      <w:r>
        <w:rPr>
          <w:rFonts w:ascii="Arial" w:cs="Arial" w:eastAsia="Arial" w:hAnsi="Arial"/>
          <w:sz w:val="18"/>
          <w:szCs w:val="18"/>
          <w:color w:val="auto"/>
        </w:rPr>
        <w:t>Investor Relations</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0"/>
        </w:numPr>
        <w:rPr>
          <w:rFonts w:ascii="Times New Roman" w:cs="Times New Roman" w:eastAsia="Times New Roman" w:hAnsi="Times New Roman"/>
          <w:sz w:val="20"/>
          <w:szCs w:val="20"/>
          <w:color w:val="B94831"/>
        </w:rPr>
      </w:pPr>
      <w:r>
        <w:rPr>
          <w:rFonts w:ascii="Arial" w:cs="Arial" w:eastAsia="Arial" w:hAnsi="Arial"/>
          <w:sz w:val="18"/>
          <w:szCs w:val="18"/>
          <w:color w:val="auto"/>
        </w:rPr>
        <w:t>Our CEO and CFO</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0"/>
        </w:numPr>
        <w:rPr>
          <w:rFonts w:ascii="Times New Roman" w:cs="Times New Roman" w:eastAsia="Times New Roman" w:hAnsi="Times New Roman"/>
          <w:sz w:val="20"/>
          <w:szCs w:val="20"/>
          <w:color w:val="B94831"/>
        </w:rPr>
      </w:pPr>
      <w:r>
        <w:rPr>
          <w:rFonts w:ascii="Arial" w:cs="Arial" w:eastAsia="Arial" w:hAnsi="Arial"/>
          <w:sz w:val="18"/>
          <w:szCs w:val="18"/>
          <w:color w:val="auto"/>
        </w:rPr>
        <w:t>Our Chief Communications Officer</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0"/>
        </w:numPr>
        <w:rPr>
          <w:rFonts w:ascii="Times New Roman" w:cs="Times New Roman" w:eastAsia="Times New Roman" w:hAnsi="Times New Roman"/>
          <w:sz w:val="20"/>
          <w:szCs w:val="20"/>
          <w:color w:val="B94831"/>
        </w:rPr>
      </w:pPr>
      <w:r>
        <w:rPr>
          <w:rFonts w:ascii="Arial" w:cs="Arial" w:eastAsia="Arial" w:hAnsi="Arial"/>
          <w:sz w:val="18"/>
          <w:szCs w:val="18"/>
          <w:color w:val="auto"/>
        </w:rPr>
        <w:t>Our Chief Legal Officer and Company Secretary</w:t>
      </w:r>
    </w:p>
    <w:p>
      <w:pPr>
        <w:spacing w:after="0" w:line="104"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On a day-to-day basis, inquiries or other communications from stakeholders to management are answered by our Investor Relations and other Corporate departments or are referred to another appropriate person in our company.</w:t>
      </w:r>
    </w:p>
    <w:p>
      <w:pPr>
        <w:spacing w:after="0" w:line="51"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Our earnings conference calls are broadcast live via webcast and are accessible to interested stakeholders, the media and members of the public.</w:t>
      </w:r>
    </w:p>
    <w:p>
      <w:pPr>
        <w:spacing w:after="0" w:line="5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In March 2024, our senior leadership team hosted an Investor Day that included a series of presentations outlining Thomson Reuters plans for growth and showcasing some of our innovative product offerings. Presentations given by senior executives at our Investor Day and other investor conferences are promptly made public in the “Investor Relations” section of our website.</w:t>
      </w:r>
    </w:p>
    <w:p>
      <w:pPr>
        <w:spacing w:after="0" w:line="65"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At the annual meeting, shareholders are provided with an opportunity to ask questions to our Board, CEO, CFO and other members of senior management. Our company also has meetings throughout the year with shareholders and other stakeholders, shareholder advocacy groups and financial analysts.</w:t>
      </w:r>
    </w:p>
    <w:p>
      <w:pPr>
        <w:spacing w:after="0" w:line="65"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 xml:space="preserve">Shareholders and other stakeholders with questions about our company are encouraged to contact our Investor Relations department by e-mail at </w:t>
      </w:r>
      <w:r>
        <w:rPr>
          <w:rFonts w:ascii="Arial" w:cs="Arial" w:eastAsia="Arial" w:hAnsi="Arial"/>
          <w:sz w:val="18"/>
          <w:szCs w:val="18"/>
          <w:b w:val="1"/>
          <w:bCs w:val="1"/>
          <w:color w:val="335367"/>
        </w:rPr>
        <w:t>investor.relations@thomsonreuters.com</w:t>
      </w:r>
      <w:r>
        <w:rPr>
          <w:rFonts w:ascii="Arial" w:cs="Arial" w:eastAsia="Arial" w:hAnsi="Arial"/>
          <w:sz w:val="18"/>
          <w:szCs w:val="18"/>
          <w:color w:val="auto"/>
        </w:rPr>
        <w:t xml:space="preserve"> or by phone at 1.332.219.1046.</w:t>
      </w:r>
    </w:p>
    <w:p>
      <w:pPr>
        <w:spacing w:after="0" w:line="30" w:lineRule="exact"/>
        <w:rPr>
          <w:sz w:val="20"/>
          <w:szCs w:val="20"/>
          <w:color w:val="auto"/>
        </w:rPr>
      </w:pPr>
    </w:p>
    <w:p>
      <w:pPr>
        <w:jc w:val="both"/>
        <w:ind w:left="160" w:right="260"/>
        <w:spacing w:after="0" w:line="249" w:lineRule="auto"/>
        <w:rPr>
          <w:sz w:val="20"/>
          <w:szCs w:val="20"/>
          <w:color w:val="auto"/>
        </w:rPr>
      </w:pPr>
      <w:r>
        <w:rPr>
          <w:rFonts w:ascii="Arial" w:cs="Arial" w:eastAsia="Arial" w:hAnsi="Arial"/>
          <w:sz w:val="18"/>
          <w:szCs w:val="18"/>
          <w:color w:val="auto"/>
        </w:rPr>
        <w:t xml:space="preserve">Shareholders and other interested parties may contact the Board or its non-management or independent directors as a group, or the directors who preside over their meetings, by e-mail at </w:t>
      </w:r>
      <w:r>
        <w:rPr>
          <w:rFonts w:ascii="Arial" w:cs="Arial" w:eastAsia="Arial" w:hAnsi="Arial"/>
          <w:sz w:val="18"/>
          <w:szCs w:val="18"/>
          <w:b w:val="1"/>
          <w:bCs w:val="1"/>
          <w:color w:val="335367"/>
        </w:rPr>
        <w:t>board@thomsonreuters.com</w:t>
      </w:r>
      <w:r>
        <w:rPr>
          <w:rFonts w:ascii="Arial" w:cs="Arial" w:eastAsia="Arial" w:hAnsi="Arial"/>
          <w:sz w:val="18"/>
          <w:szCs w:val="18"/>
          <w:color w:val="auto"/>
        </w:rPr>
        <w:t xml:space="preserve"> or by writing to them c/o Norie Campbell, Chief Legal Officer and Company Secretary, Thomson Reuters, 19 Duncan Street, Toronto, Ontario, M5H 3H1,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52   Management Proxy Circular and Notice of Annual Meeting of Shareholders</w:t>
      </w:r>
    </w:p>
    <w:p>
      <w:pPr>
        <w:sectPr>
          <w:pgSz w:w="11900" w:h="16838" w:orient="portrait"/>
          <w:cols w:equalWidth="0" w:num="1">
            <w:col w:w="10940"/>
          </w:cols>
          <w:pgMar w:left="320" w:top="454"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358775</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27"/>
          <w:szCs w:val="27"/>
          <w:color w:val="B94831"/>
        </w:rPr>
        <w:t>HIGHLIGHTS</w:t>
      </w:r>
    </w:p>
    <w:p>
      <w:pPr>
        <w:spacing w:after="0" w:line="117" w:lineRule="exact"/>
        <w:rPr>
          <w:sz w:val="20"/>
          <w:szCs w:val="20"/>
          <w:color w:val="auto"/>
        </w:rPr>
      </w:pPr>
    </w:p>
    <w:p>
      <w:pPr>
        <w:ind w:left="480" w:right="1660" w:hanging="313"/>
        <w:spacing w:after="0" w:line="270" w:lineRule="auto"/>
        <w:tabs>
          <w:tab w:leader="none" w:pos="480" w:val="left"/>
        </w:tabs>
        <w:numPr>
          <w:ilvl w:val="0"/>
          <w:numId w:val="21"/>
        </w:numPr>
        <w:rPr>
          <w:rFonts w:ascii="Times New Roman" w:cs="Times New Roman" w:eastAsia="Times New Roman" w:hAnsi="Times New Roman"/>
          <w:sz w:val="27"/>
          <w:szCs w:val="27"/>
          <w:color w:val="B94831"/>
        </w:rPr>
      </w:pPr>
      <w:r>
        <w:rPr>
          <w:rFonts w:ascii="Arial" w:cs="Arial" w:eastAsia="Arial" w:hAnsi="Arial"/>
          <w:sz w:val="27"/>
          <w:szCs w:val="27"/>
          <w:color w:val="auto"/>
        </w:rPr>
        <w:t>We manage our business for the long term and view programs that improve environmental, social and governance (ESG) through that lens</w:t>
      </w:r>
    </w:p>
    <w:p>
      <w:pPr>
        <w:spacing w:after="0" w:line="35" w:lineRule="exact"/>
        <w:rPr>
          <w:rFonts w:ascii="Times New Roman" w:cs="Times New Roman" w:eastAsia="Times New Roman" w:hAnsi="Times New Roman"/>
          <w:sz w:val="27"/>
          <w:szCs w:val="27"/>
          <w:color w:val="B94831"/>
        </w:rPr>
      </w:pPr>
    </w:p>
    <w:p>
      <w:pPr>
        <w:ind w:left="480" w:right="140" w:hanging="313"/>
        <w:spacing w:after="0" w:line="270" w:lineRule="auto"/>
        <w:tabs>
          <w:tab w:leader="none" w:pos="480" w:val="left"/>
        </w:tabs>
        <w:numPr>
          <w:ilvl w:val="0"/>
          <w:numId w:val="21"/>
        </w:numPr>
        <w:rPr>
          <w:rFonts w:ascii="Times New Roman" w:cs="Times New Roman" w:eastAsia="Times New Roman" w:hAnsi="Times New Roman"/>
          <w:sz w:val="27"/>
          <w:szCs w:val="27"/>
          <w:color w:val="B94831"/>
        </w:rPr>
      </w:pPr>
      <w:r>
        <w:rPr>
          <w:rFonts w:ascii="Arial" w:cs="Arial" w:eastAsia="Arial" w:hAnsi="Arial"/>
          <w:sz w:val="27"/>
          <w:szCs w:val="27"/>
          <w:color w:val="auto"/>
        </w:rPr>
        <w:t>We consider ESG one important mechanism for sustained value creation, reinforcing the underlying health of our company now and beyond the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133350</wp:posOffset>
            </wp:positionV>
            <wp:extent cx="69297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ind w:left="160" w:right="280"/>
        <w:spacing w:after="0" w:line="270" w:lineRule="auto"/>
        <w:rPr>
          <w:sz w:val="20"/>
          <w:szCs w:val="20"/>
          <w:color w:val="auto"/>
        </w:rPr>
      </w:pPr>
      <w:r>
        <w:rPr>
          <w:rFonts w:ascii="Arial" w:cs="Arial" w:eastAsia="Arial" w:hAnsi="Arial"/>
          <w:sz w:val="17"/>
          <w:szCs w:val="17"/>
          <w:color w:val="auto"/>
        </w:rPr>
        <w:t>Our company is dedicated to serving institutions and businesses that keep the wheels of commerce turning, uphold justice and taxation systems, fight fraud, support law enforcement and report on world events with impartiality, as an important source of unbiased news globally. In these and many other ways, we aspire to strengthen the foundations of society in partnership with our customers.</w:t>
      </w:r>
    </w:p>
    <w:p>
      <w:pPr>
        <w:spacing w:after="0" w:line="49"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We pursue ESG initiatives because they contribute to value creation for our customers, employees, shareholders and other stakeholders. The Board and its committees oversee different ESG-related areas that are of the greatest importance to the organization and our stakeholders to achieve our long-term strategic objectives. Ultimately, though, our ESG-related initiatives require employees who take on responsibility for them and are empowered to achieve them. Subject matter experts lead the work, and senior executives are accountable for embedding programs in the business, for maximum impact and duration.</w:t>
      </w:r>
    </w:p>
    <w:p>
      <w:pPr>
        <w:spacing w:after="0" w:line="75" w:lineRule="exact"/>
        <w:rPr>
          <w:sz w:val="20"/>
          <w:szCs w:val="20"/>
          <w:color w:val="auto"/>
        </w:rPr>
      </w:pPr>
    </w:p>
    <w:p>
      <w:pPr>
        <w:ind w:left="160" w:right="560"/>
        <w:spacing w:after="0" w:line="265" w:lineRule="auto"/>
        <w:rPr>
          <w:sz w:val="20"/>
          <w:szCs w:val="20"/>
          <w:color w:val="auto"/>
        </w:rPr>
      </w:pPr>
      <w:r>
        <w:rPr>
          <w:rFonts w:ascii="Arial" w:cs="Arial" w:eastAsia="Arial" w:hAnsi="Arial"/>
          <w:sz w:val="18"/>
          <w:szCs w:val="18"/>
          <w:color w:val="auto"/>
        </w:rPr>
        <w:t>Our ESG-related workstreams include sustainability, diversity and inclusion, community relations and volunteerism. ESG factors are considered in our ERM processes. The work of the Thomson Reuters Foundation also contributes to our ongoing ESG efforts.</w:t>
      </w:r>
    </w:p>
    <w:p>
      <w:pPr>
        <w:spacing w:after="0" w:line="5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Thomson Reuters understands that ESG measures are important to our stakeholders and drive positive impact on global issues. Conducting business in a principled manner – and transparently disclosing relevant targets and metrics related to our ESG programs – will not only allow our stakeholders to be informed on our progress, but also encourage others to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38010" cy="916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38010" cy="916940"/>
                    </a:xfrm>
                    <a:prstGeom prst="rect">
                      <a:avLst/>
                    </a:prstGeom>
                    <a:noFill/>
                  </pic:spPr>
                </pic:pic>
              </a:graphicData>
            </a:graphic>
          </wp:anchor>
        </w:drawing>
      </w:r>
    </w:p>
    <w:p>
      <w:pPr>
        <w:spacing w:after="0" w:line="152" w:lineRule="exact"/>
        <w:rPr>
          <w:sz w:val="20"/>
          <w:szCs w:val="20"/>
          <w:color w:val="auto"/>
        </w:rPr>
      </w:pPr>
    </w:p>
    <w:p>
      <w:pPr>
        <w:ind w:left="320" w:right="40"/>
        <w:spacing w:after="0" w:line="239" w:lineRule="auto"/>
        <w:rPr>
          <w:sz w:val="20"/>
          <w:szCs w:val="20"/>
          <w:color w:val="auto"/>
        </w:rPr>
      </w:pPr>
      <w:r>
        <w:rPr>
          <w:rFonts w:ascii="Arial" w:cs="Arial" w:eastAsia="Arial" w:hAnsi="Arial"/>
          <w:sz w:val="18"/>
          <w:szCs w:val="18"/>
          <w:color w:val="auto"/>
        </w:rPr>
        <w:t xml:space="preserve">We post a Social Impact &amp; ESG Report annually on our website, </w:t>
      </w:r>
      <w:r>
        <w:rPr>
          <w:rFonts w:ascii="Arial" w:cs="Arial" w:eastAsia="Arial" w:hAnsi="Arial"/>
          <w:sz w:val="18"/>
          <w:szCs w:val="18"/>
          <w:b w:val="1"/>
          <w:bCs w:val="1"/>
          <w:color w:val="335367"/>
        </w:rPr>
        <w:t>www.thomsonreuters.com/social-impact-report</w:t>
      </w:r>
      <w:r>
        <w:rPr>
          <w:rFonts w:ascii="Arial" w:cs="Arial" w:eastAsia="Arial" w:hAnsi="Arial"/>
          <w:sz w:val="18"/>
          <w:szCs w:val="18"/>
          <w:color w:val="auto"/>
        </w:rPr>
        <w:t>, which summarizes our strategy, includes stories of progress and tracks performance, tying our efforts to our business strategy and commercial expertise. The report highlights how we run our business with purpose, manage our sustainability goals, foster an inclusive workplace, and make a difference in communities through wider-ranging social impact programs pursuing access to justice, truth and transparency. We encourage you to review the Social Impact &amp; ESG Report to gain a better understanding of our accomplishments and practices in these areas.</w:t>
      </w:r>
    </w:p>
    <w:p>
      <w:pPr>
        <w:spacing w:after="0" w:line="22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 xml:space="preserve">We believe that by uniting our technical capabilities with those of our customers in these areas, we will drive the greatest change. We also believe in the power of collaboration with the international business community, so we are signatories of the United Nations Global Compact (UNGC), a non-binding United Nations (U.N.) pact to encourage businesses and firms worldwide to adopt sustainable and socially responsible policies. We are actively partnering to advance the Sustainable Development Goals, particularly SDG 16 – </w:t>
      </w:r>
      <w:r>
        <w:rPr>
          <w:rFonts w:ascii="Arial" w:cs="Arial" w:eastAsia="Arial" w:hAnsi="Arial"/>
          <w:sz w:val="18"/>
          <w:szCs w:val="18"/>
          <w:i w:val="1"/>
          <w:iCs w:val="1"/>
          <w:color w:val="auto"/>
        </w:rPr>
        <w:t>Peace,</w:t>
      </w:r>
      <w:r>
        <w:rPr>
          <w:rFonts w:ascii="Arial" w:cs="Arial" w:eastAsia="Arial" w:hAnsi="Arial"/>
          <w:sz w:val="18"/>
          <w:szCs w:val="18"/>
          <w:color w:val="auto"/>
        </w:rPr>
        <w:t xml:space="preserve"> </w:t>
      </w:r>
      <w:r>
        <w:rPr>
          <w:rFonts w:ascii="Arial" w:cs="Arial" w:eastAsia="Arial" w:hAnsi="Arial"/>
          <w:sz w:val="18"/>
          <w:szCs w:val="18"/>
          <w:i w:val="1"/>
          <w:iCs w:val="1"/>
          <w:color w:val="auto"/>
        </w:rPr>
        <w:t>Justice and Strong Institutions.</w:t>
      </w:r>
    </w:p>
    <w:p>
      <w:pPr>
        <w:spacing w:after="0" w:line="75"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We are also aligned with the United Nations Guiding Principles on Business and Human Rights (UNGPs), which augment our longstanding commitment to the UNGC, the U.N. Declaration on Human Rights, and other international standards. The UNGPs are the global standard for preventing and addressing the risk of adverse impacts on human rights linked to business activity, and they provide the internationally accepted framework for enhancing standards and practices regarding business and human rights.</w:t>
      </w:r>
    </w:p>
    <w:p>
      <w:pPr>
        <w:spacing w:after="0" w:line="71"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In 2023, we commenced a process to update our ESG materiality assessment to comply with new global regulations. This is an assessment that allows companies to identify and prioritize the ESG issues that are most likely to impact their business and stakeholders in the short and long-term. We used “double materiality” as our lens – which means we examined how material ESG topics affect our business and create or erode enterprise value as well as how material ESG risks and opportunities in our business could positively or negatively impact people, economies and the environment. Our initial assessment was completed in 2022. As part of this assessment, we conducted a company-wide human rights impact assessment (HRIA) of our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3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53</w:t>
      </w:r>
    </w:p>
    <w:p>
      <w:pPr>
        <w:sectPr>
          <w:pgSz w:w="11900" w:h="16838" w:orient="portrait"/>
          <w:cols w:equalWidth="0" w:num="1">
            <w:col w:w="11080"/>
          </w:cols>
          <w:pgMar w:left="320" w:top="454"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products, and services. In doing so, we sought to proactively manage actual and potential human rights impacts in order to mitigate risks to both Thomson Reuters and to stakeholder groups. The methodology for this assessment included desk-based research, internal and external stakeholder interviews, and detailed analysis and discussions of the findings. This process also included benchmarking ourselves against our peers and leading companies. This assessment examined potential impacts across stakeholder groups and helped us identify salient human rights risks which were then mapped against the expectations of the UNGPs, which now inform our human rights strategy and roadmap. Our commitment to respecting human rights throughout our operations will continue to guide our work and the recommendations from this comprehensive ESG assessment will continue to help us identify, assess, and proactively respond to salient and material risks across our enterprise.</w:t>
      </w:r>
    </w:p>
    <w:p>
      <w:pPr>
        <w:spacing w:after="0" w:line="77"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 xml:space="preserve">In March 2023, we released our first Human Rights Policy which informs our colleagues, customers, shareholders and those in the communities where we operate and do business, of our commitment and approach to human rights. Our ongoing commitment to respecting human rights throughout our operations guide our work and the recommendations from our comprehensive ESG materiality assessment which help us identify, assess, and proactively respond to salient and material risks across our enterprise. Our 2023 Social Impact &amp; ESG Report, which we anticipate publishing in Spring 2024 and will be available on our website at </w:t>
      </w:r>
      <w:r>
        <w:rPr>
          <w:rFonts w:ascii="Arial" w:cs="Arial" w:eastAsia="Arial" w:hAnsi="Arial"/>
          <w:sz w:val="18"/>
          <w:szCs w:val="18"/>
          <w:b w:val="1"/>
          <w:bCs w:val="1"/>
          <w:color w:val="335367"/>
        </w:rPr>
        <w:t>www.thomsonreuters.com</w:t>
      </w:r>
      <w:r>
        <w:rPr>
          <w:rFonts w:ascii="Arial" w:cs="Arial" w:eastAsia="Arial" w:hAnsi="Arial"/>
          <w:sz w:val="18"/>
          <w:szCs w:val="18"/>
          <w:color w:val="auto"/>
        </w:rPr>
        <w:t>, will contain additional information on key findings from our updated ESG materiality assessment.</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Environmental Practices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 of our environmental initiatives and accomplishments include the following:</w:t>
      </w:r>
    </w:p>
    <w:p>
      <w:pPr>
        <w:spacing w:after="0" w:line="74" w:lineRule="exact"/>
        <w:rPr>
          <w:sz w:val="20"/>
          <w:szCs w:val="20"/>
          <w:color w:val="auto"/>
        </w:rPr>
      </w:pPr>
    </w:p>
    <w:p>
      <w:pPr>
        <w:ind w:left="480" w:right="320" w:hanging="313"/>
        <w:spacing w:after="0" w:line="237" w:lineRule="auto"/>
        <w:tabs>
          <w:tab w:leader="none" w:pos="480" w:val="left"/>
        </w:tabs>
        <w:numPr>
          <w:ilvl w:val="0"/>
          <w:numId w:val="22"/>
        </w:numPr>
        <w:rPr>
          <w:rFonts w:ascii="Times New Roman" w:cs="Times New Roman" w:eastAsia="Times New Roman" w:hAnsi="Times New Roman"/>
          <w:sz w:val="20"/>
          <w:szCs w:val="20"/>
          <w:color w:val="B94831"/>
        </w:rPr>
      </w:pPr>
      <w:r>
        <w:rPr>
          <w:rFonts w:ascii="Arial" w:cs="Arial" w:eastAsia="Arial" w:hAnsi="Arial"/>
          <w:sz w:val="18"/>
          <w:szCs w:val="18"/>
          <w:color w:val="auto"/>
        </w:rPr>
        <w:t>We continue to source renewable energy for 100% of our operations. We have achieved this largely through the purchase of renewable power by matching our electricity usage with renewable energy credits acquired around the world. We are also working closely with our suppliers to drive lower emissions within our supply chain.</w:t>
      </w:r>
    </w:p>
    <w:p>
      <w:pPr>
        <w:spacing w:after="0" w:line="46" w:lineRule="exact"/>
        <w:rPr>
          <w:rFonts w:ascii="Times New Roman" w:cs="Times New Roman" w:eastAsia="Times New Roman" w:hAnsi="Times New Roman"/>
          <w:sz w:val="20"/>
          <w:szCs w:val="20"/>
          <w:color w:val="B94831"/>
        </w:rPr>
      </w:pPr>
    </w:p>
    <w:p>
      <w:pPr>
        <w:ind w:left="480" w:right="160" w:hanging="313"/>
        <w:spacing w:after="0" w:line="239" w:lineRule="auto"/>
        <w:tabs>
          <w:tab w:leader="none" w:pos="480" w:val="left"/>
        </w:tabs>
        <w:numPr>
          <w:ilvl w:val="0"/>
          <w:numId w:val="22"/>
        </w:numPr>
        <w:rPr>
          <w:rFonts w:ascii="Times New Roman" w:cs="Times New Roman" w:eastAsia="Times New Roman" w:hAnsi="Times New Roman"/>
          <w:sz w:val="20"/>
          <w:szCs w:val="20"/>
          <w:color w:val="B94831"/>
        </w:rPr>
      </w:pPr>
      <w:r>
        <w:rPr>
          <w:rFonts w:ascii="Arial" w:cs="Arial" w:eastAsia="Arial" w:hAnsi="Arial"/>
          <w:sz w:val="18"/>
          <w:szCs w:val="18"/>
          <w:color w:val="auto"/>
        </w:rPr>
        <w:t>We joined the Science Based Targets Initiative (SBTi) in 2020, aligning to the most ambitious 1.5-degree Celsius pathway. Thomson Reuters is among a leading group of approximately 2,700+ companies globally to have done so.</w:t>
      </w:r>
    </w:p>
    <w:p>
      <w:pPr>
        <w:spacing w:after="0" w:line="46" w:lineRule="exact"/>
        <w:rPr>
          <w:rFonts w:ascii="Times New Roman" w:cs="Times New Roman" w:eastAsia="Times New Roman" w:hAnsi="Times New Roman"/>
          <w:sz w:val="20"/>
          <w:szCs w:val="20"/>
          <w:color w:val="B94831"/>
        </w:rPr>
      </w:pPr>
    </w:p>
    <w:p>
      <w:pPr>
        <w:ind w:left="480" w:right="20" w:hanging="313"/>
        <w:spacing w:after="0" w:line="236" w:lineRule="auto"/>
        <w:tabs>
          <w:tab w:leader="none" w:pos="480" w:val="left"/>
        </w:tabs>
        <w:numPr>
          <w:ilvl w:val="0"/>
          <w:numId w:val="22"/>
        </w:numPr>
        <w:rPr>
          <w:rFonts w:ascii="Times New Roman" w:cs="Times New Roman" w:eastAsia="Times New Roman" w:hAnsi="Times New Roman"/>
          <w:sz w:val="20"/>
          <w:szCs w:val="20"/>
          <w:color w:val="B94831"/>
        </w:rPr>
      </w:pPr>
      <w:r>
        <w:rPr>
          <w:rFonts w:ascii="Arial" w:cs="Arial" w:eastAsia="Arial" w:hAnsi="Arial"/>
          <w:sz w:val="18"/>
          <w:szCs w:val="18"/>
          <w:color w:val="auto"/>
        </w:rPr>
        <w:t>In 2020, we announced our commitment to targeting net-zero emissions by 2050. As of the end of 2023, we had reduced our Scope 1 and Scope 2 GHG emissions by 93% from our 2018 baseline and we are significantly ahead of our SBTI commitment. We will continue to measure and manage our own emissions and environmental impacts and continue to identify ways to further assess, monitor and improve our carbon footprint.</w:t>
      </w:r>
    </w:p>
    <w:p>
      <w:pPr>
        <w:spacing w:after="0" w:line="45" w:lineRule="exact"/>
        <w:rPr>
          <w:rFonts w:ascii="Times New Roman" w:cs="Times New Roman" w:eastAsia="Times New Roman" w:hAnsi="Times New Roman"/>
          <w:sz w:val="20"/>
          <w:szCs w:val="20"/>
          <w:color w:val="B94831"/>
        </w:rPr>
      </w:pPr>
    </w:p>
    <w:p>
      <w:pPr>
        <w:ind w:left="480" w:right="120" w:hanging="313"/>
        <w:spacing w:after="0" w:line="239" w:lineRule="auto"/>
        <w:tabs>
          <w:tab w:leader="none" w:pos="480" w:val="left"/>
        </w:tabs>
        <w:numPr>
          <w:ilvl w:val="0"/>
          <w:numId w:val="22"/>
        </w:numPr>
        <w:rPr>
          <w:rFonts w:ascii="Times New Roman" w:cs="Times New Roman" w:eastAsia="Times New Roman" w:hAnsi="Times New Roman"/>
          <w:sz w:val="20"/>
          <w:szCs w:val="20"/>
          <w:color w:val="B94831"/>
        </w:rPr>
      </w:pPr>
      <w:r>
        <w:rPr>
          <w:rFonts w:ascii="Arial" w:cs="Arial" w:eastAsia="Arial" w:hAnsi="Arial"/>
          <w:sz w:val="18"/>
          <w:szCs w:val="18"/>
          <w:color w:val="auto"/>
        </w:rPr>
        <w:t>We continue to optimize our real estate portfolio utilization to adjust to market trends, business needs, and evolving ways of working. This is contributing to a decreased carbon footprint by reducing the number of office locations.</w:t>
      </w:r>
    </w:p>
    <w:p>
      <w:pPr>
        <w:spacing w:after="0" w:line="46" w:lineRule="exact"/>
        <w:rPr>
          <w:rFonts w:ascii="Times New Roman" w:cs="Times New Roman" w:eastAsia="Times New Roman" w:hAnsi="Times New Roman"/>
          <w:sz w:val="20"/>
          <w:szCs w:val="20"/>
          <w:color w:val="B94831"/>
        </w:rPr>
      </w:pPr>
    </w:p>
    <w:p>
      <w:pPr>
        <w:ind w:left="480" w:right="100" w:hanging="313"/>
        <w:spacing w:after="0" w:line="237" w:lineRule="auto"/>
        <w:tabs>
          <w:tab w:leader="none" w:pos="480" w:val="left"/>
        </w:tabs>
        <w:numPr>
          <w:ilvl w:val="0"/>
          <w:numId w:val="22"/>
        </w:numPr>
        <w:rPr>
          <w:rFonts w:ascii="Times New Roman" w:cs="Times New Roman" w:eastAsia="Times New Roman" w:hAnsi="Times New Roman"/>
          <w:sz w:val="20"/>
          <w:szCs w:val="20"/>
          <w:color w:val="B94831"/>
        </w:rPr>
      </w:pPr>
      <w:r>
        <w:rPr>
          <w:rFonts w:ascii="Arial" w:cs="Arial" w:eastAsia="Arial" w:hAnsi="Arial"/>
          <w:sz w:val="18"/>
          <w:szCs w:val="18"/>
          <w:color w:val="auto"/>
        </w:rPr>
        <w:t>Our strategy is to migrate more of our revenue to the cloud with the aim of reducing our environmental footprint as we rely less on energy consumption associated with company-managed data centers. We continue to take advantage of cloud-hosting environments that are transparent with their operations, resources and utilization with a focus on optimized waste reduction.</w:t>
      </w:r>
    </w:p>
    <w:p>
      <w:pPr>
        <w:spacing w:after="0" w:line="46" w:lineRule="exact"/>
        <w:rPr>
          <w:rFonts w:ascii="Times New Roman" w:cs="Times New Roman" w:eastAsia="Times New Roman" w:hAnsi="Times New Roman"/>
          <w:sz w:val="20"/>
          <w:szCs w:val="20"/>
          <w:color w:val="B94831"/>
        </w:rPr>
      </w:pPr>
    </w:p>
    <w:p>
      <w:pPr>
        <w:ind w:left="480" w:right="80" w:hanging="313"/>
        <w:spacing w:after="0" w:line="235" w:lineRule="auto"/>
        <w:tabs>
          <w:tab w:leader="none" w:pos="480" w:val="left"/>
        </w:tabs>
        <w:numPr>
          <w:ilvl w:val="0"/>
          <w:numId w:val="22"/>
        </w:numPr>
        <w:rPr>
          <w:rFonts w:ascii="Times New Roman" w:cs="Times New Roman" w:eastAsia="Times New Roman" w:hAnsi="Times New Roman"/>
          <w:sz w:val="20"/>
          <w:szCs w:val="20"/>
          <w:color w:val="B94831"/>
        </w:rPr>
      </w:pPr>
      <w:r>
        <w:rPr>
          <w:rFonts w:ascii="Arial" w:cs="Arial" w:eastAsia="Arial" w:hAnsi="Arial"/>
          <w:sz w:val="18"/>
          <w:szCs w:val="18"/>
          <w:color w:val="auto"/>
        </w:rPr>
        <w:t>Some of our content and other information products help our customers address climate change matters. For example, Practical Law includes a tracker covering key Biden Administration actions and initiatives on climate, energy and environmental issues and other resources related to climate change disclosures for U.S. public companies. The Thomson Reuters Institute also launched an ESG Resource Center which offers insights for corporations and governments around the world on the most pressing current and future issues concerning ESG topics.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Social Practices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Our culture</w:t>
      </w:r>
    </w:p>
    <w:p>
      <w:pPr>
        <w:spacing w:after="0" w:line="2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At Thomson Reuters, we prioritize our people, cultivating a supportive environment where we focus on our employees feeling valued, supported, and able to thrive in their professional life. We want every employee to have the opportunity to reach their full potential for an AI-enabled future and feel proud to recommend working here. Our team is committed to solving big challenges for our customers, fostering an inclusive culture, and bringing their best selves to work each day. Our culture celebrates diverse perspectives, embracing all aspects of identity to foster innovation and competitive advantage. We know that having a diverse workforce is not enough, we need to continue to cultivate an inclusive culture that harnesses our employees’ unique strengths.</w:t>
      </w:r>
    </w:p>
    <w:p>
      <w:pPr>
        <w:spacing w:after="0" w:line="74"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color w:val="auto"/>
        </w:rPr>
        <w:t>Every day, we strive to uphold the Thomson Reuters Trust Principles, ensuring integrity, independence and freedom from bias. Our focus on providing an exceptional employee experience is reflected in our history of being recognized as a leading employer.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54   Management Proxy Circular and Notice of Annual Meeting of Shareholders</w:t>
      </w:r>
    </w:p>
    <w:p>
      <w:pPr>
        <w:sectPr>
          <w:pgSz w:w="11900" w:h="16838" w:orient="portrait"/>
          <w:cols w:equalWidth="0" w:num="1">
            <w:col w:w="11040"/>
          </w:cols>
          <w:pgMar w:left="320" w:top="454"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color w:val="auto"/>
        </w:rPr>
        <w:t>we take pride in our 26 awards and recognitions for 2023, we are aware of the need to continue to increase momentum and evolve which is a priority for 2024. A few of our awards for 2023 included:</w:t>
      </w:r>
    </w:p>
    <w:p>
      <w:pPr>
        <w:spacing w:after="0" w:line="64" w:lineRule="exact"/>
        <w:rPr>
          <w:sz w:val="20"/>
          <w:szCs w:val="20"/>
          <w:color w:val="auto"/>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Equality 100 and 100% score on Corporate Equality Index, Human Rights Campaign</w:t>
      </w:r>
    </w:p>
    <w:p>
      <w:pPr>
        <w:spacing w:after="0" w:line="77" w:lineRule="exact"/>
        <w:rPr>
          <w:rFonts w:ascii="Times New Roman" w:cs="Times New Roman" w:eastAsia="Times New Roman" w:hAnsi="Times New Roman"/>
          <w:sz w:val="20"/>
          <w:szCs w:val="20"/>
          <w:color w:val="B94831"/>
        </w:rPr>
      </w:pPr>
    </w:p>
    <w:p>
      <w:pPr>
        <w:ind w:left="480" w:hanging="313"/>
        <w:spacing w:after="0" w:line="239" w:lineRule="auto"/>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Best Places to Work for LGBTQIAP Mexico, Best Place to Work for LGBTQIAP+ Brazil, Best Place to Work for LGBTQIAP+ Argentina, Human Rights Campaign</w:t>
      </w:r>
    </w:p>
    <w:p>
      <w:pPr>
        <w:spacing w:after="0" w:line="46"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Best Places to Work for Disability Inclusion and 100% score on Disability Inclusion Index, Disability:IN</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Great Place to Work Certified in six countries: Philippines, Canada, Brazil, India, Costa Rica and Japan</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Best Workplace for Technology, Large Companies in Canada and Brazil, Great Place to Work</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Best Workplace for Women in India, Great Place to Work</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Greater Toronto’s Top Employers, Canada’s Top 100</w:t>
      </w:r>
    </w:p>
    <w:p>
      <w:pPr>
        <w:spacing w:after="0" w:line="7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23"/>
        </w:numPr>
        <w:rPr>
          <w:rFonts w:ascii="Times New Roman" w:cs="Times New Roman" w:eastAsia="Times New Roman" w:hAnsi="Times New Roman"/>
          <w:sz w:val="20"/>
          <w:szCs w:val="20"/>
          <w:color w:val="B94831"/>
        </w:rPr>
      </w:pPr>
      <w:r>
        <w:rPr>
          <w:rFonts w:ascii="Arial" w:cs="Arial" w:eastAsia="Arial" w:hAnsi="Arial"/>
          <w:sz w:val="18"/>
          <w:szCs w:val="18"/>
          <w:color w:val="auto"/>
        </w:rPr>
        <w:t>Best Places to Work in Canada, Glassdoor Canada</w:t>
      </w:r>
    </w:p>
    <w:p>
      <w:pPr>
        <w:spacing w:after="0" w:line="118" w:lineRule="exact"/>
        <w:rPr>
          <w:sz w:val="20"/>
          <w:szCs w:val="20"/>
          <w:color w:val="auto"/>
        </w:rPr>
      </w:pPr>
    </w:p>
    <w:p>
      <w:pPr>
        <w:ind w:left="480" w:hanging="313"/>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Top Company Leader for Women Technologists, AnitaB.org</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Diversity and Inclusion</w:t>
      </w:r>
    </w:p>
    <w:p>
      <w:pPr>
        <w:spacing w:after="0" w:line="9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Diversity and Inclusion (D&amp;I) are core to our purpose and values at Thomson Reuters, and we remain committed to making our company a more diverse and inclusive place to work. This includes prioritizing D&amp;I as a business imperative, continually improving the inclusiveness and equity of our employee experience for all employees and achieving our D&amp;I goals.</w:t>
      </w:r>
    </w:p>
    <w:p>
      <w:pPr>
        <w:spacing w:after="0" w:line="65"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In 2020, Thomson Reuters established aspirational goals for diversifying our senior leadership (director and above). In 2023, we saw positive progress in hiring and promoting diverse talent in senior leadership while also experiencing attrition of diverse talent at near similar rates. Thus, our overall progress is a small net improvement in the representation of women and Black employees in senior leadership while the representation of racial and ethnically diverse employees in senior leadership remained flat year-over-year. In addition, we have made meaningful progress in increasing the diversity of our executive team. As of February 1, 2024, 50%, (5) of our current 10 executive officers are women and 30% (3) identify as racially/ethnically diverse. We recognize that there is still work to do, and we are steadfast in our commitment to increasing diverse representation. As such, we are recommitting to our representation goals in 2024.</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our diverse talent representation in 2021, 2022 and 2023, as well as our 2024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160655</wp:posOffset>
            </wp:positionV>
            <wp:extent cx="8255" cy="195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5694045</wp:posOffset>
            </wp:positionH>
            <wp:positionV relativeFrom="paragraph">
              <wp:posOffset>160655</wp:posOffset>
            </wp:positionV>
            <wp:extent cx="8255" cy="195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160655</wp:posOffset>
            </wp:positionV>
            <wp:extent cx="8255" cy="1955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160655</wp:posOffset>
            </wp:positionV>
            <wp:extent cx="8255" cy="1955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95580"/>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7280" w:type="dxa"/>
            <w:vAlign w:val="bottom"/>
            <w:tcBorders>
              <w:bottom w:val="single" w:sz="8" w:color="262626"/>
              <w:right w:val="single" w:sz="8" w:color="262626"/>
            </w:tcBorders>
            <w:shd w:val="clear" w:color="auto" w:fill="262626"/>
          </w:tcPr>
          <w:p>
            <w:pPr>
              <w:spacing w:after="0"/>
              <w:rPr>
                <w:sz w:val="20"/>
                <w:szCs w:val="20"/>
                <w:color w:val="auto"/>
              </w:rPr>
            </w:pPr>
            <w:r>
              <w:rPr>
                <w:rFonts w:ascii="Arial" w:cs="Arial" w:eastAsia="Arial" w:hAnsi="Arial"/>
                <w:sz w:val="15"/>
                <w:szCs w:val="15"/>
                <w:b w:val="1"/>
                <w:bCs w:val="1"/>
                <w:color w:val="FFFFFF"/>
              </w:rPr>
              <w:t>    Goal</w:t>
            </w:r>
          </w:p>
        </w:tc>
        <w:tc>
          <w:tcPr>
            <w:tcW w:w="680" w:type="dxa"/>
            <w:vAlign w:val="bottom"/>
            <w:tcBorders>
              <w:bottom w:val="single" w:sz="8" w:color="262626"/>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rPr>
              <w:t>2021</w:t>
            </w:r>
          </w:p>
        </w:tc>
        <w:tc>
          <w:tcPr>
            <w:tcW w:w="860" w:type="dxa"/>
            <w:vAlign w:val="bottom"/>
            <w:tcBorders>
              <w:bottom w:val="single" w:sz="8" w:color="262626"/>
              <w:right w:val="single" w:sz="8" w:color="262626"/>
            </w:tcBorders>
            <w:shd w:val="clear" w:color="auto" w:fill="262626"/>
          </w:tcPr>
          <w:p>
            <w:pPr>
              <w:jc w:val="right"/>
              <w:ind w:right="248"/>
              <w:spacing w:after="0"/>
              <w:rPr>
                <w:sz w:val="20"/>
                <w:szCs w:val="20"/>
                <w:color w:val="auto"/>
              </w:rPr>
            </w:pPr>
            <w:r>
              <w:rPr>
                <w:rFonts w:ascii="Arial" w:cs="Arial" w:eastAsia="Arial" w:hAnsi="Arial"/>
                <w:sz w:val="15"/>
                <w:szCs w:val="15"/>
                <w:b w:val="1"/>
                <w:bCs w:val="1"/>
                <w:color w:val="FFFFFF"/>
              </w:rPr>
              <w:t>2022</w:t>
            </w:r>
          </w:p>
        </w:tc>
        <w:tc>
          <w:tcPr>
            <w:tcW w:w="880" w:type="dxa"/>
            <w:vAlign w:val="bottom"/>
            <w:tcBorders>
              <w:bottom w:val="single" w:sz="8" w:color="262626"/>
              <w:right w:val="single" w:sz="8" w:color="262626"/>
            </w:tcBorders>
            <w:shd w:val="clear" w:color="auto" w:fill="262626"/>
          </w:tcPr>
          <w:p>
            <w:pPr>
              <w:jc w:val="right"/>
              <w:ind w:right="268"/>
              <w:spacing w:after="0"/>
              <w:rPr>
                <w:sz w:val="20"/>
                <w:szCs w:val="20"/>
                <w:color w:val="auto"/>
              </w:rPr>
            </w:pPr>
            <w:r>
              <w:rPr>
                <w:rFonts w:ascii="Arial" w:cs="Arial" w:eastAsia="Arial" w:hAnsi="Arial"/>
                <w:sz w:val="15"/>
                <w:szCs w:val="15"/>
                <w:b w:val="1"/>
                <w:bCs w:val="1"/>
                <w:color w:val="FFFFFF"/>
              </w:rPr>
              <w:t>2023</w:t>
            </w:r>
          </w:p>
        </w:tc>
        <w:tc>
          <w:tcPr>
            <w:tcW w:w="1220" w:type="dxa"/>
            <w:vAlign w:val="bottom"/>
            <w:tcBorders>
              <w:bottom w:val="single" w:sz="8" w:color="262626"/>
            </w:tcBorders>
            <w:shd w:val="clear" w:color="auto" w:fill="262626"/>
          </w:tcPr>
          <w:p>
            <w:pPr>
              <w:jc w:val="right"/>
              <w:ind w:right="228"/>
              <w:spacing w:after="0"/>
              <w:rPr>
                <w:sz w:val="20"/>
                <w:szCs w:val="20"/>
                <w:color w:val="auto"/>
              </w:rPr>
            </w:pPr>
            <w:r>
              <w:rPr>
                <w:rFonts w:ascii="Arial" w:cs="Arial" w:eastAsia="Arial" w:hAnsi="Arial"/>
                <w:sz w:val="15"/>
                <w:szCs w:val="15"/>
                <w:b w:val="1"/>
                <w:bCs w:val="1"/>
                <w:color w:val="FFFFFF"/>
              </w:rPr>
              <w:t>2024 Goal</w:t>
            </w:r>
          </w:p>
        </w:tc>
      </w:tr>
      <w:tr>
        <w:trPr>
          <w:trHeight w:val="239"/>
        </w:trPr>
        <w:tc>
          <w:tcPr>
            <w:tcW w:w="72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  Women in senior leadership</w:t>
            </w:r>
          </w:p>
        </w:tc>
        <w:tc>
          <w:tcPr>
            <w:tcW w:w="680" w:type="dxa"/>
            <w:vAlign w:val="bottom"/>
            <w:tcBorders>
              <w:right w:val="single" w:sz="8" w:color="AFAFAF"/>
            </w:tcBorders>
          </w:tcPr>
          <w:p>
            <w:pPr>
              <w:jc w:val="right"/>
              <w:ind w:right="168"/>
              <w:spacing w:after="0"/>
              <w:rPr>
                <w:sz w:val="20"/>
                <w:szCs w:val="20"/>
                <w:color w:val="auto"/>
              </w:rPr>
            </w:pPr>
            <w:r>
              <w:rPr>
                <w:rFonts w:ascii="Arial" w:cs="Arial" w:eastAsia="Arial" w:hAnsi="Arial"/>
                <w:sz w:val="14"/>
                <w:szCs w:val="14"/>
                <w:color w:val="auto"/>
              </w:rPr>
              <w:t>41%</w:t>
            </w:r>
          </w:p>
        </w:tc>
        <w:tc>
          <w:tcPr>
            <w:tcW w:w="860" w:type="dxa"/>
            <w:vAlign w:val="bottom"/>
            <w:tcBorders>
              <w:right w:val="single" w:sz="8" w:color="AFAFAF"/>
            </w:tcBorders>
          </w:tcPr>
          <w:p>
            <w:pPr>
              <w:jc w:val="right"/>
              <w:ind w:right="248"/>
              <w:spacing w:after="0"/>
              <w:rPr>
                <w:sz w:val="20"/>
                <w:szCs w:val="20"/>
                <w:color w:val="auto"/>
              </w:rPr>
            </w:pPr>
            <w:r>
              <w:rPr>
                <w:rFonts w:ascii="Arial" w:cs="Arial" w:eastAsia="Arial" w:hAnsi="Arial"/>
                <w:sz w:val="14"/>
                <w:szCs w:val="14"/>
                <w:color w:val="auto"/>
              </w:rPr>
              <w:t>41%</w:t>
            </w:r>
          </w:p>
        </w:tc>
        <w:tc>
          <w:tcPr>
            <w:tcW w:w="88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b w:val="1"/>
                <w:bCs w:val="1"/>
                <w:color w:val="auto"/>
              </w:rPr>
              <w:t>42%</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45%</w:t>
            </w:r>
          </w:p>
        </w:tc>
      </w:tr>
      <w:tr>
        <w:trPr>
          <w:trHeight w:val="42"/>
        </w:trPr>
        <w:tc>
          <w:tcPr>
            <w:tcW w:w="7280" w:type="dxa"/>
            <w:vAlign w:val="bottom"/>
            <w:tcBorders>
              <w:bottom w:val="single" w:sz="8" w:color="AFAFAF"/>
              <w:right w:val="single" w:sz="8" w:color="AFAFAF"/>
            </w:tcBorders>
          </w:tcPr>
          <w:p>
            <w:pPr>
              <w:spacing w:after="0"/>
              <w:rPr>
                <w:sz w:val="3"/>
                <w:szCs w:val="3"/>
                <w:color w:val="auto"/>
              </w:rPr>
            </w:pPr>
          </w:p>
        </w:tc>
        <w:tc>
          <w:tcPr>
            <w:tcW w:w="680" w:type="dxa"/>
            <w:vAlign w:val="bottom"/>
            <w:tcBorders>
              <w:bottom w:val="single" w:sz="8" w:color="AFAFAF"/>
              <w:right w:val="single" w:sz="8" w:color="AFAFAF"/>
            </w:tcBorders>
          </w:tcPr>
          <w:p>
            <w:pPr>
              <w:spacing w:after="0"/>
              <w:rPr>
                <w:sz w:val="3"/>
                <w:szCs w:val="3"/>
                <w:color w:val="auto"/>
              </w:rPr>
            </w:pPr>
          </w:p>
        </w:tc>
        <w:tc>
          <w:tcPr>
            <w:tcW w:w="860" w:type="dxa"/>
            <w:vAlign w:val="bottom"/>
            <w:tcBorders>
              <w:bottom w:val="single" w:sz="8" w:color="AFAFAF"/>
              <w:right w:val="single" w:sz="8" w:color="AFAFAF"/>
            </w:tcBorders>
          </w:tcPr>
          <w:p>
            <w:pPr>
              <w:spacing w:after="0"/>
              <w:rPr>
                <w:sz w:val="3"/>
                <w:szCs w:val="3"/>
                <w:color w:val="auto"/>
              </w:rPr>
            </w:pPr>
          </w:p>
        </w:tc>
        <w:tc>
          <w:tcPr>
            <w:tcW w:w="880" w:type="dxa"/>
            <w:vAlign w:val="bottom"/>
            <w:tcBorders>
              <w:bottom w:val="single" w:sz="8" w:color="AFAFAF"/>
              <w:right w:val="single" w:sz="8" w:color="AFAFAF"/>
            </w:tcBorders>
          </w:tcPr>
          <w:p>
            <w:pPr>
              <w:spacing w:after="0"/>
              <w:rPr>
                <w:sz w:val="3"/>
                <w:szCs w:val="3"/>
                <w:color w:val="auto"/>
              </w:rPr>
            </w:pPr>
          </w:p>
        </w:tc>
        <w:tc>
          <w:tcPr>
            <w:tcW w:w="1220" w:type="dxa"/>
            <w:vAlign w:val="bottom"/>
            <w:tcBorders>
              <w:bottom w:val="single" w:sz="8" w:color="AFAFAF"/>
            </w:tcBorders>
          </w:tcPr>
          <w:p>
            <w:pPr>
              <w:spacing w:after="0"/>
              <w:rPr>
                <w:sz w:val="3"/>
                <w:szCs w:val="3"/>
                <w:color w:val="auto"/>
              </w:rPr>
            </w:pPr>
          </w:p>
        </w:tc>
      </w:tr>
      <w:tr>
        <w:trPr>
          <w:trHeight w:val="233"/>
        </w:trPr>
        <w:tc>
          <w:tcPr>
            <w:tcW w:w="72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  Racially/ethnically diverse talent in senior leadership</w:t>
            </w:r>
          </w:p>
        </w:tc>
        <w:tc>
          <w:tcPr>
            <w:tcW w:w="680" w:type="dxa"/>
            <w:vAlign w:val="bottom"/>
            <w:tcBorders>
              <w:right w:val="single" w:sz="8" w:color="AFAFAF"/>
            </w:tcBorders>
          </w:tcPr>
          <w:p>
            <w:pPr>
              <w:jc w:val="right"/>
              <w:ind w:right="168"/>
              <w:spacing w:after="0"/>
              <w:rPr>
                <w:sz w:val="20"/>
                <w:szCs w:val="20"/>
                <w:color w:val="auto"/>
              </w:rPr>
            </w:pPr>
            <w:r>
              <w:rPr>
                <w:rFonts w:ascii="Arial" w:cs="Arial" w:eastAsia="Arial" w:hAnsi="Arial"/>
                <w:sz w:val="14"/>
                <w:szCs w:val="14"/>
                <w:color w:val="auto"/>
              </w:rPr>
              <w:t>16%</w:t>
            </w:r>
          </w:p>
        </w:tc>
        <w:tc>
          <w:tcPr>
            <w:tcW w:w="860" w:type="dxa"/>
            <w:vAlign w:val="bottom"/>
            <w:tcBorders>
              <w:right w:val="single" w:sz="8" w:color="AFAFAF"/>
            </w:tcBorders>
          </w:tcPr>
          <w:p>
            <w:pPr>
              <w:jc w:val="right"/>
              <w:ind w:right="248"/>
              <w:spacing w:after="0"/>
              <w:rPr>
                <w:sz w:val="20"/>
                <w:szCs w:val="20"/>
                <w:color w:val="auto"/>
              </w:rPr>
            </w:pPr>
            <w:r>
              <w:rPr>
                <w:rFonts w:ascii="Arial" w:cs="Arial" w:eastAsia="Arial" w:hAnsi="Arial"/>
                <w:sz w:val="14"/>
                <w:szCs w:val="14"/>
                <w:color w:val="auto"/>
              </w:rPr>
              <w:t>18%</w:t>
            </w:r>
          </w:p>
        </w:tc>
        <w:tc>
          <w:tcPr>
            <w:tcW w:w="88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b w:val="1"/>
                <w:bCs w:val="1"/>
                <w:color w:val="auto"/>
              </w:rPr>
              <w:t>18%</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20%</w:t>
            </w:r>
          </w:p>
        </w:tc>
      </w:tr>
      <w:tr>
        <w:trPr>
          <w:trHeight w:val="42"/>
        </w:trPr>
        <w:tc>
          <w:tcPr>
            <w:tcW w:w="7280" w:type="dxa"/>
            <w:vAlign w:val="bottom"/>
            <w:tcBorders>
              <w:bottom w:val="single" w:sz="8" w:color="AFAFAF"/>
              <w:right w:val="single" w:sz="8" w:color="AFAFAF"/>
            </w:tcBorders>
          </w:tcPr>
          <w:p>
            <w:pPr>
              <w:spacing w:after="0"/>
              <w:rPr>
                <w:sz w:val="3"/>
                <w:szCs w:val="3"/>
                <w:color w:val="auto"/>
              </w:rPr>
            </w:pPr>
          </w:p>
        </w:tc>
        <w:tc>
          <w:tcPr>
            <w:tcW w:w="680" w:type="dxa"/>
            <w:vAlign w:val="bottom"/>
            <w:tcBorders>
              <w:bottom w:val="single" w:sz="8" w:color="AFAFAF"/>
              <w:right w:val="single" w:sz="8" w:color="AFAFAF"/>
            </w:tcBorders>
          </w:tcPr>
          <w:p>
            <w:pPr>
              <w:spacing w:after="0"/>
              <w:rPr>
                <w:sz w:val="3"/>
                <w:szCs w:val="3"/>
                <w:color w:val="auto"/>
              </w:rPr>
            </w:pPr>
          </w:p>
        </w:tc>
        <w:tc>
          <w:tcPr>
            <w:tcW w:w="860" w:type="dxa"/>
            <w:vAlign w:val="bottom"/>
            <w:tcBorders>
              <w:bottom w:val="single" w:sz="8" w:color="AFAFAF"/>
              <w:right w:val="single" w:sz="8" w:color="AFAFAF"/>
            </w:tcBorders>
          </w:tcPr>
          <w:p>
            <w:pPr>
              <w:spacing w:after="0"/>
              <w:rPr>
                <w:sz w:val="3"/>
                <w:szCs w:val="3"/>
                <w:color w:val="auto"/>
              </w:rPr>
            </w:pPr>
          </w:p>
        </w:tc>
        <w:tc>
          <w:tcPr>
            <w:tcW w:w="880" w:type="dxa"/>
            <w:vAlign w:val="bottom"/>
            <w:tcBorders>
              <w:bottom w:val="single" w:sz="8" w:color="AFAFAF"/>
              <w:right w:val="single" w:sz="8" w:color="AFAFAF"/>
            </w:tcBorders>
          </w:tcPr>
          <w:p>
            <w:pPr>
              <w:spacing w:after="0"/>
              <w:rPr>
                <w:sz w:val="3"/>
                <w:szCs w:val="3"/>
                <w:color w:val="auto"/>
              </w:rPr>
            </w:pPr>
          </w:p>
        </w:tc>
        <w:tc>
          <w:tcPr>
            <w:tcW w:w="1220" w:type="dxa"/>
            <w:vAlign w:val="bottom"/>
            <w:tcBorders>
              <w:bottom w:val="single" w:sz="8" w:color="AFAFAF"/>
            </w:tcBorders>
          </w:tcPr>
          <w:p>
            <w:pPr>
              <w:spacing w:after="0"/>
              <w:rPr>
                <w:sz w:val="3"/>
                <w:szCs w:val="3"/>
                <w:color w:val="auto"/>
              </w:rPr>
            </w:pPr>
          </w:p>
        </w:tc>
      </w:tr>
      <w:tr>
        <w:trPr>
          <w:trHeight w:val="274"/>
        </w:trPr>
        <w:tc>
          <w:tcPr>
            <w:tcW w:w="728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  Number of Black employees in senior leadership</w:t>
            </w:r>
          </w:p>
        </w:tc>
        <w:tc>
          <w:tcPr>
            <w:tcW w:w="680" w:type="dxa"/>
            <w:vAlign w:val="bottom"/>
            <w:tcBorders>
              <w:right w:val="single" w:sz="8" w:color="AFAFAF"/>
            </w:tcBorders>
          </w:tcPr>
          <w:p>
            <w:pPr>
              <w:jc w:val="right"/>
              <w:ind w:right="168"/>
              <w:spacing w:after="0"/>
              <w:rPr>
                <w:sz w:val="20"/>
                <w:szCs w:val="20"/>
                <w:color w:val="auto"/>
              </w:rPr>
            </w:pPr>
            <w:r>
              <w:rPr>
                <w:rFonts w:ascii="Arial" w:cs="Arial" w:eastAsia="Arial" w:hAnsi="Arial"/>
                <w:sz w:val="14"/>
                <w:szCs w:val="14"/>
                <w:color w:val="auto"/>
              </w:rPr>
              <w:t>38</w:t>
            </w:r>
          </w:p>
        </w:tc>
        <w:tc>
          <w:tcPr>
            <w:tcW w:w="860" w:type="dxa"/>
            <w:vAlign w:val="bottom"/>
            <w:tcBorders>
              <w:right w:val="single" w:sz="8" w:color="AFAFAF"/>
            </w:tcBorders>
          </w:tcPr>
          <w:p>
            <w:pPr>
              <w:jc w:val="right"/>
              <w:ind w:right="248"/>
              <w:spacing w:after="0"/>
              <w:rPr>
                <w:sz w:val="20"/>
                <w:szCs w:val="20"/>
                <w:color w:val="auto"/>
              </w:rPr>
            </w:pPr>
            <w:r>
              <w:rPr>
                <w:rFonts w:ascii="Arial" w:cs="Arial" w:eastAsia="Arial" w:hAnsi="Arial"/>
                <w:sz w:val="14"/>
                <w:szCs w:val="14"/>
                <w:color w:val="auto"/>
              </w:rPr>
              <w:t>38</w:t>
            </w:r>
          </w:p>
        </w:tc>
        <w:tc>
          <w:tcPr>
            <w:tcW w:w="88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b w:val="1"/>
                <w:bCs w:val="1"/>
                <w:color w:val="auto"/>
              </w:rPr>
              <w:t>41</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60</w:t>
            </w:r>
          </w:p>
        </w:tc>
      </w:tr>
      <w:tr>
        <w:trPr>
          <w:trHeight w:val="20"/>
        </w:trPr>
        <w:tc>
          <w:tcPr>
            <w:tcW w:w="7280" w:type="dxa"/>
            <w:vAlign w:val="bottom"/>
            <w:tcBorders>
              <w:right w:val="single" w:sz="8" w:color="B94831"/>
            </w:tcBorders>
            <w:shd w:val="clear" w:color="auto" w:fill="B94831"/>
          </w:tcPr>
          <w:p>
            <w:pPr>
              <w:spacing w:after="0" w:line="20" w:lineRule="exact"/>
              <w:rPr>
                <w:sz w:val="1"/>
                <w:szCs w:val="1"/>
                <w:color w:val="auto"/>
              </w:rPr>
            </w:pPr>
          </w:p>
        </w:tc>
        <w:tc>
          <w:tcPr>
            <w:tcW w:w="680" w:type="dxa"/>
            <w:vAlign w:val="bottom"/>
            <w:tcBorders>
              <w:right w:val="single" w:sz="8" w:color="B94831"/>
            </w:tcBorders>
            <w:shd w:val="clear" w:color="auto" w:fill="B94831"/>
          </w:tcPr>
          <w:p>
            <w:pPr>
              <w:spacing w:after="0" w:line="20" w:lineRule="exact"/>
              <w:rPr>
                <w:sz w:val="1"/>
                <w:szCs w:val="1"/>
                <w:color w:val="auto"/>
              </w:rPr>
            </w:pPr>
          </w:p>
        </w:tc>
        <w:tc>
          <w:tcPr>
            <w:tcW w:w="860" w:type="dxa"/>
            <w:vAlign w:val="bottom"/>
            <w:tcBorders>
              <w:right w:val="single" w:sz="8" w:color="B94831"/>
            </w:tcBorders>
            <w:shd w:val="clear" w:color="auto" w:fill="B94831"/>
          </w:tcPr>
          <w:p>
            <w:pPr>
              <w:spacing w:after="0" w:line="20" w:lineRule="exact"/>
              <w:rPr>
                <w:sz w:val="1"/>
                <w:szCs w:val="1"/>
                <w:color w:val="auto"/>
              </w:rPr>
            </w:pPr>
          </w:p>
        </w:tc>
        <w:tc>
          <w:tcPr>
            <w:tcW w:w="880" w:type="dxa"/>
            <w:vAlign w:val="bottom"/>
            <w:tcBorders>
              <w:right w:val="single" w:sz="8" w:color="B94831"/>
            </w:tcBorders>
            <w:shd w:val="clear" w:color="auto" w:fill="B94831"/>
          </w:tcPr>
          <w:p>
            <w:pPr>
              <w:spacing w:after="0" w:line="20" w:lineRule="exact"/>
              <w:rPr>
                <w:sz w:val="1"/>
                <w:szCs w:val="1"/>
                <w:color w:val="auto"/>
              </w:rPr>
            </w:pPr>
          </w:p>
        </w:tc>
        <w:tc>
          <w:tcPr>
            <w:tcW w:w="1220" w:type="dxa"/>
            <w:vAlign w:val="bottom"/>
            <w:shd w:val="clear" w:color="auto" w:fill="B94831"/>
          </w:tcPr>
          <w:p>
            <w:pPr>
              <w:spacing w:after="0" w:line="20" w:lineRule="exact"/>
              <w:rPr>
                <w:sz w:val="1"/>
                <w:szCs w:val="1"/>
                <w:color w:val="auto"/>
              </w:rPr>
            </w:pPr>
          </w:p>
        </w:tc>
      </w:tr>
    </w:tbl>
    <w:p>
      <w:pPr>
        <w:spacing w:after="0" w:line="27"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Note – our racial/ethnically diverse representation and Black talent representation goals are only measured for the U.S. (including Puerto Rico), U.K., Canada, Brazil and South Africa.</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Additional D&amp;I initiatives we’d like to highlight from 2023 include:</w:t>
      </w:r>
    </w:p>
    <w:p>
      <w:pPr>
        <w:spacing w:after="0" w:line="74" w:lineRule="exact"/>
        <w:rPr>
          <w:sz w:val="20"/>
          <w:szCs w:val="20"/>
          <w:color w:val="auto"/>
        </w:rPr>
      </w:pPr>
    </w:p>
    <w:p>
      <w:pPr>
        <w:ind w:left="480" w:right="180" w:hanging="313"/>
        <w:spacing w:after="0" w:line="234" w:lineRule="auto"/>
        <w:tabs>
          <w:tab w:leader="none" w:pos="480" w:val="left"/>
        </w:tabs>
        <w:numPr>
          <w:ilvl w:val="0"/>
          <w:numId w:val="25"/>
        </w:numPr>
        <w:rPr>
          <w:rFonts w:ascii="Times New Roman" w:cs="Times New Roman" w:eastAsia="Times New Roman" w:hAnsi="Times New Roman"/>
          <w:sz w:val="20"/>
          <w:szCs w:val="20"/>
          <w:color w:val="B94831"/>
        </w:rPr>
      </w:pPr>
      <w:r>
        <w:rPr>
          <w:rFonts w:ascii="Arial" w:cs="Arial" w:eastAsia="Arial" w:hAnsi="Arial"/>
          <w:sz w:val="18"/>
          <w:szCs w:val="18"/>
          <w:color w:val="auto"/>
        </w:rPr>
        <w:t>Sponsorship of ten business resource groups (BRGs), which play a critical role in driving awareness and understanding of diverse backgrounds, cultivating a culture of belonging and execution against our D&amp;I strategy. This includes the launch of our new Interfaith Employee Network – focused on fostering inclusion, belonging and allyship for the range of global faiths and spiritual diversity that exists in our workforce. Our other BRGs include the Asian Affinity Network, Black Employee Network, Disability Employee Network, Early Careers Network, Indigenous Peoples Network, Latino Employee Network, Pride at Work, Veterans Network and Women at Thomson Reuters. Collectively, our BRGs span more than 80 chapters across the world with the support of over 140 volunteer co-chairs.</w:t>
      </w:r>
    </w:p>
    <w:p>
      <w:pPr>
        <w:spacing w:after="0" w:line="49" w:lineRule="exact"/>
        <w:rPr>
          <w:rFonts w:ascii="Times New Roman" w:cs="Times New Roman" w:eastAsia="Times New Roman" w:hAnsi="Times New Roman"/>
          <w:sz w:val="20"/>
          <w:szCs w:val="20"/>
          <w:color w:val="B94831"/>
        </w:rPr>
      </w:pPr>
    </w:p>
    <w:p>
      <w:pPr>
        <w:ind w:left="480" w:hanging="313"/>
        <w:spacing w:after="0" w:line="216" w:lineRule="auto"/>
        <w:tabs>
          <w:tab w:leader="none" w:pos="480" w:val="left"/>
        </w:tabs>
        <w:numPr>
          <w:ilvl w:val="0"/>
          <w:numId w:val="25"/>
        </w:numPr>
        <w:rPr>
          <w:rFonts w:ascii="Times New Roman" w:cs="Times New Roman" w:eastAsia="Times New Roman" w:hAnsi="Times New Roman"/>
          <w:sz w:val="20"/>
          <w:szCs w:val="20"/>
          <w:color w:val="B94831"/>
        </w:rPr>
      </w:pPr>
      <w:r>
        <w:rPr>
          <w:rFonts w:ascii="Arial" w:cs="Arial" w:eastAsia="Arial" w:hAnsi="Arial"/>
          <w:sz w:val="18"/>
          <w:szCs w:val="18"/>
          <w:color w:val="auto"/>
        </w:rPr>
        <w:t>Focused on accelerating the careers of talent through three employee-led leadership development conferences. Aspire to Lead, led by Women at Thomson Reuters, brings together powerful speakers, skill-building workshops and networking opportunities to inspire women and allies to lead with confidence in their professional and personal lives. Celebrating its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year, the virtual conference brought together over 2,300 employees to “Unleash your Superpower.” BENergy, hosted by our Black Employee Network, focused on career mobility, goal setting, personal branding and networking. Sessions focused on removing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55</w:t>
      </w:r>
    </w:p>
    <w:p>
      <w:pPr>
        <w:sectPr>
          <w:pgSz w:w="11900" w:h="16838" w:orient="portrait"/>
          <w:cols w:equalWidth="0" w:num="1">
            <w:col w:w="11080"/>
          </w:cols>
          <w:pgMar w:left="320" w:top="454"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480" w:right="380"/>
        <w:spacing w:after="0" w:line="249" w:lineRule="auto"/>
        <w:rPr>
          <w:sz w:val="20"/>
          <w:szCs w:val="20"/>
          <w:color w:val="auto"/>
        </w:rPr>
      </w:pPr>
      <w:r>
        <w:rPr>
          <w:rFonts w:ascii="Arial" w:cs="Arial" w:eastAsia="Arial" w:hAnsi="Arial"/>
          <w:sz w:val="18"/>
          <w:szCs w:val="18"/>
          <w:color w:val="auto"/>
        </w:rPr>
        <w:t>ambiguity of what it takes to achieve career and development goals. And, ECN Worldwide, hosted by our Early Careers Network (ECN), helped attendees explore the range of career opportunities at Thomson Reuters and reframe career paths as a lattice with multiple options.</w:t>
      </w:r>
    </w:p>
    <w:p>
      <w:pPr>
        <w:spacing w:after="0" w:line="38" w:lineRule="exact"/>
        <w:rPr>
          <w:sz w:val="20"/>
          <w:szCs w:val="20"/>
          <w:color w:val="auto"/>
        </w:rPr>
      </w:pPr>
    </w:p>
    <w:p>
      <w:pPr>
        <w:ind w:left="480" w:right="20" w:hanging="313"/>
        <w:spacing w:after="0" w:line="235" w:lineRule="auto"/>
        <w:tabs>
          <w:tab w:leader="none" w:pos="480" w:val="left"/>
        </w:tabs>
        <w:numPr>
          <w:ilvl w:val="0"/>
          <w:numId w:val="26"/>
        </w:numPr>
        <w:rPr>
          <w:rFonts w:ascii="Times New Roman" w:cs="Times New Roman" w:eastAsia="Times New Roman" w:hAnsi="Times New Roman"/>
          <w:sz w:val="20"/>
          <w:szCs w:val="20"/>
          <w:color w:val="B94831"/>
        </w:rPr>
      </w:pPr>
      <w:r>
        <w:rPr>
          <w:rFonts w:ascii="Arial" w:cs="Arial" w:eastAsia="Arial" w:hAnsi="Arial"/>
          <w:sz w:val="18"/>
          <w:szCs w:val="18"/>
          <w:color w:val="auto"/>
        </w:rPr>
        <w:t>Expansion of our Connected Leaders Academy (in partnership with McKinsey) to include a new Leadership Essential Program to complement the existing Executive Leadership and Management Accelerator learning paths. Since the launch in 2021, the Connected Leaders Academy at Thomson Reuters has reached over 820 racial and ethnically diverse talent that self-identify as Black, Hispanic/Latino and Asian from 15 countries. The robust alumni network of talent from this program continues to come together for our newly launched Peer Learning sessions and bimonthly networking meetings.</w:t>
      </w:r>
    </w:p>
    <w:p>
      <w:pPr>
        <w:spacing w:after="0" w:line="47" w:lineRule="exact"/>
        <w:rPr>
          <w:rFonts w:ascii="Times New Roman" w:cs="Times New Roman" w:eastAsia="Times New Roman" w:hAnsi="Times New Roman"/>
          <w:sz w:val="20"/>
          <w:szCs w:val="20"/>
          <w:color w:val="B94831"/>
        </w:rPr>
      </w:pPr>
    </w:p>
    <w:p>
      <w:pPr>
        <w:ind w:left="480" w:right="20" w:hanging="313"/>
        <w:spacing w:after="0" w:line="234" w:lineRule="auto"/>
        <w:tabs>
          <w:tab w:leader="none" w:pos="480" w:val="left"/>
        </w:tabs>
        <w:numPr>
          <w:ilvl w:val="0"/>
          <w:numId w:val="26"/>
        </w:numPr>
        <w:rPr>
          <w:rFonts w:ascii="Times New Roman" w:cs="Times New Roman" w:eastAsia="Times New Roman" w:hAnsi="Times New Roman"/>
          <w:sz w:val="20"/>
          <w:szCs w:val="20"/>
          <w:color w:val="B94831"/>
        </w:rPr>
      </w:pPr>
      <w:r>
        <w:rPr>
          <w:rFonts w:ascii="Arial" w:cs="Arial" w:eastAsia="Arial" w:hAnsi="Arial"/>
          <w:sz w:val="18"/>
          <w:szCs w:val="18"/>
          <w:color w:val="auto"/>
        </w:rPr>
        <w:t>Continued to invest in and make progress on our core D&amp;I initiatives. We grew the completeness of our voluntary self-identification data by 7% through our Count Me In internal initiative, further deepening our talent insights. We continued to highlight our Breaking Bias program and enroll new and existing employees in this enterprise training, resulting in 67% global employee completion. Through Ten Thousand Coffees, our digital platform that democratizes access to social learning, networking and mentorship, over 15,000 employee connections were made by colleagues across the world and over 100 office hours were hosted by Thomson Reuters leaders.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Health and Wellbeing</w:t>
      </w:r>
    </w:p>
    <w:p>
      <w:pPr>
        <w:spacing w:after="0" w:line="28"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We believe our people are our greatest asset, and we are committed to fostering a supportive environment where we focus on employees feeling valued, cared for, and empowered to thrive at work and in life. We continue to invest in and prioritize initiatives that embrace a healthy lifestyle, address personal challenges, and support the mental, physical, financial, and social well-being of our talent.</w:t>
      </w:r>
    </w:p>
    <w:p>
      <w:pPr>
        <w:spacing w:after="0" w:line="65"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In 2023, we enhanced “Flex My Way”, which is a collection of supportive workplace policies that promote work-life balance and improved flexibility. Previously, we launched flexible and hybrid working, caregiver-paid time off, increased bereavement leave and work from anywhere for up to eight weeks per year (with up to four weeks in an authorized country and the remaining in your country of employment), sabbatical leave and flexible vacation in the US and Canada. In 2023, we proudly launched a global gender-neutral 16-week minimum standard for parental leave. This ensures no matter where in the world our talent is, regardless of gender, sexual orientation, marital status, or family role, all parents can take the necessary time off to establish routines, bond with their child, and settle into parenthood.</w:t>
      </w:r>
    </w:p>
    <w:p>
      <w:pPr>
        <w:spacing w:after="0" w:line="74"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We have made mental health and healthy minds a central pillar of the employee experience, where we empower everyone to speak openly and confidently about their wellbeing. Our mental health resources continue to expand with a focus on support for our people leaders. In 2023, we continued to deliver Mindful Leadership Training through live interactive sessions and introduced the Mindful Leadership eTraining with an accompanying toolkit to ensure sustainable global access to the training and resources needed to lead mentally healthy and psychologically safe teams. This resource was added in addition to our broad effort to embed wellbeing into our workplace culture across the organization by ensuring all employees feel comfortable being themselves, hear the same messages, have access to care and support, and participate equally in offerings which include: free access to an employee assistance program, a meditation app, mindfulness discussions, learning opportunities and spotlights on mental health centered around two annual mental health days off (May and October). We remain a signatory to the Mindful Business Charter, where we continue to implement workplace practices and policies to focus on people dimensions in the workplace. In 2023, our commitment to a healthy workplace was recognized, as Thomson Reuters won the 2023 Working Well Organization of the Year award from Headspace.</w:t>
      </w:r>
    </w:p>
    <w:p>
      <w:pPr>
        <w:spacing w:after="0" w:line="75"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Our health and wellbeing offerings continue to evolve locally and globally giving employees access to physical, financial, and social resources, inclusive of learning opportunities, financial and legal counseling, resource guides, individual counseling and coaching, connection and networking experiences. Thomson Reuters also has a global employee recognition platform that allows teammates to express appreciation and gratitude and to recognize each other and celebrate career milestones. We remain committed to creating a healthy, safe and supportive workplace with campaigns focused on spotlighting personal wellbeing resources and healthy workplace practices within our environment, building awareness to internal and external resources of support, promoting employee connection with personal story telling through our internal community channels such as organized chats and blog posts, involvement in business resource groups and creating brave spaces where people can come together to support each other through crisis and events that are impacting our colleagues.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117475</wp:posOffset>
            </wp:positionV>
            <wp:extent cx="6929755" cy="33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56 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Community and Social Impact</w:t>
      </w:r>
    </w:p>
    <w:p>
      <w:pPr>
        <w:spacing w:after="0" w:line="28" w:lineRule="exact"/>
        <w:rPr>
          <w:sz w:val="20"/>
          <w:szCs w:val="20"/>
          <w:color w:val="auto"/>
        </w:rPr>
      </w:pPr>
    </w:p>
    <w:p>
      <w:pPr>
        <w:ind w:left="160" w:right="640"/>
        <w:spacing w:after="0" w:line="249" w:lineRule="auto"/>
        <w:rPr>
          <w:sz w:val="20"/>
          <w:szCs w:val="20"/>
          <w:color w:val="auto"/>
        </w:rPr>
      </w:pPr>
      <w:r>
        <w:rPr>
          <w:rFonts w:ascii="Arial" w:cs="Arial" w:eastAsia="Arial" w:hAnsi="Arial"/>
          <w:sz w:val="18"/>
          <w:szCs w:val="18"/>
          <w:color w:val="auto"/>
        </w:rPr>
        <w:t>At Thomson Reuters, we have a shared responsibility to do business in ways that respect, protect and benefit our customers, our employees, our communities and our environment. To support this corporate value, we encourage employee volunteerism, provide financial and in-kind donations and offer corporate matches for employee donations.</w:t>
      </w:r>
    </w:p>
    <w:p>
      <w:pPr>
        <w:spacing w:after="0" w:line="65"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Thomson Reuters annually provides 16 hours of paid volunteer time off (VTO) to every employee and provides an additional 20 hours of paid VTO to a subset of employees with law degrees to provide legal pro bono aid to nonprofit organizations. In 2023, our employees logged over 60,000 volunteer hours. Thomson Reuters employees have personal and professional skills that can help our communities address critical needs which, in turn, increases their knowledge about important social issues and develops a variety of relevant organizational skills. In addition to legal pro bono aid, we offer non-legal pro bono and skills-based volunteering opportunities including our IMPACTathon program and Pro Bono Projects program. In 2023, Thomson Reuters employees provided over 7,600 hours in total pro bono support to nonprofit organizations around the world. We also offer a corporate matching gifts program and a payroll giving option for employee donations. In 2023, donations from our employees together with corporate matches totaled approximately US$1.2 million to over 700 nonprofits in 21 different countries.</w:t>
      </w:r>
    </w:p>
    <w:p>
      <w:pPr>
        <w:spacing w:after="0" w:line="73" w:lineRule="exact"/>
        <w:rPr>
          <w:sz w:val="20"/>
          <w:szCs w:val="20"/>
          <w:color w:val="auto"/>
        </w:rPr>
      </w:pPr>
    </w:p>
    <w:p>
      <w:pPr>
        <w:jc w:val="both"/>
        <w:ind w:left="160" w:right="180"/>
        <w:spacing w:after="0" w:line="249" w:lineRule="auto"/>
        <w:rPr>
          <w:sz w:val="20"/>
          <w:szCs w:val="20"/>
          <w:color w:val="auto"/>
        </w:rPr>
      </w:pPr>
      <w:r>
        <w:rPr>
          <w:rFonts w:ascii="Arial" w:cs="Arial" w:eastAsia="Arial" w:hAnsi="Arial"/>
          <w:sz w:val="18"/>
          <w:szCs w:val="18"/>
          <w:color w:val="auto"/>
        </w:rPr>
        <w:t>Finally, we provide some of our products and services free of charge to various not-for-profit organizations to support their initiatives. For example, Thomson Reuters has provided access to our CLEAR product to the National Center for Missing and Exploited Children since 2010. We also provide our Westlaw, Practical Law and HighQ products to various not-for-profit organizations.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The Thomson Reuters Foundation</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Thomson Reuters Foundation works to protect media freedom, foster more inclusive economies and advance human rights issues.</w:t>
      </w:r>
    </w:p>
    <w:p>
      <w:pPr>
        <w:spacing w:after="0" w:line="101" w:lineRule="exact"/>
        <w:rPr>
          <w:sz w:val="20"/>
          <w:szCs w:val="20"/>
          <w:color w:val="auto"/>
        </w:rPr>
      </w:pPr>
    </w:p>
    <w:p>
      <w:pPr>
        <w:ind w:left="160"/>
        <w:spacing w:after="0" w:line="258" w:lineRule="auto"/>
        <w:rPr>
          <w:sz w:val="20"/>
          <w:szCs w:val="20"/>
          <w:color w:val="auto"/>
        </w:rPr>
      </w:pPr>
      <w:r>
        <w:rPr>
          <w:rFonts w:ascii="Arial" w:cs="Arial" w:eastAsia="Arial" w:hAnsi="Arial"/>
          <w:sz w:val="17"/>
          <w:szCs w:val="17"/>
          <w:color w:val="auto"/>
        </w:rPr>
        <w:t>The Foundation combines its unique media, legal and data expertise to foster free, fair and informed societies. It supports independent journalism through a mixture of training, sustainability and legal initiatives, drives responsible business practices through data -led research and convenings, and facilitates access to the law via the world’s largest pro bono legal network. It also hosts opportunities for cross-sector collaboration, which include its flagship annual event, Trust Conference. The Foundation’s digital news platform, Context, provides news and critical analysis that help purpose-driven professionals understand the impact of major events on people, society and the environment.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Additional information on the Foundation can be found at </w:t>
      </w:r>
      <w:r>
        <w:rPr>
          <w:rFonts w:ascii="Arial" w:cs="Arial" w:eastAsia="Arial" w:hAnsi="Arial"/>
          <w:sz w:val="18"/>
          <w:szCs w:val="18"/>
          <w:b w:val="1"/>
          <w:bCs w:val="1"/>
          <w:color w:val="335367"/>
        </w:rPr>
        <w:t>www.trust.org</w:t>
      </w:r>
      <w:r>
        <w:rPr>
          <w:rFonts w:ascii="Arial" w:cs="Arial" w:eastAsia="Arial" w:hAnsi="Arial"/>
          <w:sz w:val="18"/>
          <w:szCs w:val="18"/>
          <w:color w:val="auto"/>
        </w:rPr>
        <w:t>.</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Governance Practices</w:t>
      </w:r>
    </w:p>
    <w:p>
      <w:pPr>
        <w:spacing w:after="0" w:line="28"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Our Board and its committees oversee ESG initiatives, as discussed in the “Corporate Governance Practices” section of this circular. The Corporate Governance Committee of the Board of Directors evaluates our ESG strategy and progress and is updated on a quarterly basis by our management. We remain committed to our values and ethics through our governance practices, which include our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336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57</w:t>
      </w:r>
    </w:p>
    <w:p>
      <w:pPr>
        <w:sectPr>
          <w:pgSz w:w="11900" w:h="16838" w:orient="portrait"/>
          <w:cols w:equalWidth="0" w:num="1">
            <w:col w:w="11080"/>
          </w:cols>
          <w:pgMar w:left="320" w:top="454"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right="900"/>
        <w:spacing w:after="0" w:line="275" w:lineRule="auto"/>
        <w:rPr>
          <w:sz w:val="20"/>
          <w:szCs w:val="20"/>
          <w:color w:val="auto"/>
        </w:rPr>
      </w:pPr>
      <w:r>
        <w:rPr>
          <w:rFonts w:ascii="Arial" w:cs="Arial" w:eastAsia="Arial" w:hAnsi="Arial"/>
          <w:sz w:val="46"/>
          <w:szCs w:val="46"/>
          <w:color w:val="B94831"/>
        </w:rPr>
        <w:t>Advisory Resolution on Executive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255905</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Arial" w:cs="Arial" w:eastAsia="Arial" w:hAnsi="Arial"/>
          <w:sz w:val="27"/>
          <w:szCs w:val="27"/>
          <w:color w:val="B94831"/>
        </w:rPr>
        <w:t>HIGHLIGHTS</w:t>
      </w:r>
    </w:p>
    <w:p>
      <w:pPr>
        <w:spacing w:after="0" w:line="117" w:lineRule="exact"/>
        <w:rPr>
          <w:sz w:val="20"/>
          <w:szCs w:val="20"/>
          <w:color w:val="auto"/>
        </w:rPr>
      </w:pPr>
    </w:p>
    <w:p>
      <w:pPr>
        <w:ind w:left="480" w:right="520" w:hanging="313"/>
        <w:spacing w:after="0" w:line="270" w:lineRule="auto"/>
        <w:tabs>
          <w:tab w:leader="none" w:pos="480" w:val="left"/>
        </w:tabs>
        <w:numPr>
          <w:ilvl w:val="0"/>
          <w:numId w:val="27"/>
        </w:numPr>
        <w:rPr>
          <w:rFonts w:ascii="Times New Roman" w:cs="Times New Roman" w:eastAsia="Times New Roman" w:hAnsi="Times New Roman"/>
          <w:sz w:val="27"/>
          <w:szCs w:val="27"/>
          <w:color w:val="B94831"/>
        </w:rPr>
      </w:pPr>
      <w:r>
        <w:rPr>
          <w:rFonts w:ascii="Arial" w:cs="Arial" w:eastAsia="Arial" w:hAnsi="Arial"/>
          <w:sz w:val="27"/>
          <w:szCs w:val="27"/>
          <w:color w:val="auto"/>
        </w:rPr>
        <w:t>We are proposing a non-binding advisory “say on pay” resolution related to executive compensation.</w:t>
      </w:r>
    </w:p>
    <w:p>
      <w:pPr>
        <w:spacing w:after="0" w:line="35" w:lineRule="exact"/>
        <w:rPr>
          <w:rFonts w:ascii="Times New Roman" w:cs="Times New Roman" w:eastAsia="Times New Roman" w:hAnsi="Times New Roman"/>
          <w:sz w:val="27"/>
          <w:szCs w:val="27"/>
          <w:color w:val="B94831"/>
        </w:rPr>
      </w:pPr>
    </w:p>
    <w:p>
      <w:pPr>
        <w:ind w:left="480" w:right="480" w:hanging="313"/>
        <w:spacing w:after="0" w:line="270" w:lineRule="auto"/>
        <w:tabs>
          <w:tab w:leader="none" w:pos="480" w:val="left"/>
        </w:tabs>
        <w:numPr>
          <w:ilvl w:val="0"/>
          <w:numId w:val="27"/>
        </w:numPr>
        <w:rPr>
          <w:rFonts w:ascii="Times New Roman" w:cs="Times New Roman" w:eastAsia="Times New Roman" w:hAnsi="Times New Roman"/>
          <w:sz w:val="27"/>
          <w:szCs w:val="27"/>
          <w:color w:val="B94831"/>
        </w:rPr>
      </w:pPr>
      <w:r>
        <w:rPr>
          <w:rFonts w:ascii="Arial" w:cs="Arial" w:eastAsia="Arial" w:hAnsi="Arial"/>
          <w:sz w:val="27"/>
          <w:szCs w:val="27"/>
          <w:color w:val="auto"/>
        </w:rPr>
        <w:t>This is a recommended best practice of the Canadian Coalition for Good Governance (CCGG).</w:t>
      </w:r>
    </w:p>
    <w:p>
      <w:pPr>
        <w:spacing w:after="0" w:line="35" w:lineRule="exact"/>
        <w:rPr>
          <w:rFonts w:ascii="Times New Roman" w:cs="Times New Roman" w:eastAsia="Times New Roman" w:hAnsi="Times New Roman"/>
          <w:sz w:val="27"/>
          <w:szCs w:val="27"/>
          <w:color w:val="B94831"/>
        </w:rPr>
      </w:pPr>
    </w:p>
    <w:p>
      <w:pPr>
        <w:ind w:left="480" w:hanging="313"/>
        <w:spacing w:after="0"/>
        <w:tabs>
          <w:tab w:leader="none" w:pos="480" w:val="left"/>
        </w:tabs>
        <w:numPr>
          <w:ilvl w:val="0"/>
          <w:numId w:val="27"/>
        </w:numPr>
        <w:rPr>
          <w:rFonts w:ascii="Times New Roman" w:cs="Times New Roman" w:eastAsia="Times New Roman" w:hAnsi="Times New Roman"/>
          <w:sz w:val="27"/>
          <w:szCs w:val="27"/>
          <w:color w:val="B94831"/>
        </w:rPr>
      </w:pPr>
      <w:r>
        <w:rPr>
          <w:rFonts w:ascii="Arial" w:cs="Arial" w:eastAsia="Arial" w:hAnsi="Arial"/>
          <w:sz w:val="27"/>
          <w:szCs w:val="27"/>
          <w:color w:val="auto"/>
        </w:rPr>
        <w:t>We plan to continue holding this advisory vote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184785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2"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Our overall philosophy regarding executive compensation is to pay for performance. We believe this drives our management team to achieve higher levels of results for the benefit of Thomson Reuters and our shareholders. In the “Compensation Discussion and Analysis” section of this circular, we explain our compensation principles, how we design our compensation program and why we pay each component of compensation.</w:t>
      </w:r>
    </w:p>
    <w:p>
      <w:pPr>
        <w:spacing w:after="0" w:line="7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As part of our dialogue with shareholders about our executive compensation programs, we are once again proposing a “say on pay” advisory resolution for this year’s meeting (as we have done since 2008). An identical resolution was approved by approximately 97% of the votes cast at last year’s annual meeting of shareholders. Over the last five years, an average of approximately 97% of votes have been cast “for” our “say on pay” advisory resolutions.</w:t>
      </w:r>
    </w:p>
    <w:p>
      <w:pPr>
        <w:spacing w:after="0" w:line="7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As this is an advisory resolution, the results will not be binding upon the Board. However, the Board will take voting results into account, as appropriate, when considering future compensation policies, procedures and decisions and in determining whether there is a need to significantly increase its engagement with shareholders on compensation-related matters.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will disclose the results of the shareholder advisory resolution as part of our report on voting results for the meeting.</w:t>
      </w:r>
    </w:p>
    <w:p>
      <w:pPr>
        <w:spacing w:after="0" w:line="101"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Our “named executive officers” for purposes of the “Compensation Discussion and Analysis” section of this circular are our CEO (Steve Hasker), our CFO (Mike Eastwood) and the three other most highly compensated executive officers as of December 31, 2023 (Laura Clayton McDonnell – President, Corporates, Kirsty Roth – Chief Operations and Technology Officer; and Paul Bascobert – President, Reuters News.)</w:t>
      </w:r>
    </w:p>
    <w:p>
      <w:pPr>
        <w:spacing w:after="0" w:line="71" w:lineRule="exact"/>
        <w:rPr>
          <w:sz w:val="20"/>
          <w:szCs w:val="20"/>
          <w:color w:val="auto"/>
        </w:rPr>
      </w:pPr>
    </w:p>
    <w:p>
      <w:pPr>
        <w:ind w:left="160" w:right="60"/>
        <w:spacing w:after="0" w:line="277" w:lineRule="auto"/>
        <w:rPr>
          <w:sz w:val="20"/>
          <w:szCs w:val="20"/>
          <w:color w:val="auto"/>
        </w:rPr>
      </w:pPr>
      <w:r>
        <w:rPr>
          <w:rFonts w:ascii="Arial" w:cs="Arial" w:eastAsia="Arial" w:hAnsi="Arial"/>
          <w:sz w:val="18"/>
          <w:szCs w:val="18"/>
          <w:color w:val="auto"/>
        </w:rPr>
        <w:t xml:space="preserve">Shareholders with questions about our compensation programs are encouraged to contact our Investor Relations department by e-mail at </w:t>
      </w:r>
      <w:r>
        <w:rPr>
          <w:rFonts w:ascii="Arial" w:cs="Arial" w:eastAsia="Arial" w:hAnsi="Arial"/>
          <w:sz w:val="18"/>
          <w:szCs w:val="18"/>
          <w:b w:val="1"/>
          <w:bCs w:val="1"/>
          <w:color w:val="335367"/>
        </w:rPr>
        <w:t xml:space="preserve">investor.relations@thomsonreuters.com </w:t>
      </w:r>
      <w:r>
        <w:rPr>
          <w:rFonts w:ascii="Arial" w:cs="Arial" w:eastAsia="Arial" w:hAnsi="Arial"/>
          <w:sz w:val="18"/>
          <w:szCs w:val="18"/>
          <w:color w:val="000000"/>
        </w:rPr>
        <w:t>or by phone at 1.332.219.1046.</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Board unanimously recommends that you vote FOR the following resolution:</w:t>
      </w:r>
    </w:p>
    <w:p>
      <w:pPr>
        <w:spacing w:after="0" w:line="10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“RESOLVED, on an advisory basis, and not to diminish the role and responsibilities of the Board of Directors, that the shareholders accept the approach to executive compensation as described in the 2024 management proxy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58   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358775</wp:posOffset>
            </wp:positionV>
            <wp:extent cx="692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Table of Contents</w:t>
      </w:r>
    </w:p>
    <w:p>
      <w:pPr>
        <w:spacing w:after="0" w:line="26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0000EE"/>
              </w:rPr>
              <w:t>Executive Summary</w:t>
            </w:r>
          </w:p>
        </w:tc>
        <w:tc>
          <w:tcPr>
            <w:tcW w:w="9160" w:type="dxa"/>
            <w:vAlign w:val="bottom"/>
            <w:gridSpan w:val="21"/>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45"/>
        </w:trPr>
        <w:tc>
          <w:tcPr>
            <w:tcW w:w="1380" w:type="dxa"/>
            <w:vAlign w:val="bottom"/>
            <w:tcBorders>
              <w:bottom w:val="single" w:sz="8" w:color="0000EE"/>
            </w:tcBorders>
            <w:gridSpan w:val="4"/>
            <w:vMerge w:val="continue"/>
          </w:tcPr>
          <w:p>
            <w:pPr>
              <w:spacing w:after="0"/>
              <w:rPr>
                <w:sz w:val="12"/>
                <w:szCs w:val="12"/>
                <w:color w:val="auto"/>
              </w:rPr>
            </w:pPr>
          </w:p>
        </w:tc>
        <w:tc>
          <w:tcPr>
            <w:tcW w:w="9160" w:type="dxa"/>
            <w:vAlign w:val="bottom"/>
            <w:gridSpan w:val="21"/>
            <w:vMerge w:val="continue"/>
          </w:tcPr>
          <w:p>
            <w:pPr>
              <w:spacing w:after="0"/>
              <w:rPr>
                <w:sz w:val="12"/>
                <w:szCs w:val="12"/>
                <w:color w:val="auto"/>
              </w:rPr>
            </w:pPr>
          </w:p>
        </w:tc>
        <w:tc>
          <w:tcPr>
            <w:tcW w:w="340" w:type="dxa"/>
            <w:vAlign w:val="bottom"/>
          </w:tcPr>
          <w:p>
            <w:pPr>
              <w:jc w:val="right"/>
              <w:spacing w:after="0" w:line="127"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b w:val="1"/>
                <w:bCs w:val="1"/>
                <w:color w:val="0000EE"/>
              </w:rPr>
              <w:t>Key 2024 Compensation Developments and Decisions</w:t>
            </w:r>
          </w:p>
        </w:tc>
        <w:tc>
          <w:tcPr>
            <w:tcW w:w="6860" w:type="dxa"/>
            <w:vAlign w:val="bottom"/>
            <w:gridSpan w:val="8"/>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1"/>
        </w:trPr>
        <w:tc>
          <w:tcPr>
            <w:tcW w:w="22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Our 2023 Compensation Program</w:t>
            </w:r>
          </w:p>
        </w:tc>
        <w:tc>
          <w:tcPr>
            <w:tcW w:w="8260" w:type="dxa"/>
            <w:vAlign w:val="bottom"/>
            <w:gridSpan w:val="13"/>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1"/>
        </w:trPr>
        <w:tc>
          <w:tcPr>
            <w:tcW w:w="472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b w:val="1"/>
                <w:bCs w:val="1"/>
                <w:color w:val="0000EE"/>
              </w:rPr>
              <w:t>Our Process for Designing and Determining Executive Compensation</w:t>
            </w:r>
          </w:p>
        </w:tc>
        <w:tc>
          <w:tcPr>
            <w:tcW w:w="5820" w:type="dxa"/>
            <w:vAlign w:val="bottom"/>
            <w:gridSpan w:val="6"/>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1"/>
        </w:trPr>
        <w:tc>
          <w:tcPr>
            <w:tcW w:w="232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b w:val="1"/>
                <w:bCs w:val="1"/>
                <w:color w:val="0000EE"/>
              </w:rPr>
              <w:t>Our Key Compensation Principles</w:t>
            </w:r>
          </w:p>
        </w:tc>
        <w:tc>
          <w:tcPr>
            <w:tcW w:w="8220" w:type="dxa"/>
            <w:vAlign w:val="bottom"/>
            <w:gridSpan w:val="12"/>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492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i w:val="1"/>
                <w:iCs w:val="1"/>
                <w:color w:val="0000EE"/>
              </w:rPr>
              <w:t>Pay for performance is the foundation of our executive compensation program</w:t>
            </w:r>
          </w:p>
        </w:tc>
        <w:tc>
          <w:tcPr>
            <w:tcW w:w="5320" w:type="dxa"/>
            <w:vAlign w:val="bottom"/>
            <w:gridSpan w:val="4"/>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632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i w:val="1"/>
                <w:iCs w:val="1"/>
                <w:color w:val="0000EE"/>
              </w:rPr>
              <w:t>Incentive performance goals are linked to key measures of our company’s performance and strategy</w:t>
            </w:r>
          </w:p>
        </w:tc>
        <w:tc>
          <w:tcPr>
            <w:tcW w:w="3920" w:type="dxa"/>
            <w:vAlign w:val="bottom"/>
            <w:gridSpan w:val="3"/>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708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i w:val="1"/>
                <w:iCs w:val="1"/>
                <w:color w:val="0000EE"/>
              </w:rPr>
              <w:t>Our executives should accumulate and retain equity in our company to align their interests with our shareholders</w:t>
            </w:r>
          </w:p>
        </w:tc>
        <w:tc>
          <w:tcPr>
            <w:tcW w:w="3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32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i w:val="1"/>
                <w:iCs w:val="1"/>
                <w:color w:val="0000EE"/>
              </w:rPr>
              <w:t>We provide competitive compensation opportunities</w:t>
            </w:r>
          </w:p>
        </w:tc>
        <w:tc>
          <w:tcPr>
            <w:tcW w:w="6980" w:type="dxa"/>
            <w:vAlign w:val="bottom"/>
            <w:gridSpan w:val="9"/>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240" w:type="dxa"/>
            <w:vAlign w:val="bottom"/>
            <w:gridSpan w:val="24"/>
          </w:tcPr>
          <w:p>
            <w:pPr>
              <w:spacing w:after="0"/>
              <w:rPr>
                <w:sz w:val="20"/>
                <w:szCs w:val="20"/>
                <w:color w:val="auto"/>
              </w:rPr>
            </w:pPr>
            <w:r>
              <w:rPr>
                <w:rFonts w:ascii="Arial" w:cs="Arial" w:eastAsia="Arial" w:hAnsi="Arial"/>
                <w:sz w:val="14"/>
                <w:szCs w:val="14"/>
                <w:i w:val="1"/>
                <w:iCs w:val="1"/>
                <w:color w:val="0000EE"/>
              </w:rPr>
              <w:t>Our compensation programs take risk into account and do not encourage unnecessary or excessive risk taking</w:t>
            </w:r>
          </w:p>
        </w:tc>
        <w:tc>
          <w:tcPr>
            <w:tcW w:w="3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3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b w:val="1"/>
                <w:bCs w:val="1"/>
                <w:color w:val="0000EE"/>
              </w:rPr>
              <w:t>2023 Compensation</w:t>
            </w:r>
          </w:p>
        </w:tc>
        <w:tc>
          <w:tcPr>
            <w:tcW w:w="9180" w:type="dxa"/>
            <w:vAlign w:val="bottom"/>
            <w:gridSpan w:val="22"/>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74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8"/>
              </w:rPr>
              <w:t>Base salary</w:t>
            </w:r>
          </w:p>
        </w:tc>
        <w:tc>
          <w:tcPr>
            <w:tcW w:w="9500" w:type="dxa"/>
            <w:vAlign w:val="bottom"/>
            <w:gridSpan w:val="23"/>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5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i w:val="1"/>
                <w:iCs w:val="1"/>
                <w:color w:val="0000EE"/>
              </w:rPr>
              <w:t>Annual incentive awards</w:t>
            </w:r>
          </w:p>
        </w:tc>
        <w:tc>
          <w:tcPr>
            <w:tcW w:w="8700" w:type="dxa"/>
            <w:vAlign w:val="bottom"/>
            <w:gridSpan w:val="16"/>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240" w:type="dxa"/>
            <w:vAlign w:val="bottom"/>
            <w:gridSpan w:val="24"/>
          </w:tcPr>
          <w:p>
            <w:pPr>
              <w:spacing w:after="0"/>
              <w:rPr>
                <w:sz w:val="20"/>
                <w:szCs w:val="20"/>
                <w:color w:val="auto"/>
              </w:rPr>
            </w:pPr>
            <w:r>
              <w:rPr>
                <w:rFonts w:ascii="Arial" w:cs="Arial" w:eastAsia="Arial" w:hAnsi="Arial"/>
                <w:sz w:val="14"/>
                <w:szCs w:val="14"/>
                <w:i w:val="1"/>
                <w:iCs w:val="1"/>
                <w:color w:val="0000EE"/>
              </w:rPr>
              <w:t>Long-term incentive awards</w:t>
            </w:r>
          </w:p>
        </w:tc>
        <w:tc>
          <w:tcPr>
            <w:tcW w:w="3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b w:val="1"/>
                <w:bCs w:val="1"/>
                <w:color w:val="0000EE"/>
              </w:rPr>
              <w:t>2023 Named Executive Officer Compensation and Key Accomplishments</w:t>
            </w:r>
          </w:p>
        </w:tc>
        <w:tc>
          <w:tcPr>
            <w:tcW w:w="5600" w:type="dxa"/>
            <w:vAlign w:val="bottom"/>
            <w:gridSpan w:val="5"/>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1"/>
        </w:trPr>
        <w:tc>
          <w:tcPr>
            <w:tcW w:w="10540" w:type="dxa"/>
            <w:vAlign w:val="bottom"/>
            <w:gridSpan w:val="25"/>
          </w:tcPr>
          <w:p>
            <w:pPr>
              <w:spacing w:after="0"/>
              <w:rPr>
                <w:sz w:val="20"/>
                <w:szCs w:val="20"/>
                <w:color w:val="auto"/>
              </w:rPr>
            </w:pPr>
            <w:r>
              <w:rPr>
                <w:rFonts w:ascii="Arial" w:cs="Arial" w:eastAsia="Arial" w:hAnsi="Arial"/>
                <w:sz w:val="14"/>
                <w:szCs w:val="14"/>
                <w:b w:val="1"/>
                <w:bCs w:val="1"/>
                <w:color w:val="0000EE"/>
              </w:rPr>
              <w:t>Additional Information</w:t>
            </w: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18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i w:val="1"/>
                <w:iCs w:val="1"/>
                <w:color w:val="0000EE"/>
              </w:rPr>
              <w:t>Retirement and other benefits</w:t>
            </w:r>
          </w:p>
        </w:tc>
        <w:tc>
          <w:tcPr>
            <w:tcW w:w="8360" w:type="dxa"/>
            <w:vAlign w:val="bottom"/>
            <w:gridSpan w:val="14"/>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240" w:type="dxa"/>
            <w:vAlign w:val="bottom"/>
            <w:gridSpan w:val="24"/>
          </w:tcPr>
          <w:p>
            <w:pPr>
              <w:spacing w:after="0"/>
              <w:rPr>
                <w:sz w:val="20"/>
                <w:szCs w:val="20"/>
                <w:color w:val="auto"/>
              </w:rPr>
            </w:pPr>
            <w:r>
              <w:rPr>
                <w:rFonts w:ascii="Arial" w:cs="Arial" w:eastAsia="Arial" w:hAnsi="Arial"/>
                <w:sz w:val="14"/>
                <w:szCs w:val="14"/>
                <w:i w:val="1"/>
                <w:iCs w:val="1"/>
                <w:color w:val="0000EE"/>
              </w:rPr>
              <w:t>Perquisites and other personal benefits</w:t>
            </w: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i w:val="1"/>
                <w:iCs w:val="1"/>
                <w:color w:val="0000EE"/>
                <w:w w:val="99"/>
              </w:rPr>
              <w:t>Insurance policies</w:t>
            </w:r>
          </w:p>
        </w:tc>
        <w:tc>
          <w:tcPr>
            <w:tcW w:w="1320" w:type="dxa"/>
            <w:vAlign w:val="bottom"/>
            <w:tcBorders>
              <w:top w:val="single" w:sz="8" w:color="0000EE"/>
            </w:tcBorders>
            <w:gridSpan w:val="8"/>
          </w:tcPr>
          <w:p>
            <w:pPr>
              <w:spacing w:after="0"/>
              <w:rPr>
                <w:sz w:val="15"/>
                <w:szCs w:val="15"/>
                <w:color w:val="auto"/>
              </w:rPr>
            </w:pPr>
          </w:p>
        </w:tc>
        <w:tc>
          <w:tcPr>
            <w:tcW w:w="7780" w:type="dxa"/>
            <w:vAlign w:val="bottom"/>
            <w:gridSpan w:val="11"/>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2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i w:val="1"/>
                <w:iCs w:val="1"/>
                <w:color w:val="0000EE"/>
                <w:w w:val="99"/>
              </w:rPr>
              <w:t>Termination benefits</w:t>
            </w:r>
          </w:p>
        </w:tc>
        <w:tc>
          <w:tcPr>
            <w:tcW w:w="8960" w:type="dxa"/>
            <w:vAlign w:val="bottom"/>
            <w:gridSpan w:val="17"/>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22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i w:val="1"/>
                <w:iCs w:val="1"/>
                <w:color w:val="0000EE"/>
              </w:rPr>
              <w:t>Equity grant policy</w:t>
            </w:r>
          </w:p>
        </w:tc>
        <w:tc>
          <w:tcPr>
            <w:tcW w:w="9020" w:type="dxa"/>
            <w:vAlign w:val="bottom"/>
            <w:gridSpan w:val="18"/>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240" w:type="dxa"/>
            <w:vAlign w:val="bottom"/>
            <w:gridSpan w:val="24"/>
          </w:tcPr>
          <w:p>
            <w:pPr>
              <w:spacing w:after="0"/>
              <w:rPr>
                <w:sz w:val="20"/>
                <w:szCs w:val="20"/>
                <w:color w:val="auto"/>
              </w:rPr>
            </w:pPr>
            <w:r>
              <w:rPr>
                <w:rFonts w:ascii="Arial" w:cs="Arial" w:eastAsia="Arial" w:hAnsi="Arial"/>
                <w:sz w:val="14"/>
                <w:szCs w:val="14"/>
                <w:i w:val="1"/>
                <w:iCs w:val="1"/>
                <w:color w:val="0000EE"/>
              </w:rPr>
              <w:t>Clawback policies</w:t>
            </w:r>
          </w:p>
        </w:tc>
        <w:tc>
          <w:tcPr>
            <w:tcW w:w="34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10240" w:type="dxa"/>
            <w:vAlign w:val="bottom"/>
            <w:gridSpan w:val="24"/>
          </w:tcPr>
          <w:p>
            <w:pPr>
              <w:spacing w:after="0"/>
              <w:rPr>
                <w:sz w:val="20"/>
                <w:szCs w:val="20"/>
                <w:color w:val="auto"/>
              </w:rPr>
            </w:pPr>
            <w:r>
              <w:rPr>
                <w:rFonts w:ascii="Arial" w:cs="Arial" w:eastAsia="Arial" w:hAnsi="Arial"/>
                <w:sz w:val="14"/>
                <w:szCs w:val="14"/>
                <w:i w:val="1"/>
                <w:iCs w:val="1"/>
                <w:color w:val="0000EE"/>
              </w:rPr>
              <w:t>Insider trading policies/pledging and hedging restrictions</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3540" w:type="dxa"/>
            <w:vAlign w:val="bottom"/>
            <w:tcBorders>
              <w:top w:val="single" w:sz="8" w:color="0000EE"/>
            </w:tcBorders>
            <w:gridSpan w:val="17"/>
          </w:tcPr>
          <w:p>
            <w:pPr>
              <w:spacing w:after="0"/>
              <w:rPr>
                <w:sz w:val="20"/>
                <w:szCs w:val="20"/>
                <w:color w:val="auto"/>
              </w:rPr>
            </w:pPr>
            <w:r>
              <w:rPr>
                <w:rFonts w:ascii="Arial" w:cs="Arial" w:eastAsia="Arial" w:hAnsi="Arial"/>
                <w:sz w:val="14"/>
                <w:szCs w:val="14"/>
                <w:i w:val="1"/>
                <w:iCs w:val="1"/>
                <w:color w:val="0000EE"/>
              </w:rPr>
              <w:t>Performance graphs</w:t>
            </w:r>
          </w:p>
        </w:tc>
        <w:tc>
          <w:tcPr>
            <w:tcW w:w="6700" w:type="dxa"/>
            <w:vAlign w:val="bottom"/>
            <w:gridSpan w:val="7"/>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294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i w:val="1"/>
                <w:iCs w:val="1"/>
                <w:color w:val="0000EE"/>
              </w:rPr>
              <w:t>Historic named executive officer compensation</w:t>
            </w:r>
          </w:p>
        </w:tc>
        <w:tc>
          <w:tcPr>
            <w:tcW w:w="7300" w:type="dxa"/>
            <w:vAlign w:val="bottom"/>
            <w:gridSpan w:val="10"/>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Executive Summary</w:t>
      </w:r>
    </w:p>
    <w:p>
      <w:pPr>
        <w:spacing w:after="0" w:line="59" w:lineRule="exact"/>
        <w:rPr>
          <w:sz w:val="20"/>
          <w:szCs w:val="20"/>
          <w:color w:val="auto"/>
        </w:rPr>
      </w:pPr>
    </w:p>
    <w:p>
      <w:pPr>
        <w:ind w:left="160" w:right="60"/>
        <w:spacing w:after="0" w:line="255" w:lineRule="auto"/>
        <w:rPr>
          <w:sz w:val="20"/>
          <w:szCs w:val="20"/>
          <w:color w:val="auto"/>
        </w:rPr>
      </w:pPr>
      <w:r>
        <w:rPr>
          <w:rFonts w:ascii="Arial" w:cs="Arial" w:eastAsia="Arial" w:hAnsi="Arial"/>
          <w:sz w:val="16"/>
          <w:szCs w:val="16"/>
          <w:i w:val="1"/>
          <w:iCs w:val="1"/>
          <w:color w:val="auto"/>
        </w:rPr>
        <w:t>“Pay for performance” is the foundation of our compensation philosophy for our named executive officers. Their compensation is primarily variable and performance-based, utilizing multiple and complementary financial measures that are aligned with our strategy to drive shareholder value. This section explains our compensation principles, how we design our compensation program, why we pay each component of compensation, how we performed and what we paid to our named executive officers in 2023. Our named executive officers for 2023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139700</wp:posOffset>
            </wp:positionV>
            <wp:extent cx="6615430" cy="10102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15430"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18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auto"/>
                <w:w w:val="99"/>
              </w:rPr>
              <w:t>Steve Hasker</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Mike Eastwood</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9"/>
              </w:rPr>
              <w:t>Laura Clayton McDonnell</w:t>
            </w:r>
          </w:p>
        </w:tc>
        <w:tc>
          <w:tcPr>
            <w:tcW w:w="2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Kirsty Roth</w:t>
            </w:r>
          </w:p>
        </w:tc>
        <w:tc>
          <w:tcPr>
            <w:tcW w:w="2180" w:type="dxa"/>
            <w:vAlign w:val="bottom"/>
          </w:tcPr>
          <w:p>
            <w:pPr>
              <w:jc w:val="center"/>
              <w:ind w:left="160"/>
              <w:spacing w:after="0"/>
              <w:rPr>
                <w:sz w:val="20"/>
                <w:szCs w:val="20"/>
                <w:color w:val="auto"/>
              </w:rPr>
            </w:pPr>
            <w:r>
              <w:rPr>
                <w:rFonts w:ascii="Arial" w:cs="Arial" w:eastAsia="Arial" w:hAnsi="Arial"/>
                <w:sz w:val="16"/>
                <w:szCs w:val="16"/>
                <w:b w:val="1"/>
                <w:bCs w:val="1"/>
                <w:color w:val="auto"/>
              </w:rPr>
              <w:t xml:space="preserve">Paul Bascobert </w:t>
            </w: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67"/>
        </w:trPr>
        <w:tc>
          <w:tcPr>
            <w:tcW w:w="2180" w:type="dxa"/>
            <w:vAlign w:val="bottom"/>
            <w:vMerge w:val="continue"/>
          </w:tcPr>
          <w:p>
            <w:pPr>
              <w:spacing w:after="0"/>
              <w:rPr>
                <w:sz w:val="5"/>
                <w:szCs w:val="5"/>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rPr>
              <w:t>Chief Financial Officer</w:t>
            </w:r>
          </w:p>
        </w:tc>
        <w:tc>
          <w:tcPr>
            <w:tcW w:w="2460" w:type="dxa"/>
            <w:vAlign w:val="bottom"/>
            <w:vMerge w:val="restart"/>
          </w:tcPr>
          <w:p>
            <w:pPr>
              <w:jc w:val="center"/>
              <w:spacing w:after="0"/>
              <w:rPr>
                <w:sz w:val="20"/>
                <w:szCs w:val="20"/>
                <w:color w:val="auto"/>
              </w:rPr>
            </w:pPr>
            <w:r>
              <w:rPr>
                <w:rFonts w:ascii="Arial" w:cs="Arial" w:eastAsia="Arial" w:hAnsi="Arial"/>
                <w:sz w:val="16"/>
                <w:szCs w:val="16"/>
                <w:color w:val="auto"/>
              </w:rPr>
              <w:t>President, Corporates</w:t>
            </w:r>
          </w:p>
        </w:tc>
        <w:tc>
          <w:tcPr>
            <w:tcW w:w="2020" w:type="dxa"/>
            <w:vAlign w:val="bottom"/>
            <w:vMerge w:val="continue"/>
          </w:tcPr>
          <w:p>
            <w:pPr>
              <w:spacing w:after="0"/>
              <w:rPr>
                <w:sz w:val="5"/>
                <w:szCs w:val="5"/>
                <w:color w:val="auto"/>
              </w:rPr>
            </w:pPr>
          </w:p>
        </w:tc>
        <w:tc>
          <w:tcPr>
            <w:tcW w:w="2180" w:type="dxa"/>
            <w:vAlign w:val="bottom"/>
            <w:vMerge w:val="restart"/>
          </w:tcPr>
          <w:p>
            <w:pPr>
              <w:jc w:val="center"/>
              <w:ind w:left="180"/>
              <w:spacing w:after="0"/>
              <w:rPr>
                <w:sz w:val="20"/>
                <w:szCs w:val="20"/>
                <w:color w:val="auto"/>
              </w:rPr>
            </w:pPr>
            <w:r>
              <w:rPr>
                <w:rFonts w:ascii="Arial" w:cs="Arial" w:eastAsia="Arial" w:hAnsi="Arial"/>
                <w:sz w:val="16"/>
                <w:szCs w:val="16"/>
                <w:color w:val="auto"/>
                <w:w w:val="99"/>
              </w:rPr>
              <w:t>Reuters News</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100"/>
              <w:spacing w:after="0"/>
              <w:rPr>
                <w:sz w:val="20"/>
                <w:szCs w:val="20"/>
                <w:color w:val="auto"/>
              </w:rPr>
            </w:pPr>
            <w:r>
              <w:rPr>
                <w:rFonts w:ascii="Arial" w:cs="Arial" w:eastAsia="Arial" w:hAnsi="Arial"/>
                <w:sz w:val="16"/>
                <w:szCs w:val="16"/>
                <w:color w:val="auto"/>
              </w:rPr>
              <w:t>President &amp; Chief Executive</w:t>
            </w:r>
          </w:p>
        </w:tc>
        <w:tc>
          <w:tcPr>
            <w:tcW w:w="2020" w:type="dxa"/>
            <w:vAlign w:val="bottom"/>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Chief Operations and</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180" w:type="dxa"/>
            <w:vAlign w:val="bottom"/>
            <w:vMerge w:val="continue"/>
          </w:tcPr>
          <w:p>
            <w:pPr>
              <w:spacing w:after="0"/>
              <w:rPr>
                <w:sz w:val="3"/>
                <w:szCs w:val="3"/>
                <w:color w:val="auto"/>
              </w:rPr>
            </w:pPr>
          </w:p>
        </w:tc>
        <w:tc>
          <w:tcPr>
            <w:tcW w:w="20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180" w:type="dxa"/>
            <w:vAlign w:val="bottom"/>
          </w:tcPr>
          <w:p>
            <w:pPr>
              <w:jc w:val="center"/>
              <w:ind w:right="100"/>
              <w:spacing w:after="0"/>
              <w:rPr>
                <w:sz w:val="20"/>
                <w:szCs w:val="20"/>
                <w:color w:val="auto"/>
              </w:rPr>
            </w:pPr>
            <w:r>
              <w:rPr>
                <w:rFonts w:ascii="Arial" w:cs="Arial" w:eastAsia="Arial" w:hAnsi="Arial"/>
                <w:sz w:val="16"/>
                <w:szCs w:val="16"/>
                <w:color w:val="auto"/>
              </w:rPr>
              <w:t>Officer</w:t>
            </w:r>
          </w:p>
        </w:tc>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Technology Officer</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596900</wp:posOffset>
            </wp:positionV>
            <wp:extent cx="6929755" cy="33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59</w:t>
      </w:r>
    </w:p>
    <w:p>
      <w:pPr>
        <w:sectPr>
          <w:pgSz w:w="11900" w:h="16838" w:orient="portrait"/>
          <w:cols w:equalWidth="0" w:num="1">
            <w:col w:w="11080"/>
          </w:cols>
          <w:pgMar w:left="320" w:top="454"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Performance Highlights</w:t>
      </w:r>
    </w:p>
    <w:p>
      <w:pPr>
        <w:spacing w:after="0" w:line="51"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All key metrics met or exceeded our updated 2023 outlook. Our updated full-year 2023 outlook included non-IFRS financial measures, assumed constant currency rates relative to 2022, and included the impact of closed acquisitions and dispositions.</w:t>
      </w:r>
    </w:p>
    <w:p>
      <w:pPr>
        <w:spacing w:after="0" w:line="11" w:lineRule="exact"/>
        <w:rPr>
          <w:sz w:val="20"/>
          <w:szCs w:val="20"/>
          <w:color w:val="auto"/>
        </w:rPr>
      </w:pPr>
    </w:p>
    <w:p>
      <w:pPr>
        <w:jc w:val="both"/>
        <w:ind w:left="160" w:right="40"/>
        <w:spacing w:after="0" w:line="249" w:lineRule="auto"/>
        <w:rPr>
          <w:sz w:val="20"/>
          <w:szCs w:val="20"/>
          <w:color w:val="auto"/>
        </w:rPr>
      </w:pPr>
      <w:r>
        <w:rPr>
          <w:rFonts w:ascii="Arial" w:cs="Arial" w:eastAsia="Arial" w:hAnsi="Arial"/>
          <w:sz w:val="18"/>
          <w:szCs w:val="18"/>
          <w:color w:val="auto"/>
        </w:rPr>
        <w:t>The table below compares our actual performance (before currency) to our updated 2023 outlook, which we confirmed in November 2023. In the third quarter of 2023, we amended our definition of adjusted earnings to exclude amortization from acquired computer software. As part of this transition, we included details about the components of amortization expense in our updated outlook.</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740" w:type="dxa"/>
            <w:vAlign w:val="bottom"/>
            <w:vMerge w:val="restart"/>
            <w:shd w:val="clear" w:color="auto" w:fill="262626"/>
          </w:tcPr>
          <w:p>
            <w:pPr>
              <w:spacing w:after="0"/>
              <w:rPr>
                <w:sz w:val="20"/>
                <w:szCs w:val="20"/>
                <w:color w:val="auto"/>
              </w:rPr>
            </w:pPr>
            <w:r>
              <w:rPr>
                <w:rFonts w:ascii="Arial" w:cs="Arial" w:eastAsia="Arial" w:hAnsi="Arial"/>
                <w:sz w:val="15"/>
                <w:szCs w:val="15"/>
                <w:b w:val="1"/>
                <w:bCs w:val="1"/>
                <w:color w:val="FFFFFF"/>
              </w:rPr>
              <w:t>  Total Thomson Reuters</w:t>
            </w:r>
          </w:p>
        </w:tc>
        <w:tc>
          <w:tcPr>
            <w:tcW w:w="2300" w:type="dxa"/>
            <w:vAlign w:val="bottom"/>
            <w:gridSpan w:val="2"/>
            <w:vMerge w:val="restart"/>
            <w:shd w:val="clear" w:color="auto" w:fill="262626"/>
          </w:tcPr>
          <w:p>
            <w:pPr>
              <w:jc w:val="center"/>
              <w:ind w:right="68"/>
              <w:spacing w:after="0"/>
              <w:rPr>
                <w:sz w:val="20"/>
                <w:szCs w:val="20"/>
                <w:color w:val="auto"/>
              </w:rPr>
            </w:pPr>
            <w:r>
              <w:rPr>
                <w:rFonts w:ascii="Arial" w:cs="Arial" w:eastAsia="Arial" w:hAnsi="Arial"/>
                <w:sz w:val="15"/>
                <w:szCs w:val="15"/>
                <w:b w:val="1"/>
                <w:bCs w:val="1"/>
                <w:color w:val="FFFFFF"/>
              </w:rPr>
              <w:t>2023 Updated Outlook</w:t>
            </w:r>
          </w:p>
        </w:tc>
        <w:tc>
          <w:tcPr>
            <w:tcW w:w="320" w:type="dxa"/>
            <w:vAlign w:val="bottom"/>
            <w:vMerge w:val="restart"/>
            <w:shd w:val="clear" w:color="auto" w:fill="262626"/>
          </w:tcPr>
          <w:p>
            <w:pPr>
              <w:jc w:val="right"/>
              <w:spacing w:after="0"/>
              <w:rPr>
                <w:sz w:val="20"/>
                <w:szCs w:val="20"/>
                <w:color w:val="auto"/>
              </w:rPr>
            </w:pPr>
            <w:r>
              <w:rPr>
                <w:rFonts w:ascii="Arial" w:cs="Arial" w:eastAsia="Arial" w:hAnsi="Arial"/>
                <w:sz w:val="15"/>
                <w:szCs w:val="15"/>
                <w:b w:val="1"/>
                <w:bCs w:val="1"/>
                <w:color w:val="FFFFFF"/>
              </w:rPr>
              <w:t xml:space="preserve">    </w:t>
            </w:r>
          </w:p>
        </w:tc>
        <w:tc>
          <w:tcPr>
            <w:tcW w:w="1880" w:type="dxa"/>
            <w:vAlign w:val="bottom"/>
            <w:gridSpan w:val="2"/>
            <w:shd w:val="clear" w:color="auto" w:fill="262626"/>
          </w:tcPr>
          <w:p>
            <w:pPr>
              <w:ind w:left="20"/>
              <w:spacing w:after="0"/>
              <w:rPr>
                <w:sz w:val="20"/>
                <w:szCs w:val="20"/>
                <w:color w:val="auto"/>
              </w:rPr>
            </w:pPr>
            <w:r>
              <w:rPr>
                <w:rFonts w:ascii="Arial" w:cs="Arial" w:eastAsia="Arial" w:hAnsi="Arial"/>
                <w:sz w:val="15"/>
                <w:szCs w:val="15"/>
                <w:b w:val="1"/>
                <w:bCs w:val="1"/>
                <w:color w:val="FFFFFF"/>
              </w:rPr>
              <w:t>2023 Actual Performance</w:t>
            </w:r>
          </w:p>
        </w:tc>
        <w:tc>
          <w:tcPr>
            <w:tcW w:w="680" w:type="dxa"/>
            <w:vAlign w:val="bottom"/>
            <w:vMerge w:val="restart"/>
            <w:shd w:val="clear" w:color="auto" w:fill="262626"/>
          </w:tcPr>
          <w:p>
            <w:pPr>
              <w:ind w:left="60"/>
              <w:spacing w:after="0"/>
              <w:rPr>
                <w:sz w:val="20"/>
                <w:szCs w:val="20"/>
                <w:color w:val="auto"/>
              </w:rPr>
            </w:pPr>
            <w:r>
              <w:rPr>
                <w:rFonts w:ascii="Arial" w:cs="Arial" w:eastAsia="Arial" w:hAnsi="Arial"/>
                <w:sz w:val="15"/>
                <w:szCs w:val="15"/>
                <w:b w:val="1"/>
                <w:bCs w:val="1"/>
                <w:color w:val="FFFFFF"/>
              </w:rPr>
              <w:t> </w:t>
            </w:r>
          </w:p>
        </w:tc>
        <w:tc>
          <w:tcPr>
            <w:tcW w:w="0" w:type="dxa"/>
            <w:vAlign w:val="bottom"/>
          </w:tcPr>
          <w:p>
            <w:pPr>
              <w:spacing w:after="0"/>
              <w:rPr>
                <w:sz w:val="1"/>
                <w:szCs w:val="1"/>
                <w:color w:val="auto"/>
              </w:rPr>
            </w:pPr>
          </w:p>
        </w:tc>
      </w:tr>
      <w:tr>
        <w:trPr>
          <w:trHeight w:val="238"/>
        </w:trPr>
        <w:tc>
          <w:tcPr>
            <w:tcW w:w="5740" w:type="dxa"/>
            <w:vAlign w:val="bottom"/>
            <w:tcBorders>
              <w:bottom w:val="single" w:sz="8" w:color="262626"/>
            </w:tcBorders>
            <w:vMerge w:val="continue"/>
            <w:shd w:val="clear" w:color="auto" w:fill="262626"/>
          </w:tcPr>
          <w:p>
            <w:pPr>
              <w:spacing w:after="0"/>
              <w:rPr>
                <w:sz w:val="20"/>
                <w:szCs w:val="20"/>
                <w:color w:val="auto"/>
              </w:rPr>
            </w:pPr>
          </w:p>
        </w:tc>
        <w:tc>
          <w:tcPr>
            <w:tcW w:w="2300" w:type="dxa"/>
            <w:vAlign w:val="bottom"/>
            <w:tcBorders>
              <w:bottom w:val="single" w:sz="8" w:color="262626"/>
            </w:tcBorders>
            <w:gridSpan w:val="2"/>
            <w:vMerge w:val="continue"/>
            <w:shd w:val="clear" w:color="auto" w:fill="262626"/>
          </w:tcPr>
          <w:p>
            <w:pPr>
              <w:spacing w:after="0"/>
              <w:rPr>
                <w:sz w:val="20"/>
                <w:szCs w:val="20"/>
                <w:color w:val="auto"/>
              </w:rPr>
            </w:pPr>
          </w:p>
        </w:tc>
        <w:tc>
          <w:tcPr>
            <w:tcW w:w="320" w:type="dxa"/>
            <w:vAlign w:val="bottom"/>
            <w:tcBorders>
              <w:bottom w:val="single" w:sz="8" w:color="262626"/>
            </w:tcBorders>
            <w:vMerge w:val="continue"/>
            <w:shd w:val="clear" w:color="auto" w:fill="262626"/>
          </w:tcPr>
          <w:p>
            <w:pPr>
              <w:spacing w:after="0"/>
              <w:rPr>
                <w:sz w:val="20"/>
                <w:szCs w:val="20"/>
                <w:color w:val="auto"/>
              </w:rPr>
            </w:pPr>
          </w:p>
        </w:tc>
        <w:tc>
          <w:tcPr>
            <w:tcW w:w="1780" w:type="dxa"/>
            <w:vAlign w:val="bottom"/>
            <w:tcBorders>
              <w:bottom w:val="single" w:sz="8" w:color="262626"/>
            </w:tcBorders>
            <w:shd w:val="clear" w:color="auto" w:fill="262626"/>
          </w:tcPr>
          <w:p>
            <w:pPr>
              <w:ind w:left="80"/>
              <w:spacing w:after="0"/>
              <w:rPr>
                <w:sz w:val="20"/>
                <w:szCs w:val="20"/>
                <w:color w:val="auto"/>
              </w:rPr>
            </w:pPr>
            <w:r>
              <w:rPr>
                <w:rFonts w:ascii="Arial" w:cs="Arial" w:eastAsia="Arial" w:hAnsi="Arial"/>
                <w:sz w:val="15"/>
                <w:szCs w:val="15"/>
                <w:b w:val="1"/>
                <w:bCs w:val="1"/>
                <w:color w:val="FFFFFF"/>
              </w:rPr>
              <w:t>   (Before currency)</w:t>
            </w:r>
            <w:r>
              <w:rPr>
                <w:rFonts w:ascii="Arial" w:cs="Arial" w:eastAsia="Arial" w:hAnsi="Arial"/>
                <w:sz w:val="11"/>
                <w:szCs w:val="11"/>
                <w:b w:val="1"/>
                <w:bCs w:val="1"/>
                <w:color w:val="FFFFFF"/>
              </w:rPr>
              <w:t>(1)</w:t>
            </w:r>
            <w:r>
              <w:rPr>
                <w:rFonts w:ascii="Arial" w:cs="Arial" w:eastAsia="Arial" w:hAnsi="Arial"/>
                <w:sz w:val="15"/>
                <w:szCs w:val="15"/>
                <w:b w:val="1"/>
                <w:bCs w:val="1"/>
                <w:color w:val="FFFFFF"/>
              </w:rPr>
              <w:t xml:space="preserve"> </w:t>
            </w:r>
          </w:p>
        </w:tc>
        <w:tc>
          <w:tcPr>
            <w:tcW w:w="10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1"/>
                <w:szCs w:val="11"/>
                <w:b w:val="1"/>
                <w:bCs w:val="1"/>
                <w:color w:val="FFFFFF"/>
                <w:w w:val="72"/>
              </w:rPr>
              <w:t> </w:t>
            </w:r>
          </w:p>
        </w:tc>
        <w:tc>
          <w:tcPr>
            <w:tcW w:w="680" w:type="dxa"/>
            <w:vAlign w:val="bottom"/>
            <w:tcBorders>
              <w:bottom w:val="single" w:sz="8" w:color="262626"/>
            </w:tcBorders>
            <w:vMerge w:val="continue"/>
            <w:shd w:val="clear" w:color="auto" w:fill="262626"/>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40" w:type="dxa"/>
            <w:vAlign w:val="bottom"/>
          </w:tcPr>
          <w:p>
            <w:pPr>
              <w:spacing w:after="0"/>
              <w:rPr>
                <w:sz w:val="20"/>
                <w:szCs w:val="20"/>
                <w:color w:val="auto"/>
              </w:rPr>
            </w:pPr>
            <w:r>
              <w:rPr>
                <w:rFonts w:ascii="Arial" w:cs="Arial" w:eastAsia="Arial" w:hAnsi="Arial"/>
                <w:sz w:val="14"/>
                <w:szCs w:val="14"/>
                <w:b w:val="1"/>
                <w:bCs w:val="1"/>
                <w:color w:val="auto"/>
              </w:rPr>
              <w:t>  Revenue growth</w:t>
            </w:r>
          </w:p>
        </w:tc>
        <w:tc>
          <w:tcPr>
            <w:tcW w:w="2300" w:type="dxa"/>
            <w:vAlign w:val="bottom"/>
            <w:gridSpan w:val="2"/>
          </w:tcPr>
          <w:p>
            <w:pPr>
              <w:jc w:val="center"/>
              <w:ind w:right="28"/>
              <w:spacing w:after="0"/>
              <w:rPr>
                <w:sz w:val="20"/>
                <w:szCs w:val="20"/>
                <w:color w:val="auto"/>
              </w:rPr>
            </w:pPr>
            <w:r>
              <w:rPr>
                <w:rFonts w:ascii="Arial" w:cs="Arial" w:eastAsia="Arial" w:hAnsi="Arial"/>
                <w:sz w:val="14"/>
                <w:szCs w:val="14"/>
                <w:color w:val="auto"/>
                <w:w w:val="99"/>
              </w:rPr>
              <w:t>3.0% - 3.5%</w:t>
            </w:r>
          </w:p>
        </w:tc>
        <w:tc>
          <w:tcPr>
            <w:tcW w:w="320" w:type="dxa"/>
            <w:vAlign w:val="bottom"/>
          </w:tcPr>
          <w:p>
            <w:pPr>
              <w:spacing w:after="0"/>
              <w:rPr>
                <w:sz w:val="21"/>
                <w:szCs w:val="21"/>
                <w:color w:val="auto"/>
              </w:rPr>
            </w:pPr>
          </w:p>
        </w:tc>
        <w:tc>
          <w:tcPr>
            <w:tcW w:w="1780" w:type="dxa"/>
            <w:vAlign w:val="bottom"/>
          </w:tcPr>
          <w:p>
            <w:pPr>
              <w:jc w:val="center"/>
              <w:ind w:right="90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403"/>
        </w:trPr>
        <w:tc>
          <w:tcPr>
            <w:tcW w:w="5740" w:type="dxa"/>
            <w:vAlign w:val="bottom"/>
            <w:tcBorders>
              <w:bottom w:val="single" w:sz="8" w:color="AFAFAF"/>
            </w:tcBorders>
          </w:tcPr>
          <w:p>
            <w:pPr>
              <w:ind w:left="160"/>
              <w:spacing w:after="0"/>
              <w:rPr>
                <w:sz w:val="20"/>
                <w:szCs w:val="20"/>
                <w:color w:val="auto"/>
              </w:rPr>
            </w:pPr>
            <w:r>
              <w:rPr>
                <w:rFonts w:ascii="Arial" w:cs="Arial" w:eastAsia="Arial" w:hAnsi="Arial"/>
                <w:sz w:val="14"/>
                <w:szCs w:val="14"/>
                <w:b w:val="1"/>
                <w:bCs w:val="1"/>
                <w:color w:val="auto"/>
              </w:rPr>
              <w:t>  Organic revenue growth</w:t>
            </w:r>
            <w:r>
              <w:rPr>
                <w:rFonts w:ascii="Arial" w:cs="Arial" w:eastAsia="Arial" w:hAnsi="Arial"/>
                <w:sz w:val="21"/>
                <w:szCs w:val="21"/>
                <w:b w:val="1"/>
                <w:bCs w:val="1"/>
                <w:color w:val="auto"/>
                <w:vertAlign w:val="superscript"/>
              </w:rPr>
              <w:t>(2)</w:t>
            </w:r>
          </w:p>
        </w:tc>
        <w:tc>
          <w:tcPr>
            <w:tcW w:w="2300" w:type="dxa"/>
            <w:vAlign w:val="bottom"/>
            <w:tcBorders>
              <w:bottom w:val="single" w:sz="8" w:color="AFAFAF"/>
            </w:tcBorders>
            <w:gridSpan w:val="2"/>
          </w:tcPr>
          <w:p>
            <w:pPr>
              <w:jc w:val="center"/>
              <w:ind w:right="28"/>
              <w:spacing w:after="0"/>
              <w:rPr>
                <w:sz w:val="20"/>
                <w:szCs w:val="20"/>
                <w:color w:val="auto"/>
              </w:rPr>
            </w:pPr>
            <w:r>
              <w:rPr>
                <w:rFonts w:ascii="Arial" w:cs="Arial" w:eastAsia="Arial" w:hAnsi="Arial"/>
                <w:sz w:val="14"/>
                <w:szCs w:val="14"/>
                <w:i w:val="1"/>
                <w:iCs w:val="1"/>
                <w:color w:val="auto"/>
                <w:w w:val="99"/>
              </w:rPr>
              <w:t>5.5% - 6.0%</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i w:val="1"/>
                <w:iCs w:val="1"/>
                <w:color w:val="auto"/>
              </w:rPr>
              <w:t>5.9%</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14"/>
        </w:trPr>
        <w:tc>
          <w:tcPr>
            <w:tcW w:w="57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Adjusted EBITDA margin</w:t>
            </w:r>
            <w:r>
              <w:rPr>
                <w:rFonts w:ascii="Arial" w:cs="Arial" w:eastAsia="Arial" w:hAnsi="Arial"/>
                <w:sz w:val="21"/>
                <w:szCs w:val="21"/>
                <w:b w:val="1"/>
                <w:bCs w:val="1"/>
                <w:color w:val="auto"/>
                <w:vertAlign w:val="superscript"/>
              </w:rPr>
              <w:t>(2)</w:t>
            </w:r>
          </w:p>
        </w:tc>
        <w:tc>
          <w:tcPr>
            <w:tcW w:w="400" w:type="dxa"/>
            <w:vAlign w:val="bottom"/>
            <w:tcBorders>
              <w:bottom w:val="single" w:sz="8" w:color="AFAFAF"/>
            </w:tcBorders>
          </w:tcPr>
          <w:p>
            <w:pPr>
              <w:spacing w:after="0"/>
              <w:rPr>
                <w:sz w:val="24"/>
                <w:szCs w:val="24"/>
                <w:color w:val="auto"/>
              </w:rPr>
            </w:pPr>
          </w:p>
        </w:tc>
        <w:tc>
          <w:tcPr>
            <w:tcW w:w="1900" w:type="dxa"/>
            <w:vAlign w:val="bottom"/>
            <w:tcBorders>
              <w:bottom w:val="single" w:sz="8" w:color="AFAFAF"/>
            </w:tcBorders>
          </w:tcPr>
          <w:p>
            <w:pPr>
              <w:jc w:val="center"/>
              <w:ind w:right="428"/>
              <w:spacing w:after="0"/>
              <w:rPr>
                <w:sz w:val="20"/>
                <w:szCs w:val="20"/>
                <w:color w:val="auto"/>
              </w:rPr>
            </w:pPr>
            <w:r>
              <w:rPr>
                <w:rFonts w:ascii="Arial" w:cs="Arial" w:eastAsia="Arial" w:hAnsi="Arial"/>
                <w:sz w:val="14"/>
                <w:szCs w:val="14"/>
                <w:color w:val="auto"/>
              </w:rPr>
              <w:t>Approximately 39%</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0"/>
                <w:szCs w:val="20"/>
                <w:color w:val="auto"/>
              </w:rPr>
            </w:pPr>
            <w:r>
              <w:rPr>
                <w:rFonts w:ascii="Arial" w:cs="Arial" w:eastAsia="Arial" w:hAnsi="Arial"/>
                <w:sz w:val="14"/>
                <w:szCs w:val="14"/>
                <w:b w:val="1"/>
                <w:bCs w:val="1"/>
                <w:color w:val="auto"/>
              </w:rPr>
              <w:t>  Corporate costs</w:t>
            </w:r>
          </w:p>
        </w:tc>
        <w:tc>
          <w:tcPr>
            <w:tcW w:w="400" w:type="dxa"/>
            <w:vAlign w:val="bottom"/>
          </w:tcPr>
          <w:p>
            <w:pPr>
              <w:spacing w:after="0"/>
              <w:rPr>
                <w:sz w:val="21"/>
                <w:szCs w:val="21"/>
                <w:color w:val="auto"/>
              </w:rPr>
            </w:pPr>
          </w:p>
        </w:tc>
        <w:tc>
          <w:tcPr>
            <w:tcW w:w="1900" w:type="dxa"/>
            <w:vAlign w:val="bottom"/>
          </w:tcPr>
          <w:p>
            <w:pPr>
              <w:jc w:val="center"/>
              <w:ind w:right="428"/>
              <w:spacing w:after="0"/>
              <w:rPr>
                <w:sz w:val="20"/>
                <w:szCs w:val="20"/>
                <w:color w:val="auto"/>
              </w:rPr>
            </w:pPr>
            <w:r>
              <w:rPr>
                <w:rFonts w:ascii="Arial" w:cs="Arial" w:eastAsia="Arial" w:hAnsi="Arial"/>
                <w:sz w:val="14"/>
                <w:szCs w:val="14"/>
                <w:color w:val="auto"/>
              </w:rPr>
              <w:t>$110 - $120 million</w:t>
            </w:r>
          </w:p>
        </w:tc>
        <w:tc>
          <w:tcPr>
            <w:tcW w:w="320" w:type="dxa"/>
            <w:vAlign w:val="bottom"/>
          </w:tcPr>
          <w:p>
            <w:pPr>
              <w:spacing w:after="0"/>
              <w:rPr>
                <w:sz w:val="21"/>
                <w:szCs w:val="21"/>
                <w:color w:val="auto"/>
              </w:rPr>
            </w:pPr>
          </w:p>
        </w:tc>
        <w:tc>
          <w:tcPr>
            <w:tcW w:w="1780" w:type="dxa"/>
            <w:vAlign w:val="bottom"/>
          </w:tcPr>
          <w:p>
            <w:pPr>
              <w:jc w:val="center"/>
              <w:ind w:right="929"/>
              <w:spacing w:after="0"/>
              <w:rPr>
                <w:sz w:val="20"/>
                <w:szCs w:val="20"/>
                <w:color w:val="auto"/>
              </w:rPr>
            </w:pPr>
            <w:r>
              <w:rPr>
                <w:rFonts w:ascii="Arial" w:cs="Arial" w:eastAsia="Arial" w:hAnsi="Arial"/>
                <w:sz w:val="14"/>
                <w:szCs w:val="14"/>
                <w:color w:val="auto"/>
                <w:w w:val="99"/>
              </w:rPr>
              <w:t>$114 million</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68"/>
        </w:trPr>
        <w:tc>
          <w:tcPr>
            <w:tcW w:w="5740" w:type="dxa"/>
            <w:vAlign w:val="bottom"/>
            <w:tcBorders>
              <w:bottom w:val="single" w:sz="8" w:color="AFAFAF"/>
            </w:tcBorders>
          </w:tcPr>
          <w:p>
            <w:pPr>
              <w:spacing w:after="0"/>
              <w:rPr>
                <w:sz w:val="5"/>
                <w:szCs w:val="5"/>
                <w:color w:val="auto"/>
              </w:rPr>
            </w:pPr>
          </w:p>
        </w:tc>
        <w:tc>
          <w:tcPr>
            <w:tcW w:w="400" w:type="dxa"/>
            <w:vAlign w:val="bottom"/>
            <w:tcBorders>
              <w:bottom w:val="single" w:sz="8" w:color="AFAFAF"/>
            </w:tcBorders>
          </w:tcPr>
          <w:p>
            <w:pPr>
              <w:spacing w:after="0"/>
              <w:rPr>
                <w:sz w:val="5"/>
                <w:szCs w:val="5"/>
                <w:color w:val="auto"/>
              </w:rPr>
            </w:pPr>
          </w:p>
        </w:tc>
        <w:tc>
          <w:tcPr>
            <w:tcW w:w="1900" w:type="dxa"/>
            <w:vAlign w:val="bottom"/>
            <w:tcBorders>
              <w:bottom w:val="single" w:sz="8" w:color="AFAFAF"/>
            </w:tcBorders>
          </w:tcPr>
          <w:p>
            <w:pPr>
              <w:spacing w:after="0"/>
              <w:rPr>
                <w:sz w:val="5"/>
                <w:szCs w:val="5"/>
                <w:color w:val="auto"/>
              </w:rPr>
            </w:pPr>
          </w:p>
        </w:tc>
        <w:tc>
          <w:tcPr>
            <w:tcW w:w="320" w:type="dxa"/>
            <w:vAlign w:val="bottom"/>
            <w:tcBorders>
              <w:bottom w:val="single" w:sz="8" w:color="AFAFAF"/>
            </w:tcBorders>
          </w:tcPr>
          <w:p>
            <w:pPr>
              <w:spacing w:after="0"/>
              <w:rPr>
                <w:sz w:val="5"/>
                <w:szCs w:val="5"/>
                <w:color w:val="auto"/>
              </w:rPr>
            </w:pPr>
          </w:p>
        </w:tc>
        <w:tc>
          <w:tcPr>
            <w:tcW w:w="1780" w:type="dxa"/>
            <w:vAlign w:val="bottom"/>
            <w:tcBorders>
              <w:bottom w:val="single" w:sz="8" w:color="AFAFAF"/>
            </w:tcBorders>
          </w:tcPr>
          <w:p>
            <w:pPr>
              <w:spacing w:after="0"/>
              <w:rPr>
                <w:sz w:val="5"/>
                <w:szCs w:val="5"/>
                <w:color w:val="auto"/>
              </w:rPr>
            </w:pPr>
          </w:p>
        </w:tc>
        <w:tc>
          <w:tcPr>
            <w:tcW w:w="100" w:type="dxa"/>
            <w:vAlign w:val="bottom"/>
            <w:tcBorders>
              <w:bottom w:val="single" w:sz="8" w:color="AFAFAF"/>
            </w:tcBorders>
          </w:tcPr>
          <w:p>
            <w:pPr>
              <w:spacing w:after="0"/>
              <w:rPr>
                <w:sz w:val="5"/>
                <w:szCs w:val="5"/>
                <w:color w:val="auto"/>
              </w:rPr>
            </w:pPr>
          </w:p>
        </w:tc>
        <w:tc>
          <w:tcPr>
            <w:tcW w:w="680" w:type="dxa"/>
            <w:vAlign w:val="bottom"/>
            <w:tcBorders>
              <w:bottom w:val="single" w:sz="8" w:color="AFAFAF"/>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57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Free cash flow</w:t>
            </w:r>
            <w:r>
              <w:rPr>
                <w:rFonts w:ascii="Arial" w:cs="Arial" w:eastAsia="Arial" w:hAnsi="Arial"/>
                <w:sz w:val="21"/>
                <w:szCs w:val="21"/>
                <w:b w:val="1"/>
                <w:bCs w:val="1"/>
                <w:color w:val="auto"/>
                <w:vertAlign w:val="superscript"/>
              </w:rPr>
              <w:t>(2)</w:t>
            </w:r>
          </w:p>
        </w:tc>
        <w:tc>
          <w:tcPr>
            <w:tcW w:w="2300" w:type="dxa"/>
            <w:vAlign w:val="bottom"/>
            <w:tcBorders>
              <w:bottom w:val="single" w:sz="8" w:color="AFAFAF"/>
            </w:tcBorders>
            <w:gridSpan w:val="2"/>
          </w:tcPr>
          <w:p>
            <w:pPr>
              <w:jc w:val="center"/>
              <w:ind w:right="28"/>
              <w:spacing w:after="0"/>
              <w:rPr>
                <w:sz w:val="20"/>
                <w:szCs w:val="20"/>
                <w:color w:val="auto"/>
              </w:rPr>
            </w:pPr>
            <w:r>
              <w:rPr>
                <w:rFonts w:ascii="Arial" w:cs="Arial" w:eastAsia="Arial" w:hAnsi="Arial"/>
                <w:sz w:val="14"/>
                <w:szCs w:val="14"/>
                <w:color w:val="auto"/>
              </w:rPr>
              <w:t>Approximately $1.8 billion</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color w:val="auto"/>
              </w:rPr>
              <w:t>$1.9 billion</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14"/>
        </w:trPr>
        <w:tc>
          <w:tcPr>
            <w:tcW w:w="57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Accrued capital expenditures as a percentage of revenues</w:t>
            </w:r>
            <w:r>
              <w:rPr>
                <w:rFonts w:ascii="Arial" w:cs="Arial" w:eastAsia="Arial" w:hAnsi="Arial"/>
                <w:sz w:val="21"/>
                <w:szCs w:val="21"/>
                <w:b w:val="1"/>
                <w:bCs w:val="1"/>
                <w:color w:val="auto"/>
                <w:vertAlign w:val="superscript"/>
              </w:rPr>
              <w:t>(2)</w:t>
            </w:r>
          </w:p>
        </w:tc>
        <w:tc>
          <w:tcPr>
            <w:tcW w:w="400" w:type="dxa"/>
            <w:vAlign w:val="bottom"/>
            <w:tcBorders>
              <w:bottom w:val="single" w:sz="8" w:color="AFAFAF"/>
            </w:tcBorders>
          </w:tcPr>
          <w:p>
            <w:pPr>
              <w:spacing w:after="0"/>
              <w:rPr>
                <w:sz w:val="24"/>
                <w:szCs w:val="24"/>
                <w:color w:val="auto"/>
              </w:rPr>
            </w:pPr>
          </w:p>
        </w:tc>
        <w:tc>
          <w:tcPr>
            <w:tcW w:w="1900" w:type="dxa"/>
            <w:vAlign w:val="bottom"/>
            <w:tcBorders>
              <w:bottom w:val="single" w:sz="8" w:color="AFAFAF"/>
            </w:tcBorders>
          </w:tcPr>
          <w:p>
            <w:pPr>
              <w:jc w:val="center"/>
              <w:ind w:right="428"/>
              <w:spacing w:after="0"/>
              <w:rPr>
                <w:sz w:val="20"/>
                <w:szCs w:val="20"/>
                <w:color w:val="auto"/>
              </w:rPr>
            </w:pPr>
            <w:r>
              <w:rPr>
                <w:rFonts w:ascii="Arial" w:cs="Arial" w:eastAsia="Arial" w:hAnsi="Arial"/>
                <w:sz w:val="14"/>
                <w:szCs w:val="14"/>
                <w:color w:val="auto"/>
              </w:rPr>
              <w:t>Approximately 8.0%</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0"/>
                <w:szCs w:val="20"/>
                <w:color w:val="auto"/>
              </w:rPr>
            </w:pPr>
            <w:r>
              <w:rPr>
                <w:rFonts w:ascii="Arial" w:cs="Arial" w:eastAsia="Arial" w:hAnsi="Arial"/>
                <w:sz w:val="14"/>
                <w:szCs w:val="14"/>
                <w:b w:val="1"/>
                <w:bCs w:val="1"/>
                <w:color w:val="auto"/>
              </w:rPr>
              <w:t>  Depreciation and amortization of computer software</w:t>
            </w:r>
          </w:p>
        </w:tc>
        <w:tc>
          <w:tcPr>
            <w:tcW w:w="400" w:type="dxa"/>
            <w:vAlign w:val="bottom"/>
          </w:tcPr>
          <w:p>
            <w:pPr>
              <w:spacing w:after="0"/>
              <w:rPr>
                <w:sz w:val="21"/>
                <w:szCs w:val="21"/>
                <w:color w:val="auto"/>
              </w:rPr>
            </w:pPr>
          </w:p>
        </w:tc>
        <w:tc>
          <w:tcPr>
            <w:tcW w:w="1900" w:type="dxa"/>
            <w:vAlign w:val="bottom"/>
          </w:tcPr>
          <w:p>
            <w:pPr>
              <w:jc w:val="center"/>
              <w:ind w:right="428"/>
              <w:spacing w:after="0"/>
              <w:rPr>
                <w:sz w:val="20"/>
                <w:szCs w:val="20"/>
                <w:color w:val="auto"/>
              </w:rPr>
            </w:pPr>
            <w:r>
              <w:rPr>
                <w:rFonts w:ascii="Arial" w:cs="Arial" w:eastAsia="Arial" w:hAnsi="Arial"/>
                <w:sz w:val="14"/>
                <w:szCs w:val="14"/>
                <w:color w:val="auto"/>
              </w:rPr>
              <w:t>$625 - $635 million</w:t>
            </w:r>
          </w:p>
        </w:tc>
        <w:tc>
          <w:tcPr>
            <w:tcW w:w="320" w:type="dxa"/>
            <w:vAlign w:val="bottom"/>
          </w:tcPr>
          <w:p>
            <w:pPr>
              <w:spacing w:after="0"/>
              <w:rPr>
                <w:sz w:val="21"/>
                <w:szCs w:val="21"/>
                <w:color w:val="auto"/>
              </w:rPr>
            </w:pPr>
          </w:p>
        </w:tc>
        <w:tc>
          <w:tcPr>
            <w:tcW w:w="1780" w:type="dxa"/>
            <w:vAlign w:val="bottom"/>
          </w:tcPr>
          <w:p>
            <w:pPr>
              <w:jc w:val="center"/>
              <w:ind w:right="909"/>
              <w:spacing w:after="0"/>
              <w:rPr>
                <w:sz w:val="20"/>
                <w:szCs w:val="20"/>
                <w:color w:val="auto"/>
              </w:rPr>
            </w:pPr>
            <w:r>
              <w:rPr>
                <w:rFonts w:ascii="Arial" w:cs="Arial" w:eastAsia="Arial" w:hAnsi="Arial"/>
                <w:sz w:val="14"/>
                <w:szCs w:val="14"/>
                <w:color w:val="auto"/>
              </w:rPr>
              <w:t>$629 million</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34"/>
        </w:trPr>
        <w:tc>
          <w:tcPr>
            <w:tcW w:w="5740" w:type="dxa"/>
            <w:vAlign w:val="bottom"/>
          </w:tcPr>
          <w:p>
            <w:pPr>
              <w:ind w:left="160"/>
              <w:spacing w:after="0"/>
              <w:rPr>
                <w:sz w:val="20"/>
                <w:szCs w:val="20"/>
                <w:color w:val="auto"/>
              </w:rPr>
            </w:pPr>
            <w:r>
              <w:rPr>
                <w:rFonts w:ascii="Arial" w:cs="Arial" w:eastAsia="Arial" w:hAnsi="Arial"/>
                <w:sz w:val="14"/>
                <w:szCs w:val="14"/>
                <w:b w:val="1"/>
                <w:bCs w:val="1"/>
                <w:color w:val="auto"/>
              </w:rPr>
              <w:t>  Depreciation and amortization of internally developed software</w:t>
            </w:r>
          </w:p>
        </w:tc>
        <w:tc>
          <w:tcPr>
            <w:tcW w:w="400" w:type="dxa"/>
            <w:vAlign w:val="bottom"/>
          </w:tcPr>
          <w:p>
            <w:pPr>
              <w:spacing w:after="0"/>
              <w:rPr>
                <w:sz w:val="24"/>
                <w:szCs w:val="24"/>
                <w:color w:val="auto"/>
              </w:rPr>
            </w:pPr>
          </w:p>
        </w:tc>
        <w:tc>
          <w:tcPr>
            <w:tcW w:w="1900" w:type="dxa"/>
            <w:vAlign w:val="bottom"/>
          </w:tcPr>
          <w:p>
            <w:pPr>
              <w:jc w:val="center"/>
              <w:ind w:right="428"/>
              <w:spacing w:after="0"/>
              <w:rPr>
                <w:sz w:val="20"/>
                <w:szCs w:val="20"/>
                <w:color w:val="auto"/>
              </w:rPr>
            </w:pPr>
            <w:r>
              <w:rPr>
                <w:rFonts w:ascii="Arial" w:cs="Arial" w:eastAsia="Arial" w:hAnsi="Arial"/>
                <w:sz w:val="14"/>
                <w:szCs w:val="14"/>
                <w:color w:val="auto"/>
              </w:rPr>
              <w:t>$555 - $560 million</w:t>
            </w:r>
          </w:p>
        </w:tc>
        <w:tc>
          <w:tcPr>
            <w:tcW w:w="320" w:type="dxa"/>
            <w:vAlign w:val="bottom"/>
          </w:tcPr>
          <w:p>
            <w:pPr>
              <w:spacing w:after="0"/>
              <w:rPr>
                <w:sz w:val="24"/>
                <w:szCs w:val="24"/>
                <w:color w:val="auto"/>
              </w:rPr>
            </w:pPr>
          </w:p>
        </w:tc>
        <w:tc>
          <w:tcPr>
            <w:tcW w:w="1780" w:type="dxa"/>
            <w:vAlign w:val="bottom"/>
          </w:tcPr>
          <w:p>
            <w:pPr>
              <w:jc w:val="center"/>
              <w:ind w:right="909"/>
              <w:spacing w:after="0"/>
              <w:rPr>
                <w:sz w:val="20"/>
                <w:szCs w:val="20"/>
                <w:color w:val="auto"/>
              </w:rPr>
            </w:pPr>
            <w:r>
              <w:rPr>
                <w:rFonts w:ascii="Arial" w:cs="Arial" w:eastAsia="Arial" w:hAnsi="Arial"/>
                <w:sz w:val="14"/>
                <w:szCs w:val="14"/>
                <w:color w:val="auto"/>
              </w:rPr>
              <w:t>$557 million</w:t>
            </w:r>
          </w:p>
        </w:tc>
        <w:tc>
          <w:tcPr>
            <w:tcW w:w="1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403"/>
        </w:trPr>
        <w:tc>
          <w:tcPr>
            <w:tcW w:w="5740" w:type="dxa"/>
            <w:vAlign w:val="bottom"/>
            <w:tcBorders>
              <w:bottom w:val="single" w:sz="8" w:color="AFAFAF"/>
            </w:tcBorders>
          </w:tcPr>
          <w:p>
            <w:pPr>
              <w:ind w:left="160"/>
              <w:spacing w:after="0"/>
              <w:rPr>
                <w:sz w:val="20"/>
                <w:szCs w:val="20"/>
                <w:color w:val="auto"/>
              </w:rPr>
            </w:pPr>
            <w:r>
              <w:rPr>
                <w:rFonts w:ascii="Arial" w:cs="Arial" w:eastAsia="Arial" w:hAnsi="Arial"/>
                <w:sz w:val="14"/>
                <w:szCs w:val="14"/>
                <w:b w:val="1"/>
                <w:bCs w:val="1"/>
                <w:color w:val="auto"/>
              </w:rPr>
              <w:t>  Amortization of acquired software</w:t>
            </w:r>
            <w:r>
              <w:rPr>
                <w:rFonts w:ascii="Arial" w:cs="Arial" w:eastAsia="Arial" w:hAnsi="Arial"/>
                <w:sz w:val="21"/>
                <w:szCs w:val="21"/>
                <w:b w:val="1"/>
                <w:bCs w:val="1"/>
                <w:color w:val="auto"/>
                <w:vertAlign w:val="superscript"/>
              </w:rPr>
              <w:t>(3)</w:t>
            </w:r>
          </w:p>
        </w:tc>
        <w:tc>
          <w:tcPr>
            <w:tcW w:w="400" w:type="dxa"/>
            <w:vAlign w:val="bottom"/>
            <w:tcBorders>
              <w:bottom w:val="single" w:sz="8" w:color="AFAFAF"/>
            </w:tcBorders>
          </w:tcPr>
          <w:p>
            <w:pPr>
              <w:spacing w:after="0"/>
              <w:rPr>
                <w:sz w:val="24"/>
                <w:szCs w:val="24"/>
                <w:color w:val="auto"/>
              </w:rPr>
            </w:pPr>
          </w:p>
        </w:tc>
        <w:tc>
          <w:tcPr>
            <w:tcW w:w="1900" w:type="dxa"/>
            <w:vAlign w:val="bottom"/>
            <w:tcBorders>
              <w:bottom w:val="single" w:sz="8" w:color="AFAFAF"/>
            </w:tcBorders>
          </w:tcPr>
          <w:p>
            <w:pPr>
              <w:jc w:val="center"/>
              <w:ind w:right="428"/>
              <w:spacing w:after="0"/>
              <w:rPr>
                <w:sz w:val="20"/>
                <w:szCs w:val="20"/>
                <w:color w:val="auto"/>
              </w:rPr>
            </w:pPr>
            <w:r>
              <w:rPr>
                <w:rFonts w:ascii="Arial" w:cs="Arial" w:eastAsia="Arial" w:hAnsi="Arial"/>
                <w:sz w:val="14"/>
                <w:szCs w:val="14"/>
                <w:color w:val="auto"/>
              </w:rPr>
              <w:t>$70 - $75 million</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color w:val="auto"/>
              </w:rPr>
              <w:t>$72 million</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14"/>
        </w:trPr>
        <w:tc>
          <w:tcPr>
            <w:tcW w:w="57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Interest expense</w:t>
            </w:r>
            <w:r>
              <w:rPr>
                <w:rFonts w:ascii="Arial" w:cs="Arial" w:eastAsia="Arial" w:hAnsi="Arial"/>
                <w:sz w:val="21"/>
                <w:szCs w:val="21"/>
                <w:b w:val="1"/>
                <w:bCs w:val="1"/>
                <w:color w:val="auto"/>
                <w:vertAlign w:val="superscript"/>
              </w:rPr>
              <w:t>(4)</w:t>
            </w:r>
          </w:p>
        </w:tc>
        <w:tc>
          <w:tcPr>
            <w:tcW w:w="400" w:type="dxa"/>
            <w:vAlign w:val="bottom"/>
            <w:tcBorders>
              <w:bottom w:val="single" w:sz="8" w:color="AFAFAF"/>
            </w:tcBorders>
          </w:tcPr>
          <w:p>
            <w:pPr>
              <w:spacing w:after="0"/>
              <w:rPr>
                <w:sz w:val="24"/>
                <w:szCs w:val="24"/>
                <w:color w:val="auto"/>
              </w:rPr>
            </w:pPr>
          </w:p>
        </w:tc>
        <w:tc>
          <w:tcPr>
            <w:tcW w:w="1900" w:type="dxa"/>
            <w:vAlign w:val="bottom"/>
            <w:tcBorders>
              <w:bottom w:val="single" w:sz="8" w:color="AFAFAF"/>
            </w:tcBorders>
          </w:tcPr>
          <w:p>
            <w:pPr>
              <w:jc w:val="center"/>
              <w:ind w:right="428"/>
              <w:spacing w:after="0"/>
              <w:rPr>
                <w:sz w:val="20"/>
                <w:szCs w:val="20"/>
                <w:color w:val="auto"/>
              </w:rPr>
            </w:pPr>
            <w:r>
              <w:rPr>
                <w:rFonts w:ascii="Arial" w:cs="Arial" w:eastAsia="Arial" w:hAnsi="Arial"/>
                <w:sz w:val="14"/>
                <w:szCs w:val="14"/>
                <w:color w:val="auto"/>
              </w:rPr>
              <w:t>$170 - $180 million</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color w:val="auto"/>
              </w:rPr>
              <w:t>$164 million</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740" w:type="dxa"/>
            <w:vAlign w:val="bottom"/>
            <w:tcBorders>
              <w:bottom w:val="single" w:sz="8" w:color="AFAFAF"/>
            </w:tcBorders>
          </w:tcPr>
          <w:p>
            <w:pPr>
              <w:spacing w:after="0"/>
              <w:rPr>
                <w:sz w:val="20"/>
                <w:szCs w:val="20"/>
                <w:color w:val="auto"/>
              </w:rPr>
            </w:pPr>
            <w:r>
              <w:rPr>
                <w:rFonts w:ascii="Arial" w:cs="Arial" w:eastAsia="Arial" w:hAnsi="Arial"/>
                <w:sz w:val="14"/>
                <w:szCs w:val="14"/>
                <w:b w:val="1"/>
                <w:bCs w:val="1"/>
                <w:color w:val="auto"/>
              </w:rPr>
              <w:t>  Effective tax rate on adjusted earnings</w:t>
            </w:r>
            <w:r>
              <w:rPr>
                <w:rFonts w:ascii="Arial" w:cs="Arial" w:eastAsia="Arial" w:hAnsi="Arial"/>
                <w:sz w:val="21"/>
                <w:szCs w:val="21"/>
                <w:b w:val="1"/>
                <w:bCs w:val="1"/>
                <w:color w:val="auto"/>
                <w:vertAlign w:val="superscript"/>
              </w:rPr>
              <w:t>(2)(5)</w:t>
            </w:r>
          </w:p>
        </w:tc>
        <w:tc>
          <w:tcPr>
            <w:tcW w:w="400" w:type="dxa"/>
            <w:vAlign w:val="bottom"/>
            <w:tcBorders>
              <w:bottom w:val="single" w:sz="8" w:color="AFAFAF"/>
            </w:tcBorders>
          </w:tcPr>
          <w:p>
            <w:pPr>
              <w:spacing w:after="0"/>
              <w:rPr>
                <w:sz w:val="24"/>
                <w:szCs w:val="24"/>
                <w:color w:val="auto"/>
              </w:rPr>
            </w:pPr>
          </w:p>
        </w:tc>
        <w:tc>
          <w:tcPr>
            <w:tcW w:w="1900" w:type="dxa"/>
            <w:vAlign w:val="bottom"/>
            <w:tcBorders>
              <w:bottom w:val="single" w:sz="8" w:color="AFAFAF"/>
            </w:tcBorders>
          </w:tcPr>
          <w:p>
            <w:pPr>
              <w:jc w:val="center"/>
              <w:ind w:right="428"/>
              <w:spacing w:after="0"/>
              <w:rPr>
                <w:sz w:val="20"/>
                <w:szCs w:val="20"/>
                <w:color w:val="auto"/>
              </w:rPr>
            </w:pPr>
            <w:r>
              <w:rPr>
                <w:rFonts w:ascii="Arial" w:cs="Arial" w:eastAsia="Arial" w:hAnsi="Arial"/>
                <w:sz w:val="14"/>
                <w:szCs w:val="14"/>
                <w:color w:val="auto"/>
              </w:rPr>
              <w:t>Approximately 17%</w:t>
            </w:r>
          </w:p>
        </w:tc>
        <w:tc>
          <w:tcPr>
            <w:tcW w:w="320" w:type="dxa"/>
            <w:vAlign w:val="bottom"/>
            <w:tcBorders>
              <w:bottom w:val="single" w:sz="8" w:color="AFAFAF"/>
            </w:tcBorders>
          </w:tcPr>
          <w:p>
            <w:pPr>
              <w:spacing w:after="0"/>
              <w:rPr>
                <w:sz w:val="24"/>
                <w:szCs w:val="24"/>
                <w:color w:val="auto"/>
              </w:rPr>
            </w:pPr>
          </w:p>
        </w:tc>
        <w:tc>
          <w:tcPr>
            <w:tcW w:w="1780" w:type="dxa"/>
            <w:vAlign w:val="bottom"/>
            <w:tcBorders>
              <w:bottom w:val="single" w:sz="8" w:color="AFAFAF"/>
            </w:tcBorders>
          </w:tcPr>
          <w:p>
            <w:pPr>
              <w:jc w:val="center"/>
              <w:ind w:right="909"/>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AFAFAF"/>
            </w:tcBorders>
          </w:tcPr>
          <w:p>
            <w:pPr>
              <w:spacing w:after="0"/>
              <w:rPr>
                <w:sz w:val="24"/>
                <w:szCs w:val="24"/>
                <w:color w:val="auto"/>
              </w:rPr>
            </w:pPr>
          </w:p>
        </w:tc>
        <w:tc>
          <w:tcPr>
            <w:tcW w:w="680" w:type="dxa"/>
            <w:vAlign w:val="bottom"/>
            <w:tcBorders>
              <w:bottom w:val="single" w:sz="8" w:color="AFAFAF"/>
            </w:tcBorders>
          </w:tcPr>
          <w:p>
            <w:pPr>
              <w:ind w:left="14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5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40" w:type="dxa"/>
            <w:vAlign w:val="bottom"/>
            <w:vMerge w:val="restart"/>
            <w:shd w:val="clear" w:color="auto" w:fill="262626"/>
          </w:tcPr>
          <w:p>
            <w:pPr>
              <w:spacing w:after="0"/>
              <w:rPr>
                <w:sz w:val="20"/>
                <w:szCs w:val="20"/>
                <w:color w:val="auto"/>
              </w:rPr>
            </w:pPr>
            <w:r>
              <w:rPr>
                <w:rFonts w:ascii="Arial" w:cs="Arial" w:eastAsia="Arial" w:hAnsi="Arial"/>
                <w:sz w:val="15"/>
                <w:szCs w:val="15"/>
                <w:b w:val="1"/>
                <w:bCs w:val="1"/>
                <w:color w:val="FFFFFF"/>
              </w:rPr>
              <w:t>  “Big 3” Segments</w:t>
            </w:r>
            <w:r>
              <w:rPr>
                <w:rFonts w:ascii="Arial" w:cs="Arial" w:eastAsia="Arial" w:hAnsi="Arial"/>
                <w:sz w:val="22"/>
                <w:szCs w:val="22"/>
                <w:b w:val="1"/>
                <w:bCs w:val="1"/>
                <w:color w:val="FFFFFF"/>
                <w:vertAlign w:val="superscript"/>
              </w:rPr>
              <w:t>(2)</w:t>
            </w:r>
          </w:p>
        </w:tc>
        <w:tc>
          <w:tcPr>
            <w:tcW w:w="400" w:type="dxa"/>
            <w:vAlign w:val="bottom"/>
            <w:shd w:val="clear" w:color="auto" w:fill="262626"/>
          </w:tcPr>
          <w:p>
            <w:pPr>
              <w:spacing w:after="0"/>
              <w:rPr>
                <w:sz w:val="17"/>
                <w:szCs w:val="17"/>
                <w:color w:val="auto"/>
              </w:rPr>
            </w:pPr>
          </w:p>
        </w:tc>
        <w:tc>
          <w:tcPr>
            <w:tcW w:w="1900" w:type="dxa"/>
            <w:vAlign w:val="bottom"/>
            <w:shd w:val="clear" w:color="auto" w:fill="262626"/>
          </w:tcPr>
          <w:p>
            <w:pPr>
              <w:spacing w:after="0"/>
              <w:rPr>
                <w:sz w:val="17"/>
                <w:szCs w:val="17"/>
                <w:color w:val="auto"/>
              </w:rPr>
            </w:pPr>
          </w:p>
        </w:tc>
        <w:tc>
          <w:tcPr>
            <w:tcW w:w="320" w:type="dxa"/>
            <w:vAlign w:val="bottom"/>
            <w:shd w:val="clear" w:color="auto" w:fill="262626"/>
          </w:tcPr>
          <w:p>
            <w:pPr>
              <w:spacing w:after="0"/>
              <w:rPr>
                <w:sz w:val="17"/>
                <w:szCs w:val="17"/>
                <w:color w:val="auto"/>
              </w:rPr>
            </w:pPr>
          </w:p>
        </w:tc>
        <w:tc>
          <w:tcPr>
            <w:tcW w:w="2560" w:type="dxa"/>
            <w:vAlign w:val="bottom"/>
            <w:gridSpan w:val="3"/>
            <w:shd w:val="clear" w:color="auto" w:fill="262626"/>
          </w:tcPr>
          <w:p>
            <w:pPr>
              <w:ind w:left="180"/>
              <w:spacing w:after="0"/>
              <w:rPr>
                <w:sz w:val="20"/>
                <w:szCs w:val="20"/>
                <w:color w:val="auto"/>
              </w:rPr>
            </w:pPr>
            <w:r>
              <w:rPr>
                <w:rFonts w:ascii="Arial" w:cs="Arial" w:eastAsia="Arial" w:hAnsi="Arial"/>
                <w:sz w:val="15"/>
                <w:szCs w:val="15"/>
                <w:b w:val="1"/>
                <w:bCs w:val="1"/>
                <w:color w:val="FFFFFF"/>
              </w:rPr>
              <w:t>2023 Actual Performance</w:t>
            </w:r>
          </w:p>
        </w:tc>
        <w:tc>
          <w:tcPr>
            <w:tcW w:w="0" w:type="dxa"/>
            <w:vAlign w:val="bottom"/>
          </w:tcPr>
          <w:p>
            <w:pPr>
              <w:spacing w:after="0"/>
              <w:rPr>
                <w:sz w:val="1"/>
                <w:szCs w:val="1"/>
                <w:color w:val="auto"/>
              </w:rPr>
            </w:pPr>
          </w:p>
        </w:tc>
      </w:tr>
      <w:tr>
        <w:trPr>
          <w:trHeight w:val="98"/>
        </w:trPr>
        <w:tc>
          <w:tcPr>
            <w:tcW w:w="5740" w:type="dxa"/>
            <w:vAlign w:val="bottom"/>
            <w:vMerge w:val="continue"/>
            <w:shd w:val="clear" w:color="auto" w:fill="262626"/>
          </w:tcPr>
          <w:p>
            <w:pPr>
              <w:spacing w:after="0"/>
              <w:rPr>
                <w:sz w:val="8"/>
                <w:szCs w:val="8"/>
                <w:color w:val="auto"/>
              </w:rPr>
            </w:pPr>
          </w:p>
        </w:tc>
        <w:tc>
          <w:tcPr>
            <w:tcW w:w="400" w:type="dxa"/>
            <w:vAlign w:val="bottom"/>
            <w:shd w:val="clear" w:color="auto" w:fill="262626"/>
          </w:tcPr>
          <w:p>
            <w:pPr>
              <w:spacing w:after="0"/>
              <w:rPr>
                <w:sz w:val="8"/>
                <w:szCs w:val="8"/>
                <w:color w:val="auto"/>
              </w:rPr>
            </w:pPr>
          </w:p>
        </w:tc>
        <w:tc>
          <w:tcPr>
            <w:tcW w:w="1900" w:type="dxa"/>
            <w:vAlign w:val="bottom"/>
            <w:vMerge w:val="restart"/>
            <w:shd w:val="clear" w:color="auto" w:fill="262626"/>
          </w:tcPr>
          <w:p>
            <w:pPr>
              <w:jc w:val="center"/>
              <w:ind w:left="28"/>
              <w:spacing w:after="0"/>
              <w:rPr>
                <w:sz w:val="20"/>
                <w:szCs w:val="20"/>
                <w:color w:val="auto"/>
              </w:rPr>
            </w:pPr>
            <w:r>
              <w:rPr>
                <w:rFonts w:ascii="Arial" w:cs="Arial" w:eastAsia="Arial" w:hAnsi="Arial"/>
                <w:sz w:val="15"/>
                <w:szCs w:val="15"/>
                <w:b w:val="1"/>
                <w:bCs w:val="1"/>
                <w:color w:val="FFFFFF"/>
              </w:rPr>
              <w:t>2023 Updated Outlook</w:t>
            </w:r>
          </w:p>
        </w:tc>
        <w:tc>
          <w:tcPr>
            <w:tcW w:w="320" w:type="dxa"/>
            <w:vAlign w:val="bottom"/>
            <w:vMerge w:val="restart"/>
            <w:shd w:val="clear" w:color="auto" w:fill="262626"/>
          </w:tcPr>
          <w:p>
            <w:pPr>
              <w:jc w:val="right"/>
              <w:spacing w:after="0"/>
              <w:rPr>
                <w:sz w:val="20"/>
                <w:szCs w:val="20"/>
                <w:color w:val="auto"/>
              </w:rPr>
            </w:pPr>
            <w:r>
              <w:rPr>
                <w:rFonts w:ascii="Arial" w:cs="Arial" w:eastAsia="Arial" w:hAnsi="Arial"/>
                <w:sz w:val="15"/>
                <w:szCs w:val="15"/>
                <w:b w:val="1"/>
                <w:bCs w:val="1"/>
                <w:color w:val="FFFFFF"/>
              </w:rPr>
              <w:t> </w:t>
            </w:r>
          </w:p>
        </w:tc>
        <w:tc>
          <w:tcPr>
            <w:tcW w:w="1780" w:type="dxa"/>
            <w:vAlign w:val="bottom"/>
            <w:shd w:val="clear" w:color="auto" w:fill="262626"/>
          </w:tcPr>
          <w:p>
            <w:pPr>
              <w:ind w:left="1640"/>
              <w:spacing w:after="0" w:line="98" w:lineRule="exact"/>
              <w:rPr>
                <w:sz w:val="20"/>
                <w:szCs w:val="20"/>
                <w:color w:val="auto"/>
              </w:rPr>
            </w:pPr>
            <w:r>
              <w:rPr>
                <w:rFonts w:ascii="Arial" w:cs="Arial" w:eastAsia="Arial" w:hAnsi="Arial"/>
                <w:sz w:val="11"/>
                <w:szCs w:val="11"/>
                <w:b w:val="1"/>
                <w:bCs w:val="1"/>
                <w:color w:val="FFFFFF"/>
                <w:w w:val="88"/>
              </w:rPr>
              <w:t>(1)</w:t>
            </w:r>
          </w:p>
        </w:tc>
        <w:tc>
          <w:tcPr>
            <w:tcW w:w="100" w:type="dxa"/>
            <w:vAlign w:val="bottom"/>
            <w:vMerge w:val="restart"/>
            <w:shd w:val="clear" w:color="auto" w:fill="262626"/>
          </w:tcPr>
          <w:p>
            <w:pPr>
              <w:spacing w:after="0"/>
              <w:rPr>
                <w:sz w:val="20"/>
                <w:szCs w:val="20"/>
                <w:color w:val="auto"/>
              </w:rPr>
            </w:pPr>
            <w:r>
              <w:rPr>
                <w:rFonts w:ascii="Arial" w:cs="Arial" w:eastAsia="Arial" w:hAnsi="Arial"/>
                <w:sz w:val="11"/>
                <w:szCs w:val="11"/>
                <w:b w:val="1"/>
                <w:bCs w:val="1"/>
                <w:color w:val="FFFFFF"/>
                <w:w w:val="72"/>
              </w:rPr>
              <w:t> </w:t>
            </w:r>
          </w:p>
        </w:tc>
        <w:tc>
          <w:tcPr>
            <w:tcW w:w="680" w:type="dxa"/>
            <w:vAlign w:val="bottom"/>
            <w:vMerge w:val="restart"/>
            <w:shd w:val="clear" w:color="auto" w:fill="262626"/>
          </w:tcPr>
          <w:p>
            <w:pPr>
              <w:ind w:left="40"/>
              <w:spacing w:after="0"/>
              <w:rPr>
                <w:sz w:val="20"/>
                <w:szCs w:val="20"/>
                <w:color w:val="auto"/>
              </w:rPr>
            </w:pPr>
            <w:r>
              <w:rPr>
                <w:rFonts w:ascii="Arial" w:cs="Arial" w:eastAsia="Arial" w:hAnsi="Arial"/>
                <w:sz w:val="15"/>
                <w:szCs w:val="15"/>
                <w:b w:val="1"/>
                <w:bCs w:val="1"/>
                <w:color w:val="FFFFFF"/>
              </w:rPr>
              <w:t xml:space="preserve">    </w:t>
            </w:r>
          </w:p>
        </w:tc>
        <w:tc>
          <w:tcPr>
            <w:tcW w:w="0" w:type="dxa"/>
            <w:vAlign w:val="bottom"/>
          </w:tcPr>
          <w:p>
            <w:pPr>
              <w:spacing w:after="0"/>
              <w:rPr>
                <w:sz w:val="1"/>
                <w:szCs w:val="1"/>
                <w:color w:val="auto"/>
              </w:rPr>
            </w:pPr>
          </w:p>
        </w:tc>
      </w:tr>
      <w:tr>
        <w:trPr>
          <w:trHeight w:val="160"/>
        </w:trPr>
        <w:tc>
          <w:tcPr>
            <w:tcW w:w="5740" w:type="dxa"/>
            <w:vAlign w:val="bottom"/>
            <w:shd w:val="clear" w:color="auto" w:fill="262626"/>
          </w:tcPr>
          <w:p>
            <w:pPr>
              <w:spacing w:after="0"/>
              <w:rPr>
                <w:sz w:val="13"/>
                <w:szCs w:val="13"/>
                <w:color w:val="auto"/>
              </w:rPr>
            </w:pPr>
          </w:p>
        </w:tc>
        <w:tc>
          <w:tcPr>
            <w:tcW w:w="400" w:type="dxa"/>
            <w:vAlign w:val="bottom"/>
            <w:shd w:val="clear" w:color="auto" w:fill="262626"/>
          </w:tcPr>
          <w:p>
            <w:pPr>
              <w:spacing w:after="0"/>
              <w:rPr>
                <w:sz w:val="13"/>
                <w:szCs w:val="13"/>
                <w:color w:val="auto"/>
              </w:rPr>
            </w:pPr>
          </w:p>
        </w:tc>
        <w:tc>
          <w:tcPr>
            <w:tcW w:w="1900" w:type="dxa"/>
            <w:vAlign w:val="bottom"/>
            <w:vMerge w:val="continue"/>
            <w:shd w:val="clear" w:color="auto" w:fill="262626"/>
          </w:tcPr>
          <w:p>
            <w:pPr>
              <w:spacing w:after="0"/>
              <w:rPr>
                <w:sz w:val="13"/>
                <w:szCs w:val="13"/>
                <w:color w:val="auto"/>
              </w:rPr>
            </w:pPr>
          </w:p>
        </w:tc>
        <w:tc>
          <w:tcPr>
            <w:tcW w:w="320" w:type="dxa"/>
            <w:vAlign w:val="bottom"/>
            <w:vMerge w:val="continue"/>
            <w:shd w:val="clear" w:color="auto" w:fill="262626"/>
          </w:tcPr>
          <w:p>
            <w:pPr>
              <w:spacing w:after="0"/>
              <w:rPr>
                <w:sz w:val="13"/>
                <w:szCs w:val="13"/>
                <w:color w:val="auto"/>
              </w:rPr>
            </w:pPr>
          </w:p>
        </w:tc>
        <w:tc>
          <w:tcPr>
            <w:tcW w:w="1780" w:type="dxa"/>
            <w:vAlign w:val="bottom"/>
            <w:shd w:val="clear" w:color="auto" w:fill="262626"/>
          </w:tcPr>
          <w:p>
            <w:pPr>
              <w:ind w:left="80"/>
              <w:spacing w:after="0" w:line="147" w:lineRule="exact"/>
              <w:rPr>
                <w:sz w:val="20"/>
                <w:szCs w:val="20"/>
                <w:color w:val="auto"/>
              </w:rPr>
            </w:pPr>
            <w:r>
              <w:rPr>
                <w:rFonts w:ascii="Arial" w:cs="Arial" w:eastAsia="Arial" w:hAnsi="Arial"/>
                <w:sz w:val="15"/>
                <w:szCs w:val="15"/>
                <w:b w:val="1"/>
                <w:bCs w:val="1"/>
                <w:color w:val="FFFFFF"/>
              </w:rPr>
              <w:t>      (Before currency)</w:t>
            </w:r>
          </w:p>
        </w:tc>
        <w:tc>
          <w:tcPr>
            <w:tcW w:w="100" w:type="dxa"/>
            <w:vAlign w:val="bottom"/>
            <w:vMerge w:val="continue"/>
            <w:shd w:val="clear" w:color="auto" w:fill="262626"/>
          </w:tcPr>
          <w:p>
            <w:pPr>
              <w:spacing w:after="0"/>
              <w:rPr>
                <w:sz w:val="13"/>
                <w:szCs w:val="13"/>
                <w:color w:val="auto"/>
              </w:rPr>
            </w:pPr>
          </w:p>
        </w:tc>
        <w:tc>
          <w:tcPr>
            <w:tcW w:w="680" w:type="dxa"/>
            <w:vAlign w:val="bottom"/>
            <w:vMerge w:val="continue"/>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740" w:type="dxa"/>
            <w:vAlign w:val="bottom"/>
          </w:tcPr>
          <w:p>
            <w:pPr>
              <w:spacing w:after="0"/>
              <w:rPr>
                <w:sz w:val="20"/>
                <w:szCs w:val="20"/>
                <w:color w:val="auto"/>
              </w:rPr>
            </w:pPr>
            <w:r>
              <w:rPr>
                <w:rFonts w:ascii="Arial" w:cs="Arial" w:eastAsia="Arial" w:hAnsi="Arial"/>
                <w:sz w:val="14"/>
                <w:szCs w:val="14"/>
                <w:b w:val="1"/>
                <w:bCs w:val="1"/>
                <w:color w:val="auto"/>
              </w:rPr>
              <w:t>  Revenue Growth</w:t>
            </w:r>
          </w:p>
        </w:tc>
        <w:tc>
          <w:tcPr>
            <w:tcW w:w="2300" w:type="dxa"/>
            <w:vAlign w:val="bottom"/>
            <w:gridSpan w:val="2"/>
          </w:tcPr>
          <w:p>
            <w:pPr>
              <w:jc w:val="center"/>
              <w:ind w:left="408"/>
              <w:spacing w:after="0"/>
              <w:rPr>
                <w:sz w:val="20"/>
                <w:szCs w:val="20"/>
                <w:color w:val="auto"/>
              </w:rPr>
            </w:pPr>
            <w:r>
              <w:rPr>
                <w:rFonts w:ascii="Arial" w:cs="Arial" w:eastAsia="Arial" w:hAnsi="Arial"/>
                <w:sz w:val="14"/>
                <w:szCs w:val="14"/>
                <w:color w:val="auto"/>
              </w:rPr>
              <w:t>3.5% - 4.0%</w:t>
            </w:r>
          </w:p>
        </w:tc>
        <w:tc>
          <w:tcPr>
            <w:tcW w:w="320" w:type="dxa"/>
            <w:vAlign w:val="bottom"/>
          </w:tcPr>
          <w:p>
            <w:pPr>
              <w:spacing w:after="0"/>
              <w:rPr>
                <w:sz w:val="21"/>
                <w:szCs w:val="21"/>
                <w:color w:val="auto"/>
              </w:rPr>
            </w:pPr>
          </w:p>
        </w:tc>
        <w:tc>
          <w:tcPr>
            <w:tcW w:w="1780" w:type="dxa"/>
            <w:vAlign w:val="bottom"/>
          </w:tcPr>
          <w:p>
            <w:pPr>
              <w:jc w:val="center"/>
              <w:ind w:right="829"/>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680" w:type="dxa"/>
            <w:vAlign w:val="bottom"/>
          </w:tcPr>
          <w:p>
            <w:pPr>
              <w:ind w:left="22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34"/>
        </w:trPr>
        <w:tc>
          <w:tcPr>
            <w:tcW w:w="5740" w:type="dxa"/>
            <w:vAlign w:val="bottom"/>
          </w:tcPr>
          <w:p>
            <w:pPr>
              <w:ind w:left="16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Organic revenue growth</w:t>
            </w:r>
          </w:p>
        </w:tc>
        <w:tc>
          <w:tcPr>
            <w:tcW w:w="230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rPr>
              <w:t>6.5% - 7.0%</w:t>
            </w:r>
          </w:p>
        </w:tc>
        <w:tc>
          <w:tcPr>
            <w:tcW w:w="320" w:type="dxa"/>
            <w:vAlign w:val="bottom"/>
          </w:tcPr>
          <w:p>
            <w:pPr>
              <w:spacing w:after="0"/>
              <w:rPr>
                <w:sz w:val="24"/>
                <w:szCs w:val="24"/>
                <w:color w:val="auto"/>
              </w:rPr>
            </w:pPr>
          </w:p>
        </w:tc>
        <w:tc>
          <w:tcPr>
            <w:tcW w:w="1780" w:type="dxa"/>
            <w:vAlign w:val="bottom"/>
          </w:tcPr>
          <w:p>
            <w:pPr>
              <w:jc w:val="center"/>
              <w:ind w:right="82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68"/>
        </w:trPr>
        <w:tc>
          <w:tcPr>
            <w:tcW w:w="5740" w:type="dxa"/>
            <w:vAlign w:val="bottom"/>
            <w:tcBorders>
              <w:bottom w:val="single" w:sz="8" w:color="AFAFAF"/>
            </w:tcBorders>
          </w:tcPr>
          <w:p>
            <w:pPr>
              <w:spacing w:after="0"/>
              <w:rPr>
                <w:sz w:val="5"/>
                <w:szCs w:val="5"/>
                <w:color w:val="auto"/>
              </w:rPr>
            </w:pPr>
          </w:p>
        </w:tc>
        <w:tc>
          <w:tcPr>
            <w:tcW w:w="400" w:type="dxa"/>
            <w:vAlign w:val="bottom"/>
            <w:tcBorders>
              <w:bottom w:val="single" w:sz="8" w:color="AFAFAF"/>
            </w:tcBorders>
          </w:tcPr>
          <w:p>
            <w:pPr>
              <w:spacing w:after="0"/>
              <w:rPr>
                <w:sz w:val="5"/>
                <w:szCs w:val="5"/>
                <w:color w:val="auto"/>
              </w:rPr>
            </w:pPr>
          </w:p>
        </w:tc>
        <w:tc>
          <w:tcPr>
            <w:tcW w:w="1900" w:type="dxa"/>
            <w:vAlign w:val="bottom"/>
            <w:tcBorders>
              <w:bottom w:val="single" w:sz="8" w:color="AFAFAF"/>
            </w:tcBorders>
          </w:tcPr>
          <w:p>
            <w:pPr>
              <w:spacing w:after="0"/>
              <w:rPr>
                <w:sz w:val="5"/>
                <w:szCs w:val="5"/>
                <w:color w:val="auto"/>
              </w:rPr>
            </w:pPr>
          </w:p>
        </w:tc>
        <w:tc>
          <w:tcPr>
            <w:tcW w:w="320" w:type="dxa"/>
            <w:vAlign w:val="bottom"/>
            <w:tcBorders>
              <w:bottom w:val="single" w:sz="8" w:color="AFAFAF"/>
            </w:tcBorders>
          </w:tcPr>
          <w:p>
            <w:pPr>
              <w:spacing w:after="0"/>
              <w:rPr>
                <w:sz w:val="5"/>
                <w:szCs w:val="5"/>
                <w:color w:val="auto"/>
              </w:rPr>
            </w:pPr>
          </w:p>
        </w:tc>
        <w:tc>
          <w:tcPr>
            <w:tcW w:w="1780" w:type="dxa"/>
            <w:vAlign w:val="bottom"/>
            <w:tcBorders>
              <w:bottom w:val="single" w:sz="8" w:color="AFAFAF"/>
            </w:tcBorders>
          </w:tcPr>
          <w:p>
            <w:pPr>
              <w:spacing w:after="0"/>
              <w:rPr>
                <w:sz w:val="5"/>
                <w:szCs w:val="5"/>
                <w:color w:val="auto"/>
              </w:rPr>
            </w:pPr>
          </w:p>
        </w:tc>
        <w:tc>
          <w:tcPr>
            <w:tcW w:w="100" w:type="dxa"/>
            <w:vAlign w:val="bottom"/>
            <w:tcBorders>
              <w:bottom w:val="single" w:sz="8" w:color="AFAFAF"/>
            </w:tcBorders>
          </w:tcPr>
          <w:p>
            <w:pPr>
              <w:spacing w:after="0"/>
              <w:rPr>
                <w:sz w:val="5"/>
                <w:szCs w:val="5"/>
                <w:color w:val="auto"/>
              </w:rPr>
            </w:pPr>
          </w:p>
        </w:tc>
        <w:tc>
          <w:tcPr>
            <w:tcW w:w="680" w:type="dxa"/>
            <w:vAlign w:val="bottom"/>
            <w:tcBorders>
              <w:bottom w:val="single" w:sz="8" w:color="AFAFAF"/>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0"/>
                <w:szCs w:val="20"/>
                <w:color w:val="auto"/>
              </w:rPr>
            </w:pPr>
            <w:r>
              <w:rPr>
                <w:rFonts w:ascii="Arial" w:cs="Arial" w:eastAsia="Arial" w:hAnsi="Arial"/>
                <w:sz w:val="14"/>
                <w:szCs w:val="14"/>
                <w:b w:val="1"/>
                <w:bCs w:val="1"/>
                <w:color w:val="auto"/>
              </w:rPr>
              <w:t>  Adjusted EBITDA margin</w:t>
            </w:r>
          </w:p>
        </w:tc>
        <w:tc>
          <w:tcPr>
            <w:tcW w:w="400" w:type="dxa"/>
            <w:vAlign w:val="bottom"/>
          </w:tcPr>
          <w:p>
            <w:pPr>
              <w:spacing w:after="0"/>
              <w:rPr>
                <w:sz w:val="21"/>
                <w:szCs w:val="21"/>
                <w:color w:val="auto"/>
              </w:rPr>
            </w:pPr>
          </w:p>
        </w:tc>
        <w:tc>
          <w:tcPr>
            <w:tcW w:w="1900" w:type="dxa"/>
            <w:vAlign w:val="bottom"/>
          </w:tcPr>
          <w:p>
            <w:pPr>
              <w:jc w:val="center"/>
              <w:ind w:left="8"/>
              <w:spacing w:after="0"/>
              <w:rPr>
                <w:sz w:val="20"/>
                <w:szCs w:val="20"/>
                <w:color w:val="auto"/>
              </w:rPr>
            </w:pPr>
            <w:r>
              <w:rPr>
                <w:rFonts w:ascii="Arial" w:cs="Arial" w:eastAsia="Arial" w:hAnsi="Arial"/>
                <w:sz w:val="14"/>
                <w:szCs w:val="14"/>
                <w:color w:val="auto"/>
              </w:rPr>
              <w:t>Approximately 44%</w:t>
            </w:r>
          </w:p>
        </w:tc>
        <w:tc>
          <w:tcPr>
            <w:tcW w:w="320" w:type="dxa"/>
            <w:vAlign w:val="bottom"/>
          </w:tcPr>
          <w:p>
            <w:pPr>
              <w:spacing w:after="0"/>
              <w:rPr>
                <w:sz w:val="21"/>
                <w:szCs w:val="21"/>
                <w:color w:val="auto"/>
              </w:rPr>
            </w:pPr>
          </w:p>
        </w:tc>
        <w:tc>
          <w:tcPr>
            <w:tcW w:w="1780" w:type="dxa"/>
            <w:vAlign w:val="bottom"/>
          </w:tcPr>
          <w:p>
            <w:pPr>
              <w:jc w:val="center"/>
              <w:ind w:right="829"/>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21"/>
                <w:szCs w:val="21"/>
                <w:color w:val="auto"/>
              </w:rPr>
            </w:pPr>
          </w:p>
        </w:tc>
        <w:tc>
          <w:tcPr>
            <w:tcW w:w="680" w:type="dxa"/>
            <w:vAlign w:val="bottom"/>
          </w:tcPr>
          <w:p>
            <w:pPr>
              <w:ind w:left="22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-3216910</wp:posOffset>
            </wp:positionV>
            <wp:extent cx="76200" cy="850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-3004820</wp:posOffset>
            </wp:positionV>
            <wp:extent cx="76200" cy="850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-2580005</wp:posOffset>
            </wp:positionV>
            <wp:extent cx="76200" cy="850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-2367915</wp:posOffset>
            </wp:positionV>
            <wp:extent cx="76200" cy="850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-1943100</wp:posOffset>
            </wp:positionV>
            <wp:extent cx="76200" cy="850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-1731010</wp:posOffset>
            </wp:positionV>
            <wp:extent cx="76200" cy="850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-1518285</wp:posOffset>
            </wp:positionV>
            <wp:extent cx="76200" cy="850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-1094105</wp:posOffset>
            </wp:positionV>
            <wp:extent cx="76200" cy="850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-541655</wp:posOffset>
            </wp:positionV>
            <wp:extent cx="76200" cy="850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-329565</wp:posOffset>
            </wp:positionV>
            <wp:extent cx="76200" cy="850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200" cy="8509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-117475</wp:posOffset>
            </wp:positionV>
            <wp:extent cx="76200" cy="850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00" cy="85090"/>
                    </a:xfrm>
                    <a:prstGeom prst="rect">
                      <a:avLst/>
                    </a:prstGeom>
                    <a:noFill/>
                  </pic:spPr>
                </pic:pic>
              </a:graphicData>
            </a:graphic>
          </wp:anchor>
        </w:drawing>
      </w:r>
    </w:p>
    <w:p>
      <w:pPr>
        <w:spacing w:after="0" w:line="156" w:lineRule="exact"/>
        <w:rPr>
          <w:sz w:val="20"/>
          <w:szCs w:val="20"/>
          <w:color w:val="auto"/>
        </w:rPr>
      </w:pPr>
    </w:p>
    <w:p>
      <w:pPr>
        <w:ind w:left="320" w:hanging="153"/>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2023 performance (before currency) was measured in constant currency rates relative to 2022, except for free cash flow which was reflected at actual rates.</w:t>
      </w:r>
    </w:p>
    <w:p>
      <w:pPr>
        <w:spacing w:after="0" w:line="9" w:lineRule="exact"/>
        <w:rPr>
          <w:rFonts w:ascii="Arial" w:cs="Arial" w:eastAsia="Arial" w:hAnsi="Arial"/>
          <w:sz w:val="13"/>
          <w:szCs w:val="13"/>
          <w:color w:val="auto"/>
        </w:rPr>
      </w:pPr>
    </w:p>
    <w:p>
      <w:pPr>
        <w:ind w:left="320" w:hanging="153"/>
        <w:spacing w:after="0" w:line="236"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Non-IFRS financial measures. Please see the note in the “Additional Information” section of this circular.</w:t>
      </w:r>
    </w:p>
    <w:p>
      <w:pPr>
        <w:ind w:left="160" w:right="20" w:firstLine="7"/>
        <w:spacing w:after="0" w:line="236" w:lineRule="auto"/>
        <w:tabs>
          <w:tab w:leader="none" w:pos="309"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of September 30, 2023, we amended the definition of adjusted earnings and adjusted EPS to exclude amortization from acquired computer software. Refer to Appendices A and B of our management’s discussion and analysis included in our annual report for additional information.</w:t>
      </w:r>
    </w:p>
    <w:p>
      <w:pPr>
        <w:ind w:left="320" w:hanging="153"/>
        <w:spacing w:after="0" w:line="236"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Excludes a $12 million interest benefit associated with the release of tax reserves that is removed from adjusted earnings.</w:t>
      </w:r>
    </w:p>
    <w:p>
      <w:pPr>
        <w:ind w:left="320" w:hanging="153"/>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Refer to the “Tax Expense” section within the “Results of Operations” section of our management’s discussion and analysis included in our annual report for additional information.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2023 performance highlights also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4" w:lineRule="exact"/>
        <w:rPr>
          <w:sz w:val="20"/>
          <w:szCs w:val="20"/>
          <w:color w:val="auto"/>
        </w:rPr>
      </w:pPr>
    </w:p>
    <w:p>
      <w:pPr>
        <w:ind w:left="160"/>
        <w:spacing w:after="0"/>
        <w:tabs>
          <w:tab w:leader="none" w:pos="2020" w:val="left"/>
        </w:tabs>
        <w:rPr>
          <w:sz w:val="20"/>
          <w:szCs w:val="20"/>
          <w:color w:val="auto"/>
        </w:rPr>
      </w:pPr>
      <w:r>
        <w:rPr>
          <w:rFonts w:ascii="Arial" w:cs="Arial" w:eastAsia="Arial" w:hAnsi="Arial"/>
          <w:sz w:val="14"/>
          <w:szCs w:val="14"/>
          <w:b w:val="1"/>
          <w:bCs w:val="1"/>
          <w:color w:val="auto"/>
        </w:rPr>
        <w:t>Significant Investment in</w:t>
      </w:r>
      <w:r>
        <w:rPr>
          <w:sz w:val="20"/>
          <w:szCs w:val="20"/>
          <w:color w:val="auto"/>
        </w:rPr>
        <w:tab/>
      </w:r>
      <w:r>
        <w:rPr>
          <w:rFonts w:ascii="Arial" w:cs="Arial" w:eastAsia="Arial" w:hAnsi="Arial"/>
          <w:sz w:val="14"/>
          <w:szCs w:val="14"/>
          <w:color w:val="auto"/>
        </w:rPr>
        <w:t>In 2023, we made significant investments in AI-based initiatives, including generative AI. In November 2023, we announced a series of</w:t>
      </w:r>
    </w:p>
    <w:p>
      <w:pPr>
        <w:spacing w:after="0" w:line="40" w:lineRule="exact"/>
        <w:rPr>
          <w:sz w:val="20"/>
          <w:szCs w:val="20"/>
          <w:color w:val="auto"/>
        </w:rPr>
      </w:pPr>
    </w:p>
    <w:p>
      <w:pPr>
        <w:ind w:left="2040" w:right="200" w:hanging="1871"/>
        <w:spacing w:after="0" w:line="340" w:lineRule="auto"/>
        <w:tabs>
          <w:tab w:leader="none" w:pos="2020" w:val="left"/>
        </w:tabs>
        <w:rPr>
          <w:sz w:val="20"/>
          <w:szCs w:val="20"/>
          <w:color w:val="auto"/>
        </w:rPr>
      </w:pPr>
      <w:r>
        <w:rPr>
          <w:rFonts w:ascii="Arial" w:cs="Arial" w:eastAsia="Arial" w:hAnsi="Arial"/>
          <w:sz w:val="14"/>
          <w:szCs w:val="14"/>
          <w:b w:val="1"/>
          <w:bCs w:val="1"/>
          <w:color w:val="auto"/>
        </w:rPr>
        <w:t>Generative AI</w:t>
      </w:r>
      <w:r>
        <w:rPr>
          <w:sz w:val="20"/>
          <w:szCs w:val="20"/>
          <w:color w:val="auto"/>
        </w:rPr>
        <w:tab/>
      </w:r>
      <w:r>
        <w:rPr>
          <w:rFonts w:ascii="Arial" w:cs="Arial" w:eastAsia="Arial" w:hAnsi="Arial"/>
          <w:sz w:val="14"/>
          <w:szCs w:val="14"/>
          <w:color w:val="auto"/>
        </w:rPr>
        <w:t>generative AI initiatives designed to assist in the transformation of the legal profession. Most notably, the commercial releases of AI-Assisted Research on Westlaw Precision and CoCounsel Core AI Assistant for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52" w:lineRule="exact"/>
        <w:rPr>
          <w:sz w:val="20"/>
          <w:szCs w:val="20"/>
          <w:color w:val="auto"/>
        </w:rPr>
      </w:pPr>
    </w:p>
    <w:p>
      <w:pPr>
        <w:ind w:left="160"/>
        <w:spacing w:after="0" w:line="289" w:lineRule="auto"/>
        <w:rPr>
          <w:sz w:val="20"/>
          <w:szCs w:val="20"/>
          <w:color w:val="auto"/>
        </w:rPr>
      </w:pPr>
      <w:r>
        <w:rPr>
          <w:rFonts w:ascii="Arial" w:cs="Arial" w:eastAsia="Arial" w:hAnsi="Arial"/>
          <w:sz w:val="14"/>
          <w:szCs w:val="14"/>
          <w:b w:val="1"/>
          <w:bCs w:val="1"/>
          <w:color w:val="auto"/>
        </w:rPr>
        <w:t>Returns to Shareholders and Share Performance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We returned $3.1 billion to our shareholders through our return of capital transaction and share repurchases.</w:t>
      </w:r>
    </w:p>
    <w:p>
      <w:pPr>
        <w:spacing w:after="0" w:line="80" w:lineRule="exact"/>
        <w:rPr>
          <w:sz w:val="20"/>
          <w:szCs w:val="20"/>
          <w:color w:val="auto"/>
        </w:rPr>
      </w:pPr>
    </w:p>
    <w:p>
      <w:pPr>
        <w:jc w:val="both"/>
        <w:ind w:right="480"/>
        <w:spacing w:after="0" w:line="260" w:lineRule="auto"/>
        <w:rPr>
          <w:sz w:val="20"/>
          <w:szCs w:val="20"/>
          <w:color w:val="auto"/>
        </w:rPr>
      </w:pPr>
      <w:r>
        <w:rPr>
          <w:rFonts w:ascii="Arial" w:cs="Arial" w:eastAsia="Arial" w:hAnsi="Arial"/>
          <w:sz w:val="14"/>
          <w:szCs w:val="14"/>
          <w:color w:val="auto"/>
        </w:rPr>
        <w:t>In 2023, the total shareholder return of our U.S. and Canadian dollar denominated common shares was approximately 135% and 132%, respectively. During this same period, the total shareholder return for our U.S. dollar-denominated shares was higher than the S&amp;P 500 Composite Index and the total return for our Canadian dollar-denominated shares was higher than the S&amp;P/TSX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30480</wp:posOffset>
            </wp:positionV>
            <wp:extent cx="6929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1840" w:space="200"/>
            <w:col w:w="9040"/>
          </w:cols>
          <w:pgMar w:left="320" w:top="454" w:right="499" w:bottom="1440" w:gutter="0" w:footer="0" w:header="0"/>
          <w:type w:val="continuous"/>
        </w:sectPr>
      </w:pPr>
    </w:p>
    <w:tbl>
      <w:tblPr>
        <w:tblLayout w:type="fixed"/>
        <w:tblInd w:w="16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b w:val="1"/>
                <w:bCs w:val="1"/>
                <w:color w:val="auto"/>
              </w:rPr>
              <w:t>Acquisitions and</w:t>
            </w:r>
          </w:p>
        </w:tc>
        <w:tc>
          <w:tcPr>
            <w:tcW w:w="9240" w:type="dxa"/>
            <w:vAlign w:val="bottom"/>
          </w:tcPr>
          <w:p>
            <w:pPr>
              <w:ind w:left="200"/>
              <w:spacing w:after="0"/>
              <w:rPr>
                <w:sz w:val="20"/>
                <w:szCs w:val="20"/>
                <w:color w:val="auto"/>
              </w:rPr>
            </w:pPr>
            <w:r>
              <w:rPr>
                <w:rFonts w:ascii="Arial" w:cs="Arial" w:eastAsia="Arial" w:hAnsi="Arial"/>
                <w:sz w:val="14"/>
                <w:szCs w:val="14"/>
                <w:color w:val="auto"/>
              </w:rPr>
              <w:t>We invested $1.2 billion in four acquisitions throughout the year further deepening our focus on content-enabled technology. In January 2023,</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20"/>
                <w:szCs w:val="20"/>
                <w:color w:val="auto"/>
              </w:rPr>
            </w:pPr>
            <w:r>
              <w:rPr>
                <w:rFonts w:ascii="Arial" w:cs="Arial" w:eastAsia="Arial" w:hAnsi="Arial"/>
                <w:sz w:val="14"/>
                <w:szCs w:val="14"/>
                <w:b w:val="1"/>
                <w:bCs w:val="1"/>
                <w:color w:val="auto"/>
              </w:rPr>
              <w:t>Dispositions</w:t>
            </w:r>
          </w:p>
        </w:tc>
        <w:tc>
          <w:tcPr>
            <w:tcW w:w="9240" w:type="dxa"/>
            <w:vAlign w:val="bottom"/>
          </w:tcPr>
          <w:p>
            <w:pPr>
              <w:ind w:left="200"/>
              <w:spacing w:after="0"/>
              <w:rPr>
                <w:sz w:val="20"/>
                <w:szCs w:val="20"/>
                <w:color w:val="auto"/>
              </w:rPr>
            </w:pPr>
            <w:r>
              <w:rPr>
                <w:rFonts w:ascii="Arial" w:cs="Arial" w:eastAsia="Arial" w:hAnsi="Arial"/>
                <w:sz w:val="14"/>
                <w:szCs w:val="14"/>
                <w:color w:val="auto"/>
              </w:rPr>
              <w:t>we acquired SurePrep, LLC, a US-based leader of 1040 tax automation software and services. In July 2023, we acquired Imagen Ltd., a cloud-</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9240" w:type="dxa"/>
            <w:vAlign w:val="bottom"/>
          </w:tcPr>
          <w:p>
            <w:pPr>
              <w:ind w:left="200"/>
              <w:spacing w:after="0"/>
              <w:rPr>
                <w:sz w:val="20"/>
                <w:szCs w:val="20"/>
                <w:color w:val="auto"/>
              </w:rPr>
            </w:pPr>
            <w:r>
              <w:rPr>
                <w:rFonts w:ascii="Arial" w:cs="Arial" w:eastAsia="Arial" w:hAnsi="Arial"/>
                <w:sz w:val="14"/>
                <w:szCs w:val="14"/>
                <w:color w:val="auto"/>
              </w:rPr>
              <w:t>native media asset management company. In August 2023, we acquired Casetext, Inc., a California-based company which used generative AI</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9240" w:type="dxa"/>
            <w:vAlign w:val="bottom"/>
          </w:tcPr>
          <w:p>
            <w:pPr>
              <w:ind w:left="200"/>
              <w:spacing w:after="0"/>
              <w:rPr>
                <w:sz w:val="20"/>
                <w:szCs w:val="20"/>
                <w:color w:val="auto"/>
              </w:rPr>
            </w:pPr>
            <w:r>
              <w:rPr>
                <w:rFonts w:ascii="Arial" w:cs="Arial" w:eastAsia="Arial" w:hAnsi="Arial"/>
                <w:sz w:val="14"/>
                <w:szCs w:val="14"/>
                <w:color w:val="auto"/>
              </w:rPr>
              <w:t>to build technology for legal professionals. This acquisition was integral in our ability to accelerate our generative AI initiatives launched in</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9240" w:type="dxa"/>
            <w:vAlign w:val="bottom"/>
          </w:tcPr>
          <w:p>
            <w:pPr>
              <w:ind w:left="200"/>
              <w:spacing w:after="0"/>
              <w:rPr>
                <w:sz w:val="20"/>
                <w:szCs w:val="20"/>
                <w:color w:val="auto"/>
              </w:rPr>
            </w:pPr>
            <w:r>
              <w:rPr>
                <w:rFonts w:ascii="Arial" w:cs="Arial" w:eastAsia="Arial" w:hAnsi="Arial"/>
                <w:sz w:val="14"/>
                <w:szCs w:val="14"/>
                <w:color w:val="auto"/>
              </w:rPr>
              <w:t>November 2023. In November 2023, we acquired full ownership of Westlaw Japan, a leading providing of comprehensive legal information</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9240" w:type="dxa"/>
            <w:vAlign w:val="bottom"/>
          </w:tcPr>
          <w:p>
            <w:pPr>
              <w:ind w:left="200"/>
              <w:spacing w:after="0"/>
              <w:rPr>
                <w:sz w:val="20"/>
                <w:szCs w:val="20"/>
                <w:color w:val="auto"/>
              </w:rPr>
            </w:pPr>
            <w:r>
              <w:rPr>
                <w:rFonts w:ascii="Arial" w:cs="Arial" w:eastAsia="Arial" w:hAnsi="Arial"/>
                <w:sz w:val="14"/>
                <w:szCs w:val="14"/>
                <w:color w:val="auto"/>
              </w:rPr>
              <w:t>services, featuring the largest case law database in the Japanese market, which had previously operated as a joint venture between Thomson</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9240" w:type="dxa"/>
            <w:vAlign w:val="bottom"/>
          </w:tcPr>
          <w:p>
            <w:pPr>
              <w:ind w:left="200"/>
              <w:spacing w:after="0"/>
              <w:rPr>
                <w:sz w:val="20"/>
                <w:szCs w:val="20"/>
                <w:color w:val="auto"/>
              </w:rPr>
            </w:pPr>
            <w:r>
              <w:rPr>
                <w:rFonts w:ascii="Arial" w:cs="Arial" w:eastAsia="Arial" w:hAnsi="Arial"/>
                <w:sz w:val="14"/>
                <w:szCs w:val="14"/>
                <w:color w:val="auto"/>
              </w:rPr>
              <w:t>Reuters and Shinnippon-Hoki Publishing.</w:t>
            </w:r>
          </w:p>
        </w:tc>
        <w:tc>
          <w:tcPr>
            <w:tcW w:w="0" w:type="dxa"/>
            <w:vAlign w:val="bottom"/>
          </w:tcPr>
          <w:p>
            <w:pPr>
              <w:spacing w:after="0"/>
              <w:rPr>
                <w:sz w:val="1"/>
                <w:szCs w:val="1"/>
                <w:color w:val="auto"/>
              </w:rPr>
            </w:pPr>
          </w:p>
        </w:tc>
      </w:tr>
      <w:tr>
        <w:trPr>
          <w:trHeight w:val="48"/>
        </w:trPr>
        <w:tc>
          <w:tcPr>
            <w:tcW w:w="1680" w:type="dxa"/>
            <w:vAlign w:val="bottom"/>
            <w:tcBorders>
              <w:bottom w:val="single" w:sz="8" w:color="AFAFAF"/>
            </w:tcBorders>
          </w:tcPr>
          <w:p>
            <w:pPr>
              <w:spacing w:after="0"/>
              <w:rPr>
                <w:sz w:val="4"/>
                <w:szCs w:val="4"/>
                <w:color w:val="auto"/>
              </w:rPr>
            </w:pPr>
          </w:p>
        </w:tc>
        <w:tc>
          <w:tcPr>
            <w:tcW w:w="9240" w:type="dxa"/>
            <w:vAlign w:val="bottom"/>
            <w:tcBorders>
              <w:bottom w:val="single" w:sz="8" w:color="AFAFAF"/>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4"/>
                <w:szCs w:val="14"/>
                <w:b w:val="1"/>
                <w:bCs w:val="1"/>
                <w:color w:val="auto"/>
              </w:rPr>
              <w:t>Monetization of LSEG</w:t>
            </w:r>
          </w:p>
        </w:tc>
        <w:tc>
          <w:tcPr>
            <w:tcW w:w="9240" w:type="dxa"/>
            <w:vAlign w:val="bottom"/>
            <w:vMerge w:val="restart"/>
          </w:tcPr>
          <w:p>
            <w:pPr>
              <w:ind w:left="200"/>
              <w:spacing w:after="0"/>
              <w:rPr>
                <w:sz w:val="20"/>
                <w:szCs w:val="20"/>
                <w:color w:val="auto"/>
              </w:rPr>
            </w:pPr>
            <w:r>
              <w:rPr>
                <w:rFonts w:ascii="Arial" w:cs="Arial" w:eastAsia="Arial" w:hAnsi="Arial"/>
                <w:sz w:val="14"/>
                <w:szCs w:val="14"/>
                <w:color w:val="auto"/>
              </w:rPr>
              <w:t>In 2023, we received gross proceeds of $5.4 billion from the sale of approximately 56 million LSEG shares.</w:t>
            </w:r>
          </w:p>
        </w:tc>
        <w:tc>
          <w:tcPr>
            <w:tcW w:w="0" w:type="dxa"/>
            <w:vAlign w:val="bottom"/>
          </w:tcPr>
          <w:p>
            <w:pPr>
              <w:spacing w:after="0"/>
              <w:rPr>
                <w:sz w:val="1"/>
                <w:szCs w:val="1"/>
                <w:color w:val="auto"/>
              </w:rPr>
            </w:pPr>
          </w:p>
        </w:tc>
      </w:tr>
      <w:tr>
        <w:trPr>
          <w:trHeight w:val="109"/>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680" w:type="dxa"/>
            <w:vAlign w:val="bottom"/>
            <w:vMerge w:val="continue"/>
          </w:tcPr>
          <w:p>
            <w:pPr>
              <w:spacing w:after="0"/>
              <w:rPr>
                <w:sz w:val="7"/>
                <w:szCs w:val="7"/>
                <w:color w:val="auto"/>
              </w:rPr>
            </w:pPr>
          </w:p>
        </w:tc>
        <w:tc>
          <w:tcPr>
            <w:tcW w:w="9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680" w:type="dxa"/>
            <w:vAlign w:val="bottom"/>
            <w:tcBorders>
              <w:bottom w:val="single" w:sz="8" w:color="AFAFAF"/>
            </w:tcBorders>
          </w:tcPr>
          <w:p>
            <w:pPr>
              <w:spacing w:after="0"/>
              <w:rPr>
                <w:sz w:val="3"/>
                <w:szCs w:val="3"/>
                <w:color w:val="auto"/>
              </w:rPr>
            </w:pPr>
          </w:p>
        </w:tc>
        <w:tc>
          <w:tcPr>
            <w:tcW w:w="924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80" w:type="dxa"/>
            <w:vAlign w:val="bottom"/>
            <w:tcBorders>
              <w:bottom w:val="single" w:sz="8" w:color="B94831"/>
            </w:tcBorders>
          </w:tcPr>
          <w:p>
            <w:pPr>
              <w:spacing w:after="0"/>
              <w:rPr>
                <w:sz w:val="19"/>
                <w:szCs w:val="19"/>
                <w:color w:val="auto"/>
              </w:rPr>
            </w:pPr>
          </w:p>
        </w:tc>
        <w:tc>
          <w:tcPr>
            <w:tcW w:w="9240" w:type="dxa"/>
            <w:vAlign w:val="bottom"/>
            <w:tcBorders>
              <w:bottom w:val="single" w:sz="8" w:color="B94831"/>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1">
            <w:col w:w="1108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3"/>
          <w:szCs w:val="13"/>
          <w:color w:val="auto"/>
        </w:rPr>
        <w:t>Page 60   Management Proxy Circular and Notice of Annual Meeting of Shareholders</w:t>
      </w:r>
    </w:p>
    <w:p>
      <w:pPr>
        <w:sectPr>
          <w:pgSz w:w="11900" w:h="16838" w:orient="portrait"/>
          <w:cols w:equalWidth="0" w:num="1">
            <w:col w:w="11080"/>
          </w:cols>
          <w:pgMar w:left="320" w:top="454" w:right="4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believe that our compensation program is strongly connected to our ability to achieve success for Thomson Reuters.</w:t>
      </w:r>
    </w:p>
    <w:p>
      <w:pPr>
        <w:spacing w:after="0" w:line="114" w:lineRule="exact"/>
        <w:rPr>
          <w:sz w:val="20"/>
          <w:szCs w:val="20"/>
          <w:color w:val="auto"/>
        </w:rPr>
      </w:pPr>
    </w:p>
    <w:p>
      <w:pPr>
        <w:ind w:left="600" w:right="60" w:hanging="433"/>
        <w:spacing w:after="0" w:line="249" w:lineRule="auto"/>
        <w:tabs>
          <w:tab w:leader="none" w:pos="600" w:val="left"/>
        </w:tabs>
        <w:numPr>
          <w:ilvl w:val="0"/>
          <w:numId w:val="29"/>
        </w:numPr>
        <w:rPr>
          <w:rFonts w:ascii="MS PGothic" w:cs="MS PGothic" w:eastAsia="MS PGothic" w:hAnsi="MS PGothic"/>
          <w:sz w:val="18"/>
          <w:szCs w:val="18"/>
          <w:color w:val="28910A"/>
        </w:rPr>
      </w:pPr>
      <w:r>
        <w:rPr>
          <w:rFonts w:ascii="Arial" w:cs="Arial" w:eastAsia="Arial" w:hAnsi="Arial"/>
          <w:sz w:val="18"/>
          <w:szCs w:val="18"/>
          <w:b w:val="1"/>
          <w:bCs w:val="1"/>
          <w:color w:val="28910A"/>
        </w:rPr>
        <w:t xml:space="preserve">2023 compensation decisions were aligned with our strategic objectives </w:t>
      </w:r>
      <w:r>
        <w:rPr>
          <w:rFonts w:ascii="Arial" w:cs="Arial" w:eastAsia="Arial" w:hAnsi="Arial"/>
          <w:sz w:val="18"/>
          <w:szCs w:val="18"/>
          <w:color w:val="000000"/>
        </w:rPr>
        <w:t>– During 2023, the HR Committee actively engaged in</w:t>
      </w:r>
      <w:r>
        <w:rPr>
          <w:rFonts w:ascii="Arial" w:cs="Arial" w:eastAsia="Arial" w:hAnsi="Arial"/>
          <w:sz w:val="18"/>
          <w:szCs w:val="18"/>
          <w:b w:val="1"/>
          <w:bCs w:val="1"/>
          <w:color w:val="28910A"/>
        </w:rPr>
        <w:t xml:space="preserve"> </w:t>
      </w:r>
      <w:r>
        <w:rPr>
          <w:rFonts w:ascii="Arial" w:cs="Arial" w:eastAsia="Arial" w:hAnsi="Arial"/>
          <w:sz w:val="18"/>
          <w:szCs w:val="18"/>
          <w:color w:val="000000"/>
        </w:rPr>
        <w:t>reviewing and discussing the design and approach to our compensation, talent and culture programs to fit the Thomson Reuters of the future.</w:t>
      </w:r>
    </w:p>
    <w:p>
      <w:pPr>
        <w:spacing w:after="0" w:line="42" w:lineRule="exact"/>
        <w:rPr>
          <w:rFonts w:ascii="MS PGothic" w:cs="MS PGothic" w:eastAsia="MS PGothic" w:hAnsi="MS PGothic"/>
          <w:sz w:val="18"/>
          <w:szCs w:val="18"/>
          <w:color w:val="28910A"/>
        </w:rPr>
      </w:pPr>
    </w:p>
    <w:p>
      <w:pPr>
        <w:ind w:left="1020" w:right="60" w:hanging="318"/>
        <w:spacing w:after="0" w:line="232" w:lineRule="auto"/>
        <w:tabs>
          <w:tab w:leader="none" w:pos="1020" w:val="left"/>
        </w:tabs>
        <w:numPr>
          <w:ilvl w:val="2"/>
          <w:numId w:val="29"/>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In 2023, a significant portion of executive pay was at risk and linked to both operational performance and stock price. 89% of our CEO’s 2023 target compensation was variable and on average, approximately 78% of the other named executive officers’ 2023 target compensation was variable. In March 2023, the HR Committee evaluated the current market position of our named executive officers’ compensation and approved an increase to Steve Hasker’s long-term incentive target and Mike Eastwood’s base salary and long-term incentive target to better align their pay with the market. There were no changes for the other named executive officers’ 2023 base salaries or their target annual and long-term incentive awards. The HR Committee’s independent advisor (FW Cook) was consulted in connection with this compensation evaluation.</w:t>
      </w:r>
    </w:p>
    <w:p>
      <w:pPr>
        <w:spacing w:after="0" w:line="56" w:lineRule="exact"/>
        <w:rPr>
          <w:rFonts w:ascii="Times New Roman" w:cs="Times New Roman" w:eastAsia="Times New Roman" w:hAnsi="Times New Roman"/>
          <w:sz w:val="24"/>
          <w:szCs w:val="24"/>
          <w:color w:val="auto"/>
          <w:vertAlign w:val="superscript"/>
        </w:rPr>
      </w:pPr>
    </w:p>
    <w:p>
      <w:pPr>
        <w:ind w:left="1020" w:right="20" w:hanging="318"/>
        <w:spacing w:after="0" w:line="227" w:lineRule="auto"/>
        <w:tabs>
          <w:tab w:leader="none" w:pos="1020" w:val="left"/>
        </w:tabs>
        <w:numPr>
          <w:ilvl w:val="2"/>
          <w:numId w:val="29"/>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Our incentive plan goals reflected our published business outlook, operating plan and long-term strategy. Annual incentive awards focused on growth objectives for the year with metrics based on organic revenues, organic book of business and cash operating income (adjusted EBITDA less accrued capital expenditures). Our 2023 annual incentive plan awards were based 100% on Thomson Reuters’ consolidated results. 2023 annual incentive awards funded at approximately 98% of target based on financial performance that was generally in-line with 2023 goals. No discretionary adjustments were made in determining annual incentive awards in 2023.</w:t>
      </w:r>
    </w:p>
    <w:p>
      <w:pPr>
        <w:spacing w:after="0" w:line="3" w:lineRule="exact"/>
        <w:rPr>
          <w:rFonts w:ascii="Times New Roman" w:cs="Times New Roman" w:eastAsia="Times New Roman" w:hAnsi="Times New Roman"/>
          <w:sz w:val="24"/>
          <w:szCs w:val="24"/>
          <w:color w:val="auto"/>
          <w:vertAlign w:val="superscript"/>
        </w:rPr>
      </w:pPr>
    </w:p>
    <w:p>
      <w:pPr>
        <w:ind w:left="1020" w:hanging="318"/>
        <w:spacing w:after="0" w:line="225" w:lineRule="auto"/>
        <w:tabs>
          <w:tab w:leader="none" w:pos="1020" w:val="left"/>
        </w:tabs>
        <w:numPr>
          <w:ilvl w:val="2"/>
          <w:numId w:val="29"/>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We continued to grant PRSUs as part of our long-term incentive awards. PRSUs for the 2021-2023 performance period had a payout of</w:t>
      </w:r>
    </w:p>
    <w:p>
      <w:pPr>
        <w:jc w:val="both"/>
        <w:ind w:left="1020" w:right="280"/>
        <w:spacing w:after="0" w:line="251" w:lineRule="auto"/>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169% of target, reflecting strong sustained operating performance over the three-year period despite numerous headwinds created by the COVID-19 pandemic and macroeconomic and geopolitical challenges. No discretionary adjustments were made to any outstanding PRSU awards.</w:t>
      </w:r>
    </w:p>
    <w:p>
      <w:pPr>
        <w:spacing w:after="0" w:line="43" w:lineRule="exact"/>
        <w:rPr>
          <w:rFonts w:ascii="Times New Roman" w:cs="Times New Roman" w:eastAsia="Times New Roman" w:hAnsi="Times New Roman"/>
          <w:sz w:val="24"/>
          <w:szCs w:val="24"/>
          <w:color w:val="auto"/>
          <w:vertAlign w:val="superscript"/>
        </w:rPr>
      </w:pPr>
    </w:p>
    <w:p>
      <w:pPr>
        <w:ind w:left="600" w:right="40" w:hanging="433"/>
        <w:spacing w:after="0" w:line="243" w:lineRule="auto"/>
        <w:tabs>
          <w:tab w:leader="none" w:pos="600" w:val="left"/>
        </w:tabs>
        <w:numPr>
          <w:ilvl w:val="0"/>
          <w:numId w:val="29"/>
        </w:numPr>
        <w:rPr>
          <w:rFonts w:ascii="MS PGothic" w:cs="MS PGothic" w:eastAsia="MS PGothic" w:hAnsi="MS PGothic"/>
          <w:sz w:val="18"/>
          <w:szCs w:val="18"/>
          <w:color w:val="28910A"/>
        </w:rPr>
      </w:pPr>
      <w:r>
        <w:rPr>
          <w:rFonts w:ascii="Arial" w:cs="Arial" w:eastAsia="Arial" w:hAnsi="Arial"/>
          <w:sz w:val="18"/>
          <w:szCs w:val="18"/>
          <w:b w:val="1"/>
          <w:bCs w:val="1"/>
          <w:color w:val="28910A"/>
        </w:rPr>
        <w:t xml:space="preserve">Our compensation program is strongly aligned with shareholder return and value </w:t>
      </w:r>
      <w:r>
        <w:rPr>
          <w:rFonts w:ascii="Arial" w:cs="Arial" w:eastAsia="Arial" w:hAnsi="Arial"/>
          <w:sz w:val="18"/>
          <w:szCs w:val="18"/>
          <w:b w:val="1"/>
          <w:bCs w:val="1"/>
          <w:color w:val="000000"/>
        </w:rPr>
        <w:t>–</w:t>
      </w:r>
      <w:r>
        <w:rPr>
          <w:rFonts w:ascii="Arial" w:cs="Arial" w:eastAsia="Arial" w:hAnsi="Arial"/>
          <w:sz w:val="18"/>
          <w:szCs w:val="18"/>
          <w:b w:val="1"/>
          <w:bCs w:val="1"/>
          <w:color w:val="28910A"/>
        </w:rPr>
        <w:t xml:space="preserve"> </w:t>
      </w:r>
      <w:r>
        <w:rPr>
          <w:rFonts w:ascii="Arial" w:cs="Arial" w:eastAsia="Arial" w:hAnsi="Arial"/>
          <w:sz w:val="18"/>
          <w:szCs w:val="18"/>
          <w:color w:val="000000"/>
        </w:rPr>
        <w:t>In this compensation discussion and</w:t>
      </w:r>
      <w:r>
        <w:rPr>
          <w:rFonts w:ascii="Arial" w:cs="Arial" w:eastAsia="Arial" w:hAnsi="Arial"/>
          <w:sz w:val="18"/>
          <w:szCs w:val="18"/>
          <w:b w:val="1"/>
          <w:bCs w:val="1"/>
          <w:color w:val="28910A"/>
        </w:rPr>
        <w:t xml:space="preserve"> </w:t>
      </w:r>
      <w:r>
        <w:rPr>
          <w:rFonts w:ascii="Arial" w:cs="Arial" w:eastAsia="Arial" w:hAnsi="Arial"/>
          <w:sz w:val="18"/>
          <w:szCs w:val="18"/>
          <w:color w:val="000000"/>
        </w:rPr>
        <w:t>analysis section, we provide graphs that show our executive officer compensation over the last five years has been aligned with total shareholder return. We also require our executive officers to maintain meaningful levels of share ownership that are multiples of their respective base salaries, creating a strong link to our shareholders and the long-term success of our company.</w:t>
      </w:r>
    </w:p>
    <w:p>
      <w:pPr>
        <w:spacing w:after="0" w:line="44" w:lineRule="exact"/>
        <w:rPr>
          <w:rFonts w:ascii="MS PGothic" w:cs="MS PGothic" w:eastAsia="MS PGothic" w:hAnsi="MS PGothic"/>
          <w:sz w:val="18"/>
          <w:szCs w:val="18"/>
          <w:color w:val="28910A"/>
        </w:rPr>
      </w:pPr>
    </w:p>
    <w:p>
      <w:pPr>
        <w:ind w:left="600" w:hanging="433"/>
        <w:spacing w:after="0" w:line="237" w:lineRule="auto"/>
        <w:tabs>
          <w:tab w:leader="none" w:pos="600" w:val="left"/>
        </w:tabs>
        <w:numPr>
          <w:ilvl w:val="0"/>
          <w:numId w:val="29"/>
        </w:numPr>
        <w:rPr>
          <w:rFonts w:ascii="MS PGothic" w:cs="MS PGothic" w:eastAsia="MS PGothic" w:hAnsi="MS PGothic"/>
          <w:sz w:val="18"/>
          <w:szCs w:val="18"/>
          <w:color w:val="28910A"/>
        </w:rPr>
      </w:pPr>
      <w:r>
        <w:rPr>
          <w:rFonts w:ascii="Arial" w:cs="Arial" w:eastAsia="Arial" w:hAnsi="Arial"/>
          <w:sz w:val="18"/>
          <w:szCs w:val="18"/>
          <w:b w:val="1"/>
          <w:bCs w:val="1"/>
          <w:color w:val="28910A"/>
        </w:rPr>
        <w:t xml:space="preserve">We benchmark executive compensation and performance against global peer companies that we compete with for customers and talent </w:t>
      </w:r>
      <w:r>
        <w:rPr>
          <w:rFonts w:ascii="Arial" w:cs="Arial" w:eastAsia="Arial" w:hAnsi="Arial"/>
          <w:sz w:val="18"/>
          <w:szCs w:val="18"/>
          <w:b w:val="1"/>
          <w:bCs w:val="1"/>
          <w:color w:val="000000"/>
        </w:rPr>
        <w:t>–</w:t>
      </w:r>
      <w:r>
        <w:rPr>
          <w:rFonts w:ascii="Arial" w:cs="Arial" w:eastAsia="Arial" w:hAnsi="Arial"/>
          <w:sz w:val="18"/>
          <w:szCs w:val="18"/>
          <w:b w:val="1"/>
          <w:bCs w:val="1"/>
          <w:color w:val="28910A"/>
        </w:rPr>
        <w:t xml:space="preserve"> </w:t>
      </w:r>
      <w:r>
        <w:rPr>
          <w:rFonts w:ascii="Arial" w:cs="Arial" w:eastAsia="Arial" w:hAnsi="Arial"/>
          <w:sz w:val="18"/>
          <w:szCs w:val="18"/>
          <w:color w:val="000000"/>
        </w:rPr>
        <w:t>In 2023, the HR Committee continued to utilize a global peer group for executive compensation purposes</w:t>
      </w:r>
      <w:r>
        <w:rPr>
          <w:rFonts w:ascii="Arial" w:cs="Arial" w:eastAsia="Arial" w:hAnsi="Arial"/>
          <w:sz w:val="18"/>
          <w:szCs w:val="18"/>
          <w:b w:val="1"/>
          <w:bCs w:val="1"/>
          <w:color w:val="28910A"/>
        </w:rPr>
        <w:t xml:space="preserve"> </w:t>
      </w:r>
      <w:r>
        <w:rPr>
          <w:rFonts w:ascii="Arial" w:cs="Arial" w:eastAsia="Arial" w:hAnsi="Arial"/>
          <w:sz w:val="18"/>
          <w:szCs w:val="18"/>
          <w:color w:val="000000"/>
        </w:rPr>
        <w:t>that reflects our company’s size and industries in which we compete. Our global peer group only includes one Canadian company with a common Global Industry Classification System (GICS) code. While we acknowledge that proxy advisors focus on Canadian companies, we believe that they do not provide a fully meaningful or relevant comparison of our competitive market for talent given the particular executive talent pool from which we recruit and the significant differences in industries, businesses and operational strategy between our companies and other Canadian companies with a common GICS code. The HR Committee does, however, use a Canadian peer group for Toronto-based executive officers as a secondary reference point as part of executive compensation benchmarking.</w:t>
      </w:r>
    </w:p>
    <w:p>
      <w:pPr>
        <w:spacing w:after="0" w:line="46" w:lineRule="exact"/>
        <w:rPr>
          <w:rFonts w:ascii="MS PGothic" w:cs="MS PGothic" w:eastAsia="MS PGothic" w:hAnsi="MS PGothic"/>
          <w:sz w:val="18"/>
          <w:szCs w:val="18"/>
          <w:color w:val="28910A"/>
        </w:rPr>
      </w:pPr>
    </w:p>
    <w:p>
      <w:pPr>
        <w:ind w:left="600" w:right="100" w:hanging="433"/>
        <w:spacing w:after="0" w:line="242" w:lineRule="auto"/>
        <w:tabs>
          <w:tab w:leader="none" w:pos="600" w:val="left"/>
        </w:tabs>
        <w:numPr>
          <w:ilvl w:val="0"/>
          <w:numId w:val="29"/>
        </w:numPr>
        <w:rPr>
          <w:rFonts w:ascii="MS PGothic" w:cs="MS PGothic" w:eastAsia="MS PGothic" w:hAnsi="MS PGothic"/>
          <w:sz w:val="18"/>
          <w:szCs w:val="18"/>
          <w:color w:val="28910A"/>
        </w:rPr>
      </w:pPr>
      <w:r>
        <w:rPr>
          <w:rFonts w:ascii="Arial" w:cs="Arial" w:eastAsia="Arial" w:hAnsi="Arial"/>
          <w:sz w:val="18"/>
          <w:szCs w:val="18"/>
          <w:b w:val="1"/>
          <w:bCs w:val="1"/>
          <w:color w:val="28910A"/>
        </w:rPr>
        <w:t xml:space="preserve">Our compensation program is aligned with good governance practices and has received strong shareholder support in recent years </w:t>
      </w:r>
      <w:r>
        <w:rPr>
          <w:rFonts w:ascii="Arial" w:cs="Arial" w:eastAsia="Arial" w:hAnsi="Arial"/>
          <w:sz w:val="18"/>
          <w:szCs w:val="18"/>
          <w:b w:val="1"/>
          <w:bCs w:val="1"/>
          <w:color w:val="000000"/>
        </w:rPr>
        <w:t>–</w:t>
      </w:r>
      <w:r>
        <w:rPr>
          <w:rFonts w:ascii="Arial" w:cs="Arial" w:eastAsia="Arial" w:hAnsi="Arial"/>
          <w:sz w:val="18"/>
          <w:szCs w:val="18"/>
          <w:b w:val="1"/>
          <w:bCs w:val="1"/>
          <w:color w:val="28910A"/>
        </w:rPr>
        <w:t xml:space="preserve"> </w:t>
      </w:r>
      <w:r>
        <w:rPr>
          <w:rFonts w:ascii="Arial" w:cs="Arial" w:eastAsia="Arial" w:hAnsi="Arial"/>
          <w:sz w:val="18"/>
          <w:szCs w:val="18"/>
          <w:color w:val="000000"/>
        </w:rPr>
        <w:t>Our plans and programs reflect strong governance principles. The HR Committee has an independent advisor for</w:t>
      </w:r>
      <w:r>
        <w:rPr>
          <w:rFonts w:ascii="Arial" w:cs="Arial" w:eastAsia="Arial" w:hAnsi="Arial"/>
          <w:sz w:val="18"/>
          <w:szCs w:val="18"/>
          <w:b w:val="1"/>
          <w:bCs w:val="1"/>
          <w:color w:val="28910A"/>
        </w:rPr>
        <w:t xml:space="preserve"> </w:t>
      </w:r>
      <w:r>
        <w:rPr>
          <w:rFonts w:ascii="Arial" w:cs="Arial" w:eastAsia="Arial" w:hAnsi="Arial"/>
          <w:sz w:val="18"/>
          <w:szCs w:val="18"/>
          <w:color w:val="000000"/>
        </w:rPr>
        <w:t xml:space="preserve">executive compensation matters. We also engage with our shareholders on compensation matters during the year and we provide a “say on pay” resolution each year at our annual meeting of shareholders. </w:t>
      </w:r>
      <w:r>
        <w:rPr>
          <w:rFonts w:ascii="Arial" w:cs="Arial" w:eastAsia="Arial" w:hAnsi="Arial"/>
          <w:sz w:val="18"/>
          <w:szCs w:val="18"/>
          <w:b w:val="1"/>
          <w:bCs w:val="1"/>
          <w:color w:val="000000"/>
        </w:rPr>
        <w:t>Over the last five years, approximately 97% of votes</w:t>
      </w:r>
      <w:r>
        <w:rPr>
          <w:rFonts w:ascii="Arial" w:cs="Arial" w:eastAsia="Arial" w:hAnsi="Arial"/>
          <w:sz w:val="18"/>
          <w:szCs w:val="18"/>
          <w:color w:val="000000"/>
        </w:rPr>
        <w:t xml:space="preserve"> </w:t>
      </w:r>
      <w:r>
        <w:rPr>
          <w:rFonts w:ascii="Arial" w:cs="Arial" w:eastAsia="Arial" w:hAnsi="Arial"/>
          <w:sz w:val="18"/>
          <w:szCs w:val="18"/>
          <w:b w:val="1"/>
          <w:bCs w:val="1"/>
          <w:color w:val="000000"/>
        </w:rPr>
        <w:t>have been cast “for” our “say on pay” advisory resolutions.</w:t>
      </w:r>
    </w:p>
    <w:p>
      <w:pPr>
        <w:spacing w:after="0" w:line="39" w:lineRule="exact"/>
        <w:rPr>
          <w:rFonts w:ascii="MS PGothic" w:cs="MS PGothic" w:eastAsia="MS PGothic" w:hAnsi="MS PGothic"/>
          <w:sz w:val="18"/>
          <w:szCs w:val="18"/>
          <w:color w:val="28910A"/>
        </w:rPr>
      </w:pPr>
    </w:p>
    <w:p>
      <w:pPr>
        <w:ind w:left="600" w:hanging="433"/>
        <w:spacing w:after="0"/>
        <w:tabs>
          <w:tab w:leader="none" w:pos="600" w:val="left"/>
        </w:tabs>
        <w:numPr>
          <w:ilvl w:val="0"/>
          <w:numId w:val="29"/>
        </w:numPr>
        <w:rPr>
          <w:rFonts w:ascii="MS PGothic" w:cs="MS PGothic" w:eastAsia="MS PGothic" w:hAnsi="MS PGothic"/>
          <w:sz w:val="17"/>
          <w:szCs w:val="17"/>
          <w:color w:val="28910A"/>
        </w:rPr>
      </w:pPr>
      <w:r>
        <w:rPr>
          <w:rFonts w:ascii="Arial" w:cs="Arial" w:eastAsia="Arial" w:hAnsi="Arial"/>
          <w:sz w:val="17"/>
          <w:szCs w:val="17"/>
          <w:b w:val="1"/>
          <w:bCs w:val="1"/>
          <w:color w:val="28910A"/>
        </w:rPr>
        <w:t>We do not believe that we have any problematic pay practices and risk is taken into account in our compensation programs</w:t>
      </w:r>
    </w:p>
    <w:p>
      <w:pPr>
        <w:spacing w:after="0" w:line="23" w:lineRule="exact"/>
        <w:rPr>
          <w:rFonts w:ascii="MS PGothic" w:cs="MS PGothic" w:eastAsia="MS PGothic" w:hAnsi="MS PGothic"/>
          <w:sz w:val="17"/>
          <w:szCs w:val="17"/>
          <w:color w:val="28910A"/>
        </w:rPr>
      </w:pPr>
    </w:p>
    <w:p>
      <w:pPr>
        <w:ind w:left="600" w:right="220"/>
        <w:spacing w:after="0" w:line="237" w:lineRule="auto"/>
        <w:rPr>
          <w:rFonts w:ascii="MS PGothic" w:cs="MS PGothic" w:eastAsia="MS PGothic" w:hAnsi="MS PGothic"/>
          <w:sz w:val="17"/>
          <w:szCs w:val="17"/>
          <w:color w:val="28910A"/>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HR Committee’s independent advisor reviews our compensation program to evaluate the degree to which it encourages risk</w:t>
      </w:r>
      <w:r>
        <w:rPr>
          <w:rFonts w:ascii="Arial" w:cs="Arial" w:eastAsia="Arial" w:hAnsi="Arial"/>
          <w:sz w:val="18"/>
          <w:szCs w:val="18"/>
          <w:b w:val="1"/>
          <w:bCs w:val="1"/>
          <w:color w:val="auto"/>
        </w:rPr>
        <w:t xml:space="preserve"> </w:t>
      </w:r>
      <w:r>
        <w:rPr>
          <w:rFonts w:ascii="Arial" w:cs="Arial" w:eastAsia="Arial" w:hAnsi="Arial"/>
          <w:sz w:val="18"/>
          <w:szCs w:val="18"/>
          <w:color w:val="auto"/>
        </w:rPr>
        <w:t>taking in the context of our overall enterprise risk profile as well as recognized market best practices. Based on the independent advisor’s review, the HR Committee concluded that our programs appear unlikely to create incentives for excessive risk taking and include meaningful safeguards to mitigate compensation program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336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61</w:t>
      </w:r>
    </w:p>
    <w:p>
      <w:pPr>
        <w:sectPr>
          <w:pgSz w:w="11900" w:h="16838" w:orient="portrait"/>
          <w:cols w:equalWidth="0" w:num="1">
            <w:col w:w="11080"/>
          </w:cols>
          <w:pgMar w:left="320" w:top="454"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Key 2024 Compensation Developments and Decisions</w:t>
      </w:r>
    </w:p>
    <w:p>
      <w:pPr>
        <w:spacing w:after="0" w:line="56" w:lineRule="exact"/>
        <w:rPr>
          <w:sz w:val="20"/>
          <w:szCs w:val="20"/>
          <w:color w:val="auto"/>
        </w:rPr>
      </w:pPr>
    </w:p>
    <w:p>
      <w:pPr>
        <w:ind w:left="160" w:right="340"/>
        <w:spacing w:after="0" w:line="242" w:lineRule="auto"/>
        <w:rPr>
          <w:sz w:val="20"/>
          <w:szCs w:val="20"/>
          <w:color w:val="auto"/>
        </w:rPr>
      </w:pPr>
      <w:r>
        <w:rPr>
          <w:rFonts w:ascii="Arial" w:cs="Arial" w:eastAsia="Arial" w:hAnsi="Arial"/>
          <w:sz w:val="18"/>
          <w:szCs w:val="18"/>
          <w:color w:val="auto"/>
        </w:rPr>
        <w:t>In March 2024, the HR Committee evaluated the current market position of our named executive officers and approved an increase in long-term incentive target for Steve Hasker (an increase of 8.3% in total compensation), Mike Eastwood (an increase of 10.5% in total compensation) and Kirsty Roth (an increase of 5.3% in total compensation) to better align their pay with the market. There were no changes for the other named executive officers’ 2024 base salaries or their target annual and long-term incentive awards.</w:t>
      </w:r>
    </w:p>
    <w:p>
      <w:pPr>
        <w:spacing w:after="0" w:line="31"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No changes were made to financial performance metrics and weightings for 2024 annual and long-term incentive awards. The HR Committee established challenging performance goals for 2024 annual and long-term incentive awards in line with our annual and long-term objectives.</w:t>
      </w:r>
    </w:p>
    <w:p>
      <w:pPr>
        <w:spacing w:after="0" w:line="38" w:lineRule="exact"/>
        <w:rPr>
          <w:sz w:val="20"/>
          <w:szCs w:val="20"/>
          <w:color w:val="auto"/>
        </w:rPr>
      </w:pPr>
    </w:p>
    <w:p>
      <w:pPr>
        <w:ind w:left="160" w:right="140"/>
        <w:spacing w:after="0" w:line="256" w:lineRule="auto"/>
        <w:rPr>
          <w:sz w:val="20"/>
          <w:szCs w:val="20"/>
          <w:color w:val="auto"/>
        </w:rPr>
      </w:pPr>
      <w:r>
        <w:rPr>
          <w:rFonts w:ascii="Arial" w:cs="Arial" w:eastAsia="Arial" w:hAnsi="Arial"/>
          <w:sz w:val="17"/>
          <w:szCs w:val="17"/>
          <w:color w:val="auto"/>
        </w:rPr>
        <w:t>2024 annual incentive awards for our named executive officers are weighted 1/3 each on organic revenue growth, organic book of business and adjusted EBITDA less accrued capital expenditures performance. All metrics are based on Thomson Reuters consolidated performance, which the HR Committee believes promotes teamwork and enables more enterprise collaboration. To further increase the link between pay for performance, we continue to embed strategic priorities into individual performance evaluations for 2024 awards to increase and formalize the linkage between participants’ impact on our strategic priorities and their award decisions. The CEO and his direct reports have the following strategic priorities embedded in their 2024 performance assessments:</w:t>
      </w:r>
    </w:p>
    <w:p>
      <w:pPr>
        <w:ind w:left="1020" w:hanging="318"/>
        <w:spacing w:after="0" w:line="238" w:lineRule="auto"/>
        <w:tabs>
          <w:tab w:leader="none" w:pos="1020" w:val="left"/>
        </w:tabs>
        <w:numPr>
          <w:ilvl w:val="0"/>
          <w:numId w:val="30"/>
        </w:numPr>
        <w:rPr>
          <w:rFonts w:ascii="Times New Roman" w:cs="Times New Roman" w:eastAsia="Times New Roman" w:hAnsi="Times New Roman"/>
          <w:sz w:val="27"/>
          <w:szCs w:val="27"/>
          <w:color w:val="auto"/>
          <w:vertAlign w:val="superscript"/>
        </w:rPr>
      </w:pPr>
      <w:r>
        <w:rPr>
          <w:rFonts w:ascii="Arial" w:cs="Arial" w:eastAsia="Arial" w:hAnsi="Arial"/>
          <w:sz w:val="18"/>
          <w:szCs w:val="18"/>
          <w:i w:val="1"/>
          <w:iCs w:val="1"/>
          <w:color w:val="auto"/>
        </w:rPr>
        <w:t xml:space="preserve">AI Transformation goal </w:t>
      </w:r>
      <w:r>
        <w:rPr>
          <w:rFonts w:ascii="Arial" w:cs="Arial" w:eastAsia="Arial" w:hAnsi="Arial"/>
          <w:sz w:val="18"/>
          <w:szCs w:val="18"/>
          <w:color w:val="auto"/>
        </w:rPr>
        <w:t>– enhancing productivity and innovation for our customers and ourselves;</w:t>
      </w:r>
    </w:p>
    <w:p>
      <w:pPr>
        <w:spacing w:after="0" w:line="117" w:lineRule="exact"/>
        <w:rPr>
          <w:rFonts w:ascii="Times New Roman" w:cs="Times New Roman" w:eastAsia="Times New Roman" w:hAnsi="Times New Roman"/>
          <w:sz w:val="27"/>
          <w:szCs w:val="27"/>
          <w:color w:val="auto"/>
          <w:vertAlign w:val="superscript"/>
        </w:rPr>
      </w:pPr>
    </w:p>
    <w:p>
      <w:pPr>
        <w:ind w:left="1020" w:right="100" w:hanging="318"/>
        <w:spacing w:after="0" w:line="193" w:lineRule="auto"/>
        <w:tabs>
          <w:tab w:leader="none" w:pos="1020" w:val="left"/>
        </w:tabs>
        <w:numPr>
          <w:ilvl w:val="0"/>
          <w:numId w:val="30"/>
        </w:numPr>
        <w:rPr>
          <w:rFonts w:ascii="Times New Roman" w:cs="Times New Roman" w:eastAsia="Times New Roman" w:hAnsi="Times New Roman"/>
          <w:sz w:val="27"/>
          <w:szCs w:val="27"/>
          <w:color w:val="auto"/>
          <w:vertAlign w:val="superscript"/>
        </w:rPr>
      </w:pPr>
      <w:r>
        <w:rPr>
          <w:rFonts w:ascii="Arial" w:cs="Arial" w:eastAsia="Arial" w:hAnsi="Arial"/>
          <w:sz w:val="18"/>
          <w:szCs w:val="18"/>
          <w:i w:val="1"/>
          <w:iCs w:val="1"/>
          <w:color w:val="auto"/>
        </w:rPr>
        <w:t xml:space="preserve">Talent goals </w:t>
      </w:r>
      <w:r>
        <w:rPr>
          <w:rFonts w:ascii="Arial" w:cs="Arial" w:eastAsia="Arial" w:hAnsi="Arial"/>
          <w:sz w:val="18"/>
          <w:szCs w:val="18"/>
          <w:color w:val="auto"/>
        </w:rPr>
        <w:t>– building a world-class talent and a high performance, inclusive culture in which team members understand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role, know their performance and objectives deliver impact; and</w:t>
      </w:r>
    </w:p>
    <w:p>
      <w:pPr>
        <w:spacing w:after="0" w:line="12" w:lineRule="exact"/>
        <w:rPr>
          <w:rFonts w:ascii="Times New Roman" w:cs="Times New Roman" w:eastAsia="Times New Roman" w:hAnsi="Times New Roman"/>
          <w:sz w:val="27"/>
          <w:szCs w:val="27"/>
          <w:color w:val="auto"/>
          <w:vertAlign w:val="superscript"/>
        </w:rPr>
      </w:pPr>
    </w:p>
    <w:p>
      <w:pPr>
        <w:ind w:left="1020" w:hanging="318"/>
        <w:spacing w:after="0"/>
        <w:tabs>
          <w:tab w:leader="none" w:pos="1020" w:val="left"/>
        </w:tabs>
        <w:numPr>
          <w:ilvl w:val="0"/>
          <w:numId w:val="30"/>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Contribution to specified shared priorities.</w:t>
      </w:r>
    </w:p>
    <w:p>
      <w:pPr>
        <w:spacing w:after="0" w:line="104"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2024 long-term incentive awards for our named executive officers are split among 50% PRSUs, 25% TRSUs and 25% stock options. PRSUs granted for the 2024-2026 performance period are weighted 50% each on average organic revenue growth and average free cash flow per share performance. The HR Committee believes that organic revenue growth over a multi-year period complements the same metric as reflected in 2024 annual incentive awards and aligns to the company’s strategic priorities. The HR Committee also believes that including a component of TRSUs in long-term awards balances the award mix and supports retention, while still promoting a performance culture in the organization.</w:t>
      </w:r>
    </w:p>
    <w:p>
      <w:pPr>
        <w:spacing w:after="0" w:line="36"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HR Committee believes that the 2024 compensation program continues to align executive pay with the company’s annual and long-term strategic and financial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62   Management Proxy Circular and Notice of Annual Meeting of Shareholders</w:t>
      </w:r>
    </w:p>
    <w:p>
      <w:pPr>
        <w:sectPr>
          <w:pgSz w:w="11900" w:h="16838" w:orient="portrait"/>
          <w:cols w:equalWidth="0" w:num="1">
            <w:col w:w="11040"/>
          </w:cols>
          <w:pgMar w:left="320" w:top="454" w:right="5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Our 2023 Compensation Program</w:t>
      </w:r>
    </w:p>
    <w:p>
      <w:pPr>
        <w:spacing w:after="0" w:line="56" w:lineRule="exact"/>
        <w:rPr>
          <w:sz w:val="20"/>
          <w:szCs w:val="20"/>
          <w:color w:val="auto"/>
        </w:rPr>
      </w:pPr>
    </w:p>
    <w:p>
      <w:pPr>
        <w:ind w:left="160" w:right="180"/>
        <w:spacing w:after="0" w:line="246" w:lineRule="auto"/>
        <w:rPr>
          <w:sz w:val="20"/>
          <w:szCs w:val="20"/>
          <w:color w:val="auto"/>
        </w:rPr>
      </w:pPr>
      <w:r>
        <w:rPr>
          <w:rFonts w:ascii="Arial" w:cs="Arial" w:eastAsia="Arial" w:hAnsi="Arial"/>
          <w:sz w:val="18"/>
          <w:szCs w:val="18"/>
          <w:color w:val="auto"/>
        </w:rPr>
        <w:t>The HR Committee of the Board structured our 2023 compensation program in a way that was consistent with our strategic objectives. A named executive officer’s total compensation typically comprises the following components. We describe each of these components in more detail later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64135</wp:posOffset>
            </wp:positionV>
            <wp:extent cx="8255" cy="186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64135</wp:posOffset>
            </wp:positionV>
            <wp:extent cx="8255" cy="186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64135</wp:posOffset>
            </wp:positionV>
            <wp:extent cx="8255" cy="186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64135</wp:posOffset>
            </wp:positionV>
            <wp:extent cx="8255" cy="186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64135</wp:posOffset>
            </wp:positionV>
            <wp:extent cx="8255" cy="186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186690"/>
                    </a:xfrm>
                    <a:prstGeom prst="rect">
                      <a:avLst/>
                    </a:prstGeom>
                    <a:noFill/>
                  </pic:spPr>
                </pic:pic>
              </a:graphicData>
            </a:graphic>
          </wp:anchor>
        </w:drawing>
      </w: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420" w:type="dxa"/>
            <w:vAlign w:val="bottom"/>
            <w:tcBorders>
              <w:bottom w:val="single" w:sz="8" w:color="262626"/>
              <w:right w:val="single" w:sz="8" w:color="262626"/>
            </w:tcBorders>
            <w:shd w:val="clear" w:color="auto" w:fill="262626"/>
          </w:tcPr>
          <w:p>
            <w:pPr>
              <w:ind w:left="140"/>
              <w:spacing w:after="0"/>
              <w:rPr>
                <w:sz w:val="20"/>
                <w:szCs w:val="20"/>
                <w:color w:val="auto"/>
              </w:rPr>
            </w:pPr>
            <w:r>
              <w:rPr>
                <w:rFonts w:ascii="Arial" w:cs="Arial" w:eastAsia="Arial" w:hAnsi="Arial"/>
                <w:sz w:val="15"/>
                <w:szCs w:val="15"/>
                <w:b w:val="1"/>
                <w:bCs w:val="1"/>
                <w:color w:val="FFFFFF"/>
              </w:rPr>
              <w:t>Component</w:t>
            </w:r>
          </w:p>
        </w:tc>
        <w:tc>
          <w:tcPr>
            <w:tcW w:w="2680" w:type="dxa"/>
            <w:vAlign w:val="bottom"/>
            <w:tcBorders>
              <w:bottom w:val="single" w:sz="8" w:color="262626"/>
              <w:right w:val="single" w:sz="8" w:color="262626"/>
            </w:tcBorders>
            <w:shd w:val="clear" w:color="auto" w:fill="262626"/>
          </w:tcPr>
          <w:p>
            <w:pPr>
              <w:ind w:left="60"/>
              <w:spacing w:after="0"/>
              <w:rPr>
                <w:sz w:val="20"/>
                <w:szCs w:val="20"/>
                <w:color w:val="auto"/>
              </w:rPr>
            </w:pPr>
            <w:r>
              <w:rPr>
                <w:rFonts w:ascii="Arial" w:cs="Arial" w:eastAsia="Arial" w:hAnsi="Arial"/>
                <w:sz w:val="15"/>
                <w:szCs w:val="15"/>
                <w:b w:val="1"/>
                <w:bCs w:val="1"/>
                <w:color w:val="FFFFFF"/>
              </w:rPr>
              <w:t>Description</w:t>
            </w:r>
          </w:p>
        </w:tc>
        <w:tc>
          <w:tcPr>
            <w:tcW w:w="1260" w:type="dxa"/>
            <w:vAlign w:val="bottom"/>
            <w:tcBorders>
              <w:bottom w:val="single" w:sz="8" w:color="262626"/>
              <w:right w:val="single" w:sz="8" w:color="262626"/>
            </w:tcBorders>
            <w:shd w:val="clear" w:color="auto" w:fill="262626"/>
          </w:tcPr>
          <w:p>
            <w:pPr>
              <w:ind w:left="60"/>
              <w:spacing w:after="0"/>
              <w:rPr>
                <w:sz w:val="20"/>
                <w:szCs w:val="20"/>
                <w:color w:val="auto"/>
              </w:rPr>
            </w:pPr>
            <w:r>
              <w:rPr>
                <w:rFonts w:ascii="Arial" w:cs="Arial" w:eastAsia="Arial" w:hAnsi="Arial"/>
                <w:sz w:val="15"/>
                <w:szCs w:val="15"/>
                <w:b w:val="1"/>
                <w:bCs w:val="1"/>
                <w:color w:val="FFFFFF"/>
              </w:rPr>
              <w:t>Type</w:t>
            </w:r>
          </w:p>
        </w:tc>
        <w:tc>
          <w:tcPr>
            <w:tcW w:w="1500" w:type="dxa"/>
            <w:vAlign w:val="bottom"/>
            <w:tcBorders>
              <w:bottom w:val="single" w:sz="8" w:color="262626"/>
              <w:right w:val="single" w:sz="8" w:color="262626"/>
            </w:tcBorders>
            <w:shd w:val="clear" w:color="auto" w:fill="262626"/>
          </w:tcPr>
          <w:p>
            <w:pPr>
              <w:ind w:left="60"/>
              <w:spacing w:after="0"/>
              <w:rPr>
                <w:sz w:val="20"/>
                <w:szCs w:val="20"/>
                <w:color w:val="auto"/>
              </w:rPr>
            </w:pPr>
            <w:r>
              <w:rPr>
                <w:rFonts w:ascii="Arial" w:cs="Arial" w:eastAsia="Arial" w:hAnsi="Arial"/>
                <w:sz w:val="15"/>
                <w:szCs w:val="15"/>
                <w:b w:val="1"/>
                <w:bCs w:val="1"/>
                <w:color w:val="FFFFFF"/>
              </w:rPr>
              <w:t>2023 Measures</w:t>
            </w:r>
          </w:p>
        </w:tc>
        <w:tc>
          <w:tcPr>
            <w:tcW w:w="800" w:type="dxa"/>
            <w:vAlign w:val="bottom"/>
            <w:tcBorders>
              <w:bottom w:val="single" w:sz="8" w:color="262626"/>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Form</w:t>
            </w:r>
          </w:p>
        </w:tc>
        <w:tc>
          <w:tcPr>
            <w:tcW w:w="2260" w:type="dxa"/>
            <w:vAlign w:val="bottom"/>
            <w:tcBorders>
              <w:bottom w:val="single" w:sz="8" w:color="262626"/>
            </w:tcBorders>
            <w:shd w:val="clear" w:color="auto" w:fill="262626"/>
          </w:tcPr>
          <w:p>
            <w:pPr>
              <w:ind w:left="80"/>
              <w:spacing w:after="0"/>
              <w:rPr>
                <w:sz w:val="20"/>
                <w:szCs w:val="20"/>
                <w:color w:val="auto"/>
              </w:rPr>
            </w:pPr>
            <w:r>
              <w:rPr>
                <w:rFonts w:ascii="Arial" w:cs="Arial" w:eastAsia="Arial" w:hAnsi="Arial"/>
                <w:sz w:val="15"/>
                <w:szCs w:val="15"/>
                <w:b w:val="1"/>
                <w:bCs w:val="1"/>
                <w:color w:val="FFFFFF"/>
              </w:rPr>
              <w:t>Purpose</w:t>
            </w:r>
          </w:p>
        </w:tc>
        <w:tc>
          <w:tcPr>
            <w:tcW w:w="0" w:type="dxa"/>
            <w:vAlign w:val="bottom"/>
          </w:tcPr>
          <w:p>
            <w:pPr>
              <w:spacing w:after="0"/>
              <w:rPr>
                <w:sz w:val="1"/>
                <w:szCs w:val="1"/>
                <w:color w:val="auto"/>
              </w:rPr>
            </w:pPr>
          </w:p>
        </w:tc>
      </w:tr>
      <w:tr>
        <w:trPr>
          <w:trHeight w:val="205"/>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Base salary</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Payments made throughout the year at</w:t>
            </w:r>
          </w:p>
        </w:tc>
        <w:tc>
          <w:tcPr>
            <w:tcW w:w="126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Fixed</w:t>
            </w: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Individual</w:t>
            </w:r>
          </w:p>
        </w:tc>
        <w:tc>
          <w:tcPr>
            <w:tcW w:w="80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Cash</w:t>
            </w:r>
          </w:p>
        </w:tc>
        <w:tc>
          <w:tcPr>
            <w:tcW w:w="2260" w:type="dxa"/>
            <w:vAlign w:val="bottom"/>
          </w:tcPr>
          <w:p>
            <w:pPr>
              <w:ind w:left="80"/>
              <w:spacing w:after="0"/>
              <w:rPr>
                <w:sz w:val="20"/>
                <w:szCs w:val="20"/>
                <w:color w:val="auto"/>
              </w:rPr>
            </w:pPr>
            <w:r>
              <w:rPr>
                <w:rFonts w:ascii="Arial" w:cs="Arial" w:eastAsia="Arial" w:hAnsi="Arial"/>
                <w:sz w:val="14"/>
                <w:szCs w:val="14"/>
                <w:color w:val="auto"/>
              </w:rPr>
              <w:t>Provides predictable amount of</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an established rate.</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performance, role,</w:t>
            </w: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fixed income as short-term</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responsibilities and</w:t>
            </w: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spacing w:after="0"/>
              <w:rPr>
                <w:sz w:val="16"/>
                <w:szCs w:val="16"/>
                <w:color w:val="auto"/>
              </w:rPr>
            </w:pP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experience.</w:t>
            </w:r>
          </w:p>
        </w:tc>
        <w:tc>
          <w:tcPr>
            <w:tcW w:w="800" w:type="dxa"/>
            <w:vAlign w:val="bottom"/>
            <w:tcBorders>
              <w:right w:val="single" w:sz="8" w:color="AFAFAF"/>
            </w:tcBorders>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420" w:type="dxa"/>
            <w:vAlign w:val="bottom"/>
            <w:tcBorders>
              <w:bottom w:val="single" w:sz="8" w:color="AFAFAF"/>
              <w:right w:val="single" w:sz="8" w:color="AFAFAF"/>
            </w:tcBorders>
          </w:tcPr>
          <w:p>
            <w:pPr>
              <w:spacing w:after="0"/>
              <w:rPr>
                <w:sz w:val="2"/>
                <w:szCs w:val="2"/>
                <w:color w:val="auto"/>
              </w:rPr>
            </w:pPr>
          </w:p>
        </w:tc>
        <w:tc>
          <w:tcPr>
            <w:tcW w:w="2680" w:type="dxa"/>
            <w:vAlign w:val="bottom"/>
            <w:tcBorders>
              <w:bottom w:val="single" w:sz="8" w:color="AFAFAF"/>
              <w:right w:val="single" w:sz="8" w:color="AFAFAF"/>
            </w:tcBorders>
          </w:tcPr>
          <w:p>
            <w:pPr>
              <w:spacing w:after="0"/>
              <w:rPr>
                <w:sz w:val="2"/>
                <w:szCs w:val="2"/>
                <w:color w:val="auto"/>
              </w:rPr>
            </w:pPr>
          </w:p>
        </w:tc>
        <w:tc>
          <w:tcPr>
            <w:tcW w:w="1260" w:type="dxa"/>
            <w:vAlign w:val="bottom"/>
            <w:tcBorders>
              <w:bottom w:val="single" w:sz="8" w:color="AFAFAF"/>
              <w:right w:val="single" w:sz="8" w:color="AFAFAF"/>
            </w:tcBorders>
          </w:tcPr>
          <w:p>
            <w:pPr>
              <w:spacing w:after="0"/>
              <w:rPr>
                <w:sz w:val="2"/>
                <w:szCs w:val="2"/>
                <w:color w:val="auto"/>
              </w:rPr>
            </w:pPr>
          </w:p>
        </w:tc>
        <w:tc>
          <w:tcPr>
            <w:tcW w:w="1500" w:type="dxa"/>
            <w:vAlign w:val="bottom"/>
            <w:tcBorders>
              <w:bottom w:val="single" w:sz="8" w:color="AFAFAF"/>
              <w:right w:val="single" w:sz="8" w:color="AFAFAF"/>
            </w:tcBorders>
          </w:tcPr>
          <w:p>
            <w:pPr>
              <w:spacing w:after="0"/>
              <w:rPr>
                <w:sz w:val="2"/>
                <w:szCs w:val="2"/>
                <w:color w:val="auto"/>
              </w:rPr>
            </w:pPr>
          </w:p>
        </w:tc>
        <w:tc>
          <w:tcPr>
            <w:tcW w:w="800" w:type="dxa"/>
            <w:vAlign w:val="bottom"/>
            <w:tcBorders>
              <w:bottom w:val="single" w:sz="8" w:color="AFAFAF"/>
              <w:right w:val="single" w:sz="8" w:color="AFAFAF"/>
            </w:tcBorders>
          </w:tcPr>
          <w:p>
            <w:pPr>
              <w:spacing w:after="0"/>
              <w:rPr>
                <w:sz w:val="2"/>
                <w:szCs w:val="2"/>
                <w:color w:val="auto"/>
              </w:rPr>
            </w:pPr>
          </w:p>
        </w:tc>
        <w:tc>
          <w:tcPr>
            <w:tcW w:w="2260" w:type="dxa"/>
            <w:vAlign w:val="bottom"/>
            <w:tcBorders>
              <w:bottom w:val="single" w:sz="8" w:color="AFAFAF"/>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Annual incentive award</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Variable payment made in March after</w:t>
            </w:r>
          </w:p>
        </w:tc>
        <w:tc>
          <w:tcPr>
            <w:tcW w:w="126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Performance-</w:t>
            </w: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Organic revenue</w:t>
            </w:r>
          </w:p>
        </w:tc>
        <w:tc>
          <w:tcPr>
            <w:tcW w:w="80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Cash</w:t>
            </w:r>
          </w:p>
        </w:tc>
        <w:tc>
          <w:tcPr>
            <w:tcW w:w="2260" w:type="dxa"/>
            <w:vAlign w:val="bottom"/>
          </w:tcPr>
          <w:p>
            <w:pPr>
              <w:ind w:left="80"/>
              <w:spacing w:after="0"/>
              <w:rPr>
                <w:sz w:val="20"/>
                <w:szCs w:val="20"/>
                <w:color w:val="auto"/>
              </w:rPr>
            </w:pPr>
            <w:r>
              <w:rPr>
                <w:rFonts w:ascii="Arial" w:cs="Arial" w:eastAsia="Arial" w:hAnsi="Arial"/>
                <w:sz w:val="14"/>
                <w:szCs w:val="14"/>
                <w:color w:val="auto"/>
              </w:rPr>
              <w:t>Focuses executives on our</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results for the previous year are</w:t>
            </w:r>
          </w:p>
        </w:tc>
        <w:tc>
          <w:tcPr>
            <w:tcW w:w="126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based</w:t>
            </w: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growth (1/3).</w:t>
            </w: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financial goals and objectives for</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available, and dependent on company</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Adjusted EBITDA less</w:t>
            </w: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the year.</w:t>
            </w:r>
          </w:p>
        </w:tc>
        <w:tc>
          <w:tcPr>
            <w:tcW w:w="0" w:type="dxa"/>
            <w:vAlign w:val="bottom"/>
          </w:tcPr>
          <w:p>
            <w:pPr>
              <w:spacing w:after="0"/>
              <w:rPr>
                <w:sz w:val="1"/>
                <w:szCs w:val="1"/>
                <w:color w:val="auto"/>
              </w:rPr>
            </w:pPr>
          </w:p>
        </w:tc>
      </w:tr>
      <w:tr>
        <w:trPr>
          <w:trHeight w:val="67"/>
        </w:trPr>
        <w:tc>
          <w:tcPr>
            <w:tcW w:w="2420" w:type="dxa"/>
            <w:vAlign w:val="bottom"/>
            <w:tcBorders>
              <w:right w:val="single" w:sz="8" w:color="AFAFAF"/>
            </w:tcBorders>
          </w:tcPr>
          <w:p>
            <w:pPr>
              <w:spacing w:after="0"/>
              <w:rPr>
                <w:sz w:val="5"/>
                <w:szCs w:val="5"/>
                <w:color w:val="auto"/>
              </w:rPr>
            </w:pPr>
          </w:p>
        </w:tc>
        <w:tc>
          <w:tcPr>
            <w:tcW w:w="268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performance against objective financial</w:t>
            </w:r>
          </w:p>
        </w:tc>
        <w:tc>
          <w:tcPr>
            <w:tcW w:w="1260" w:type="dxa"/>
            <w:vAlign w:val="bottom"/>
            <w:tcBorders>
              <w:right w:val="single" w:sz="8" w:color="AFAFAF"/>
            </w:tcBorders>
          </w:tcPr>
          <w:p>
            <w:pPr>
              <w:spacing w:after="0"/>
              <w:rPr>
                <w:sz w:val="5"/>
                <w:szCs w:val="5"/>
                <w:color w:val="auto"/>
              </w:rPr>
            </w:pPr>
          </w:p>
        </w:tc>
        <w:tc>
          <w:tcPr>
            <w:tcW w:w="1500" w:type="dxa"/>
            <w:vAlign w:val="bottom"/>
            <w:tcBorders>
              <w:right w:val="single" w:sz="8" w:color="AFAFAF"/>
            </w:tcBorders>
            <w:vMerge w:val="continue"/>
          </w:tcPr>
          <w:p>
            <w:pPr>
              <w:spacing w:after="0"/>
              <w:rPr>
                <w:sz w:val="5"/>
                <w:szCs w:val="5"/>
                <w:color w:val="auto"/>
              </w:rPr>
            </w:pPr>
          </w:p>
        </w:tc>
        <w:tc>
          <w:tcPr>
            <w:tcW w:w="800" w:type="dxa"/>
            <w:vAlign w:val="bottom"/>
            <w:tcBorders>
              <w:right w:val="single" w:sz="8" w:color="AFAFAF"/>
            </w:tcBorders>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420" w:type="dxa"/>
            <w:vAlign w:val="bottom"/>
            <w:tcBorders>
              <w:right w:val="single" w:sz="8" w:color="AFAFAF"/>
            </w:tcBorders>
          </w:tcPr>
          <w:p>
            <w:pPr>
              <w:spacing w:after="0"/>
              <w:rPr>
                <w:sz w:val="8"/>
                <w:szCs w:val="8"/>
                <w:color w:val="auto"/>
              </w:rPr>
            </w:pPr>
          </w:p>
        </w:tc>
        <w:tc>
          <w:tcPr>
            <w:tcW w:w="2680" w:type="dxa"/>
            <w:vAlign w:val="bottom"/>
            <w:tcBorders>
              <w:right w:val="single" w:sz="8" w:color="AFAFAF"/>
            </w:tcBorders>
            <w:vMerge w:val="continue"/>
          </w:tcPr>
          <w:p>
            <w:pPr>
              <w:spacing w:after="0"/>
              <w:rPr>
                <w:sz w:val="8"/>
                <w:szCs w:val="8"/>
                <w:color w:val="auto"/>
              </w:rPr>
            </w:pPr>
          </w:p>
        </w:tc>
        <w:tc>
          <w:tcPr>
            <w:tcW w:w="1260" w:type="dxa"/>
            <w:vAlign w:val="bottom"/>
            <w:tcBorders>
              <w:right w:val="single" w:sz="8" w:color="AFAFAF"/>
            </w:tcBorders>
          </w:tcPr>
          <w:p>
            <w:pPr>
              <w:spacing w:after="0"/>
              <w:rPr>
                <w:sz w:val="8"/>
                <w:szCs w:val="8"/>
                <w:color w:val="auto"/>
              </w:rPr>
            </w:pPr>
          </w:p>
        </w:tc>
        <w:tc>
          <w:tcPr>
            <w:tcW w:w="150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accrued capital</w:t>
            </w:r>
          </w:p>
        </w:tc>
        <w:tc>
          <w:tcPr>
            <w:tcW w:w="800" w:type="dxa"/>
            <w:vAlign w:val="bottom"/>
            <w:tcBorders>
              <w:right w:val="single" w:sz="8" w:color="AFAFAF"/>
            </w:tcBorders>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Borders>
              <w:right w:val="single" w:sz="8" w:color="AFAFAF"/>
            </w:tcBorders>
          </w:tcPr>
          <w:p>
            <w:pPr>
              <w:spacing w:after="0"/>
              <w:rPr>
                <w:sz w:val="5"/>
                <w:szCs w:val="5"/>
                <w:color w:val="auto"/>
              </w:rPr>
            </w:pPr>
          </w:p>
        </w:tc>
        <w:tc>
          <w:tcPr>
            <w:tcW w:w="268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targets established at the beginning of</w:t>
            </w:r>
          </w:p>
        </w:tc>
        <w:tc>
          <w:tcPr>
            <w:tcW w:w="1260" w:type="dxa"/>
            <w:vAlign w:val="bottom"/>
            <w:tcBorders>
              <w:right w:val="single" w:sz="8" w:color="AFAFAF"/>
            </w:tcBorders>
          </w:tcPr>
          <w:p>
            <w:pPr>
              <w:spacing w:after="0"/>
              <w:rPr>
                <w:sz w:val="5"/>
                <w:szCs w:val="5"/>
                <w:color w:val="auto"/>
              </w:rPr>
            </w:pPr>
          </w:p>
        </w:tc>
        <w:tc>
          <w:tcPr>
            <w:tcW w:w="1500" w:type="dxa"/>
            <w:vAlign w:val="bottom"/>
            <w:tcBorders>
              <w:right w:val="single" w:sz="8" w:color="AFAFAF"/>
            </w:tcBorders>
            <w:vMerge w:val="continue"/>
          </w:tcPr>
          <w:p>
            <w:pPr>
              <w:spacing w:after="0"/>
              <w:rPr>
                <w:sz w:val="5"/>
                <w:szCs w:val="5"/>
                <w:color w:val="auto"/>
              </w:rPr>
            </w:pPr>
          </w:p>
        </w:tc>
        <w:tc>
          <w:tcPr>
            <w:tcW w:w="800" w:type="dxa"/>
            <w:vAlign w:val="bottom"/>
            <w:tcBorders>
              <w:right w:val="single" w:sz="8" w:color="AFAFAF"/>
            </w:tcBorders>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420" w:type="dxa"/>
            <w:vAlign w:val="bottom"/>
            <w:tcBorders>
              <w:right w:val="single" w:sz="8" w:color="AFAFAF"/>
            </w:tcBorders>
          </w:tcPr>
          <w:p>
            <w:pPr>
              <w:spacing w:after="0"/>
              <w:rPr>
                <w:sz w:val="8"/>
                <w:szCs w:val="8"/>
                <w:color w:val="auto"/>
              </w:rPr>
            </w:pPr>
          </w:p>
        </w:tc>
        <w:tc>
          <w:tcPr>
            <w:tcW w:w="2680" w:type="dxa"/>
            <w:vAlign w:val="bottom"/>
            <w:tcBorders>
              <w:right w:val="single" w:sz="8" w:color="AFAFAF"/>
            </w:tcBorders>
            <w:vMerge w:val="continue"/>
          </w:tcPr>
          <w:p>
            <w:pPr>
              <w:spacing w:after="0"/>
              <w:rPr>
                <w:sz w:val="8"/>
                <w:szCs w:val="8"/>
                <w:color w:val="auto"/>
              </w:rPr>
            </w:pPr>
          </w:p>
        </w:tc>
        <w:tc>
          <w:tcPr>
            <w:tcW w:w="1260" w:type="dxa"/>
            <w:vAlign w:val="bottom"/>
            <w:tcBorders>
              <w:right w:val="single" w:sz="8" w:color="AFAFAF"/>
            </w:tcBorders>
          </w:tcPr>
          <w:p>
            <w:pPr>
              <w:spacing w:after="0"/>
              <w:rPr>
                <w:sz w:val="8"/>
                <w:szCs w:val="8"/>
                <w:color w:val="auto"/>
              </w:rPr>
            </w:pPr>
          </w:p>
        </w:tc>
        <w:tc>
          <w:tcPr>
            <w:tcW w:w="150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expenditures (1/3).</w:t>
            </w:r>
          </w:p>
        </w:tc>
        <w:tc>
          <w:tcPr>
            <w:tcW w:w="800" w:type="dxa"/>
            <w:vAlign w:val="bottom"/>
            <w:tcBorders>
              <w:right w:val="single" w:sz="8" w:color="AFAFAF"/>
            </w:tcBorders>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20" w:type="dxa"/>
            <w:vAlign w:val="bottom"/>
            <w:tcBorders>
              <w:right w:val="single" w:sz="8" w:color="AFAFAF"/>
            </w:tcBorders>
          </w:tcPr>
          <w:p>
            <w:pPr>
              <w:spacing w:after="0"/>
              <w:rPr>
                <w:sz w:val="8"/>
                <w:szCs w:val="8"/>
                <w:color w:val="auto"/>
              </w:rPr>
            </w:pPr>
          </w:p>
        </w:tc>
        <w:tc>
          <w:tcPr>
            <w:tcW w:w="268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the year and subject to adjustment based</w:t>
            </w:r>
          </w:p>
        </w:tc>
        <w:tc>
          <w:tcPr>
            <w:tcW w:w="1260" w:type="dxa"/>
            <w:vAlign w:val="bottom"/>
            <w:tcBorders>
              <w:right w:val="single" w:sz="8" w:color="AFAFAF"/>
            </w:tcBorders>
          </w:tcPr>
          <w:p>
            <w:pPr>
              <w:spacing w:after="0"/>
              <w:rPr>
                <w:sz w:val="8"/>
                <w:szCs w:val="8"/>
                <w:color w:val="auto"/>
              </w:rPr>
            </w:pPr>
          </w:p>
        </w:tc>
        <w:tc>
          <w:tcPr>
            <w:tcW w:w="1500" w:type="dxa"/>
            <w:vAlign w:val="bottom"/>
            <w:tcBorders>
              <w:right w:val="single" w:sz="8" w:color="AFAFAF"/>
            </w:tcBorders>
            <w:vMerge w:val="continue"/>
          </w:tcPr>
          <w:p>
            <w:pPr>
              <w:spacing w:after="0"/>
              <w:rPr>
                <w:sz w:val="8"/>
                <w:szCs w:val="8"/>
                <w:color w:val="auto"/>
              </w:rPr>
            </w:pPr>
          </w:p>
        </w:tc>
        <w:tc>
          <w:tcPr>
            <w:tcW w:w="800" w:type="dxa"/>
            <w:vAlign w:val="bottom"/>
            <w:tcBorders>
              <w:right w:val="single" w:sz="8" w:color="AFAFAF"/>
            </w:tcBorders>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20" w:type="dxa"/>
            <w:vAlign w:val="bottom"/>
            <w:tcBorders>
              <w:right w:val="single" w:sz="8" w:color="AFAFAF"/>
            </w:tcBorders>
          </w:tcPr>
          <w:p>
            <w:pPr>
              <w:spacing w:after="0"/>
              <w:rPr>
                <w:sz w:val="5"/>
                <w:szCs w:val="5"/>
                <w:color w:val="auto"/>
              </w:rPr>
            </w:pPr>
          </w:p>
        </w:tc>
        <w:tc>
          <w:tcPr>
            <w:tcW w:w="2680" w:type="dxa"/>
            <w:vAlign w:val="bottom"/>
            <w:tcBorders>
              <w:right w:val="single" w:sz="8" w:color="AFAFAF"/>
            </w:tcBorders>
            <w:vMerge w:val="continue"/>
          </w:tcPr>
          <w:p>
            <w:pPr>
              <w:spacing w:after="0"/>
              <w:rPr>
                <w:sz w:val="5"/>
                <w:szCs w:val="5"/>
                <w:color w:val="auto"/>
              </w:rPr>
            </w:pPr>
          </w:p>
        </w:tc>
        <w:tc>
          <w:tcPr>
            <w:tcW w:w="1260" w:type="dxa"/>
            <w:vAlign w:val="bottom"/>
            <w:tcBorders>
              <w:right w:val="single" w:sz="8" w:color="AFAFAF"/>
            </w:tcBorders>
          </w:tcPr>
          <w:p>
            <w:pPr>
              <w:spacing w:after="0"/>
              <w:rPr>
                <w:sz w:val="5"/>
                <w:szCs w:val="5"/>
                <w:color w:val="auto"/>
              </w:rPr>
            </w:pPr>
          </w:p>
        </w:tc>
        <w:tc>
          <w:tcPr>
            <w:tcW w:w="1500" w:type="dxa"/>
            <w:vAlign w:val="bottom"/>
            <w:tcBorders>
              <w:right w:val="single" w:sz="8" w:color="AFAFAF"/>
            </w:tcBorders>
            <w:vMerge w:val="restart"/>
          </w:tcPr>
          <w:p>
            <w:pPr>
              <w:ind w:left="60"/>
              <w:spacing w:after="0"/>
              <w:rPr>
                <w:sz w:val="20"/>
                <w:szCs w:val="20"/>
                <w:color w:val="auto"/>
              </w:rPr>
            </w:pPr>
            <w:r>
              <w:rPr>
                <w:rFonts w:ascii="Arial" w:cs="Arial" w:eastAsia="Arial" w:hAnsi="Arial"/>
                <w:sz w:val="14"/>
                <w:szCs w:val="14"/>
                <w:color w:val="auto"/>
              </w:rPr>
              <w:t>Organic “book of</w:t>
            </w:r>
          </w:p>
        </w:tc>
        <w:tc>
          <w:tcPr>
            <w:tcW w:w="800" w:type="dxa"/>
            <w:vAlign w:val="bottom"/>
            <w:tcBorders>
              <w:right w:val="single" w:sz="8" w:color="AFAFAF"/>
            </w:tcBorders>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420" w:type="dxa"/>
            <w:vAlign w:val="bottom"/>
            <w:tcBorders>
              <w:right w:val="single" w:sz="8" w:color="AFAFAF"/>
            </w:tcBorders>
          </w:tcPr>
          <w:p>
            <w:pPr>
              <w:spacing w:after="0"/>
              <w:rPr>
                <w:sz w:val="12"/>
                <w:szCs w:val="12"/>
                <w:color w:val="auto"/>
              </w:rPr>
            </w:pPr>
          </w:p>
        </w:tc>
        <w:tc>
          <w:tcPr>
            <w:tcW w:w="2680" w:type="dxa"/>
            <w:vAlign w:val="bottom"/>
            <w:tcBorders>
              <w:right w:val="single" w:sz="8" w:color="AFAFAF"/>
            </w:tcBorders>
          </w:tcPr>
          <w:p>
            <w:pPr>
              <w:ind w:left="60"/>
              <w:spacing w:after="0" w:line="143" w:lineRule="exact"/>
              <w:rPr>
                <w:sz w:val="20"/>
                <w:szCs w:val="20"/>
                <w:color w:val="auto"/>
              </w:rPr>
            </w:pPr>
            <w:r>
              <w:rPr>
                <w:rFonts w:ascii="Arial" w:cs="Arial" w:eastAsia="Arial" w:hAnsi="Arial"/>
                <w:sz w:val="14"/>
                <w:szCs w:val="14"/>
                <w:color w:val="auto"/>
              </w:rPr>
              <w:t>on individual performance.</w:t>
            </w:r>
          </w:p>
        </w:tc>
        <w:tc>
          <w:tcPr>
            <w:tcW w:w="1260" w:type="dxa"/>
            <w:vAlign w:val="bottom"/>
            <w:tcBorders>
              <w:right w:val="single" w:sz="8" w:color="AFAFAF"/>
            </w:tcBorders>
          </w:tcPr>
          <w:p>
            <w:pPr>
              <w:spacing w:after="0"/>
              <w:rPr>
                <w:sz w:val="12"/>
                <w:szCs w:val="12"/>
                <w:color w:val="auto"/>
              </w:rPr>
            </w:pPr>
          </w:p>
        </w:tc>
        <w:tc>
          <w:tcPr>
            <w:tcW w:w="1500" w:type="dxa"/>
            <w:vAlign w:val="bottom"/>
            <w:tcBorders>
              <w:right w:val="single" w:sz="8" w:color="AFAFAF"/>
            </w:tcBorders>
            <w:vMerge w:val="continue"/>
          </w:tcPr>
          <w:p>
            <w:pPr>
              <w:spacing w:after="0"/>
              <w:rPr>
                <w:sz w:val="12"/>
                <w:szCs w:val="12"/>
                <w:color w:val="auto"/>
              </w:rPr>
            </w:pPr>
          </w:p>
        </w:tc>
        <w:tc>
          <w:tcPr>
            <w:tcW w:w="800" w:type="dxa"/>
            <w:vAlign w:val="bottom"/>
            <w:tcBorders>
              <w:right w:val="single" w:sz="8" w:color="AFAFAF"/>
            </w:tcBorders>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line="151" w:lineRule="exact"/>
              <w:rPr>
                <w:sz w:val="20"/>
                <w:szCs w:val="20"/>
                <w:color w:val="auto"/>
              </w:rPr>
            </w:pPr>
            <w:r>
              <w:rPr>
                <w:rFonts w:ascii="Arial" w:cs="Arial" w:eastAsia="Arial" w:hAnsi="Arial"/>
                <w:sz w:val="14"/>
                <w:szCs w:val="14"/>
                <w:color w:val="auto"/>
              </w:rPr>
              <w:t>business” based on</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annualized contract</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spacing w:after="0"/>
              <w:rPr>
                <w:sz w:val="16"/>
                <w:szCs w:val="16"/>
                <w:color w:val="auto"/>
              </w:rPr>
            </w:pP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value (ACV) (1/3).</w:t>
            </w:r>
          </w:p>
        </w:tc>
        <w:tc>
          <w:tcPr>
            <w:tcW w:w="800" w:type="dxa"/>
            <w:vAlign w:val="bottom"/>
            <w:tcBorders>
              <w:right w:val="single" w:sz="8" w:color="AFAFAF"/>
            </w:tcBorders>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20" w:type="dxa"/>
            <w:vAlign w:val="bottom"/>
            <w:tcBorders>
              <w:right w:val="single" w:sz="8" w:color="AFAFAF"/>
            </w:tcBorders>
          </w:tcPr>
          <w:p>
            <w:pPr>
              <w:spacing w:after="0"/>
              <w:rPr>
                <w:sz w:val="17"/>
                <w:szCs w:val="17"/>
                <w:color w:val="auto"/>
              </w:rPr>
            </w:pPr>
          </w:p>
        </w:tc>
        <w:tc>
          <w:tcPr>
            <w:tcW w:w="2680" w:type="dxa"/>
            <w:vAlign w:val="bottom"/>
            <w:tcBorders>
              <w:right w:val="single" w:sz="8" w:color="AFAFAF"/>
            </w:tcBorders>
          </w:tcPr>
          <w:p>
            <w:pPr>
              <w:spacing w:after="0"/>
              <w:rPr>
                <w:sz w:val="17"/>
                <w:szCs w:val="17"/>
                <w:color w:val="auto"/>
              </w:rPr>
            </w:pPr>
          </w:p>
        </w:tc>
        <w:tc>
          <w:tcPr>
            <w:tcW w:w="1260" w:type="dxa"/>
            <w:vAlign w:val="bottom"/>
            <w:tcBorders>
              <w:right w:val="single" w:sz="8" w:color="AFAFAF"/>
            </w:tcBorders>
          </w:tcPr>
          <w:p>
            <w:pPr>
              <w:spacing w:after="0"/>
              <w:rPr>
                <w:sz w:val="17"/>
                <w:szCs w:val="17"/>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To drive further</w:t>
            </w:r>
          </w:p>
        </w:tc>
        <w:tc>
          <w:tcPr>
            <w:tcW w:w="800" w:type="dxa"/>
            <w:vAlign w:val="bottom"/>
            <w:tcBorders>
              <w:right w:val="single" w:sz="8" w:color="AFAFAF"/>
            </w:tcBorders>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differentiation for</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performance, improve</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leader accountability,</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and support simplicity</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and transparency,</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payouts may be</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adjusted based on</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individual</w:t>
            </w: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spacing w:after="0"/>
              <w:rPr>
                <w:sz w:val="16"/>
                <w:szCs w:val="16"/>
                <w:color w:val="auto"/>
              </w:rPr>
            </w:pP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performance.</w:t>
            </w:r>
          </w:p>
        </w:tc>
        <w:tc>
          <w:tcPr>
            <w:tcW w:w="800" w:type="dxa"/>
            <w:vAlign w:val="bottom"/>
            <w:tcBorders>
              <w:right w:val="single" w:sz="8" w:color="AFAFAF"/>
            </w:tcBorders>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20" w:type="dxa"/>
            <w:vAlign w:val="bottom"/>
            <w:tcBorders>
              <w:bottom w:val="single" w:sz="8" w:color="AFAFAF"/>
              <w:right w:val="single" w:sz="8" w:color="AFAFAF"/>
            </w:tcBorders>
          </w:tcPr>
          <w:p>
            <w:pPr>
              <w:spacing w:after="0"/>
              <w:rPr>
                <w:sz w:val="4"/>
                <w:szCs w:val="4"/>
                <w:color w:val="auto"/>
              </w:rPr>
            </w:pPr>
          </w:p>
        </w:tc>
        <w:tc>
          <w:tcPr>
            <w:tcW w:w="2680" w:type="dxa"/>
            <w:vAlign w:val="bottom"/>
            <w:tcBorders>
              <w:bottom w:val="single" w:sz="8" w:color="AFAFAF"/>
              <w:right w:val="single" w:sz="8" w:color="AFAFAF"/>
            </w:tcBorders>
          </w:tcPr>
          <w:p>
            <w:pPr>
              <w:spacing w:after="0"/>
              <w:rPr>
                <w:sz w:val="4"/>
                <w:szCs w:val="4"/>
                <w:color w:val="auto"/>
              </w:rPr>
            </w:pPr>
          </w:p>
        </w:tc>
        <w:tc>
          <w:tcPr>
            <w:tcW w:w="1260" w:type="dxa"/>
            <w:vAlign w:val="bottom"/>
            <w:tcBorders>
              <w:bottom w:val="single" w:sz="8" w:color="AFAFAF"/>
              <w:right w:val="single" w:sz="8" w:color="AFAFAF"/>
            </w:tcBorders>
          </w:tcPr>
          <w:p>
            <w:pPr>
              <w:spacing w:after="0"/>
              <w:rPr>
                <w:sz w:val="4"/>
                <w:szCs w:val="4"/>
                <w:color w:val="auto"/>
              </w:rPr>
            </w:pPr>
          </w:p>
        </w:tc>
        <w:tc>
          <w:tcPr>
            <w:tcW w:w="1500" w:type="dxa"/>
            <w:vAlign w:val="bottom"/>
            <w:tcBorders>
              <w:bottom w:val="single" w:sz="8" w:color="AFAFAF"/>
              <w:right w:val="single" w:sz="8" w:color="AFAFAF"/>
            </w:tcBorders>
          </w:tcPr>
          <w:p>
            <w:pPr>
              <w:spacing w:after="0"/>
              <w:rPr>
                <w:sz w:val="4"/>
                <w:szCs w:val="4"/>
                <w:color w:val="auto"/>
              </w:rPr>
            </w:pPr>
          </w:p>
        </w:tc>
        <w:tc>
          <w:tcPr>
            <w:tcW w:w="800" w:type="dxa"/>
            <w:vAlign w:val="bottom"/>
            <w:tcBorders>
              <w:bottom w:val="single" w:sz="8" w:color="AFAFAF"/>
              <w:right w:val="single" w:sz="8" w:color="AFAFAF"/>
            </w:tcBorders>
          </w:tcPr>
          <w:p>
            <w:pPr>
              <w:spacing w:after="0"/>
              <w:rPr>
                <w:sz w:val="4"/>
                <w:szCs w:val="4"/>
                <w:color w:val="auto"/>
              </w:rPr>
            </w:pPr>
          </w:p>
        </w:tc>
        <w:tc>
          <w:tcPr>
            <w:tcW w:w="2260" w:type="dxa"/>
            <w:vAlign w:val="bottom"/>
            <w:tcBorders>
              <w:bottom w:val="single" w:sz="8" w:color="AFAFAF"/>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Long-term incentive award</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Grants of:</w:t>
            </w:r>
          </w:p>
        </w:tc>
        <w:tc>
          <w:tcPr>
            <w:tcW w:w="126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Primarily</w:t>
            </w: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Organic revenue</w:t>
            </w:r>
          </w:p>
        </w:tc>
        <w:tc>
          <w:tcPr>
            <w:tcW w:w="80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Equity</w:t>
            </w:r>
          </w:p>
        </w:tc>
        <w:tc>
          <w:tcPr>
            <w:tcW w:w="2260" w:type="dxa"/>
            <w:vAlign w:val="bottom"/>
          </w:tcPr>
          <w:p>
            <w:pPr>
              <w:ind w:left="80"/>
              <w:spacing w:after="0"/>
              <w:rPr>
                <w:sz w:val="20"/>
                <w:szCs w:val="20"/>
                <w:color w:val="auto"/>
              </w:rPr>
            </w:pPr>
            <w:r>
              <w:rPr>
                <w:rFonts w:ascii="Arial" w:cs="Arial" w:eastAsia="Arial" w:hAnsi="Arial"/>
                <w:sz w:val="14"/>
                <w:szCs w:val="14"/>
                <w:color w:val="auto"/>
              </w:rPr>
              <w:t>Commits executives to delivering</w:t>
            </w:r>
          </w:p>
        </w:tc>
        <w:tc>
          <w:tcPr>
            <w:tcW w:w="0" w:type="dxa"/>
            <w:vAlign w:val="bottom"/>
          </w:tcPr>
          <w:p>
            <w:pPr>
              <w:spacing w:after="0"/>
              <w:rPr>
                <w:sz w:val="1"/>
                <w:szCs w:val="1"/>
                <w:color w:val="auto"/>
              </w:rPr>
            </w:pPr>
          </w:p>
        </w:tc>
      </w:tr>
      <w:tr>
        <w:trPr>
          <w:trHeight w:val="210"/>
        </w:trPr>
        <w:tc>
          <w:tcPr>
            <w:tcW w:w="2420" w:type="dxa"/>
            <w:vAlign w:val="bottom"/>
            <w:tcBorders>
              <w:right w:val="single" w:sz="8" w:color="AFAFAF"/>
            </w:tcBorders>
          </w:tcPr>
          <w:p>
            <w:pPr>
              <w:spacing w:after="0"/>
              <w:rPr>
                <w:sz w:val="18"/>
                <w:szCs w:val="18"/>
                <w:color w:val="auto"/>
              </w:rPr>
            </w:pPr>
          </w:p>
        </w:tc>
        <w:tc>
          <w:tcPr>
            <w:tcW w:w="2680" w:type="dxa"/>
            <w:vAlign w:val="bottom"/>
            <w:tcBorders>
              <w:right w:val="single" w:sz="8" w:color="AFAFAF"/>
            </w:tcBorders>
          </w:tcPr>
          <w:p>
            <w:pPr>
              <w:ind w:left="6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PRSUs (50%) that vest after</w:t>
            </w:r>
          </w:p>
        </w:tc>
        <w:tc>
          <w:tcPr>
            <w:tcW w:w="126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performance-</w:t>
            </w: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growth (50% of PRSU</w:t>
            </w:r>
          </w:p>
        </w:tc>
        <w:tc>
          <w:tcPr>
            <w:tcW w:w="800" w:type="dxa"/>
            <w:vAlign w:val="bottom"/>
            <w:tcBorders>
              <w:right w:val="single" w:sz="8" w:color="AFAFAF"/>
            </w:tcBorders>
          </w:tcPr>
          <w:p>
            <w:pPr>
              <w:spacing w:after="0"/>
              <w:rPr>
                <w:sz w:val="18"/>
                <w:szCs w:val="18"/>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on our financial goals over the</w:t>
            </w:r>
          </w:p>
        </w:tc>
        <w:tc>
          <w:tcPr>
            <w:tcW w:w="0" w:type="dxa"/>
            <w:vAlign w:val="bottom"/>
          </w:tcPr>
          <w:p>
            <w:pPr>
              <w:spacing w:after="0"/>
              <w:rPr>
                <w:sz w:val="1"/>
                <w:szCs w:val="1"/>
                <w:color w:val="auto"/>
              </w:rPr>
            </w:pPr>
          </w:p>
        </w:tc>
      </w:tr>
      <w:tr>
        <w:trPr>
          <w:trHeight w:val="178"/>
        </w:trPr>
        <w:tc>
          <w:tcPr>
            <w:tcW w:w="2420" w:type="dxa"/>
            <w:vAlign w:val="bottom"/>
            <w:tcBorders>
              <w:right w:val="single" w:sz="8" w:color="AFAFAF"/>
            </w:tcBorders>
          </w:tcPr>
          <w:p>
            <w:pPr>
              <w:spacing w:after="0"/>
              <w:rPr>
                <w:sz w:val="15"/>
                <w:szCs w:val="15"/>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completion of a three-year period,</w:t>
            </w:r>
          </w:p>
        </w:tc>
        <w:tc>
          <w:tcPr>
            <w:tcW w:w="126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based</w:t>
            </w: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financial metrics)</w:t>
            </w:r>
          </w:p>
        </w:tc>
        <w:tc>
          <w:tcPr>
            <w:tcW w:w="800" w:type="dxa"/>
            <w:vAlign w:val="bottom"/>
            <w:tcBorders>
              <w:right w:val="single" w:sz="8" w:color="AFAFAF"/>
            </w:tcBorders>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long term.</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dependent on company performance</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Free cash flow per</w:t>
            </w: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Strongly links their pay to our</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against multi-year objective financial</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share (50% of PRSU</w:t>
            </w: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share price and supports retention</w:t>
            </w: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targets;</w:t>
            </w: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financial metrics)</w:t>
            </w:r>
          </w:p>
        </w:tc>
        <w:tc>
          <w:tcPr>
            <w:tcW w:w="800" w:type="dxa"/>
            <w:vAlign w:val="bottom"/>
            <w:tcBorders>
              <w:right w:val="single" w:sz="8" w:color="AFAFAF"/>
            </w:tcBorders>
          </w:tcPr>
          <w:p>
            <w:pPr>
              <w:spacing w:after="0"/>
              <w:rPr>
                <w:sz w:val="16"/>
                <w:szCs w:val="16"/>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objectives.</w:t>
            </w:r>
          </w:p>
        </w:tc>
        <w:tc>
          <w:tcPr>
            <w:tcW w:w="0" w:type="dxa"/>
            <w:vAlign w:val="bottom"/>
          </w:tcPr>
          <w:p>
            <w:pPr>
              <w:spacing w:after="0"/>
              <w:rPr>
                <w:sz w:val="1"/>
                <w:szCs w:val="1"/>
                <w:color w:val="auto"/>
              </w:rPr>
            </w:pPr>
          </w:p>
        </w:tc>
      </w:tr>
      <w:tr>
        <w:trPr>
          <w:trHeight w:val="199"/>
        </w:trPr>
        <w:tc>
          <w:tcPr>
            <w:tcW w:w="2420" w:type="dxa"/>
            <w:vAlign w:val="bottom"/>
            <w:tcBorders>
              <w:right w:val="single" w:sz="8" w:color="AFAFAF"/>
            </w:tcBorders>
          </w:tcPr>
          <w:p>
            <w:pPr>
              <w:spacing w:after="0"/>
              <w:rPr>
                <w:sz w:val="17"/>
                <w:szCs w:val="17"/>
                <w:color w:val="auto"/>
              </w:rPr>
            </w:pPr>
          </w:p>
        </w:tc>
        <w:tc>
          <w:tcPr>
            <w:tcW w:w="2680" w:type="dxa"/>
            <w:vAlign w:val="bottom"/>
            <w:tcBorders>
              <w:right w:val="single" w:sz="8" w:color="AFAFAF"/>
            </w:tcBorders>
          </w:tcPr>
          <w:p>
            <w:pPr>
              <w:ind w:left="6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TRSUs (25%) that vest at the same</w:t>
            </w:r>
          </w:p>
        </w:tc>
        <w:tc>
          <w:tcPr>
            <w:tcW w:w="1260" w:type="dxa"/>
            <w:vAlign w:val="bottom"/>
            <w:tcBorders>
              <w:right w:val="single" w:sz="8" w:color="AFAFAF"/>
            </w:tcBorders>
          </w:tcPr>
          <w:p>
            <w:pPr>
              <w:spacing w:after="0"/>
              <w:rPr>
                <w:sz w:val="17"/>
                <w:szCs w:val="17"/>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Value tied to share</w:t>
            </w:r>
          </w:p>
        </w:tc>
        <w:tc>
          <w:tcPr>
            <w:tcW w:w="800" w:type="dxa"/>
            <w:vAlign w:val="bottom"/>
            <w:tcBorders>
              <w:right w:val="single" w:sz="8" w:color="AFAFAF"/>
            </w:tcBorders>
          </w:tcPr>
          <w:p>
            <w:pPr>
              <w:spacing w:after="0"/>
              <w:rPr>
                <w:sz w:val="17"/>
                <w:szCs w:val="17"/>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Helps retain critical talent and</w:t>
            </w: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time as PRSUs; and</w:t>
            </w: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price performance.</w:t>
            </w:r>
          </w:p>
        </w:tc>
        <w:tc>
          <w:tcPr>
            <w:tcW w:w="800" w:type="dxa"/>
            <w:vAlign w:val="bottom"/>
            <w:tcBorders>
              <w:right w:val="single" w:sz="8" w:color="AFAFAF"/>
            </w:tcBorders>
          </w:tcPr>
          <w:p>
            <w:pPr>
              <w:spacing w:after="0"/>
              <w:rPr>
                <w:sz w:val="16"/>
                <w:szCs w:val="16"/>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recognize superior performance.</w:t>
            </w:r>
          </w:p>
        </w:tc>
        <w:tc>
          <w:tcPr>
            <w:tcW w:w="0" w:type="dxa"/>
            <w:vAlign w:val="bottom"/>
          </w:tcPr>
          <w:p>
            <w:pPr>
              <w:spacing w:after="0"/>
              <w:rPr>
                <w:sz w:val="1"/>
                <w:szCs w:val="1"/>
                <w:color w:val="auto"/>
              </w:rPr>
            </w:pPr>
          </w:p>
        </w:tc>
      </w:tr>
      <w:tr>
        <w:trPr>
          <w:trHeight w:val="199"/>
        </w:trPr>
        <w:tc>
          <w:tcPr>
            <w:tcW w:w="2420" w:type="dxa"/>
            <w:vAlign w:val="bottom"/>
            <w:tcBorders>
              <w:right w:val="single" w:sz="8" w:color="AFAFAF"/>
            </w:tcBorders>
          </w:tcPr>
          <w:p>
            <w:pPr>
              <w:spacing w:after="0"/>
              <w:rPr>
                <w:sz w:val="17"/>
                <w:szCs w:val="17"/>
                <w:color w:val="auto"/>
              </w:rPr>
            </w:pPr>
          </w:p>
        </w:tc>
        <w:tc>
          <w:tcPr>
            <w:tcW w:w="2680" w:type="dxa"/>
            <w:vAlign w:val="bottom"/>
            <w:tcBorders>
              <w:right w:val="single" w:sz="8" w:color="AFAFAF"/>
            </w:tcBorders>
          </w:tcPr>
          <w:p>
            <w:pPr>
              <w:ind w:left="60"/>
              <w:spacing w:after="0"/>
              <w:rPr>
                <w:sz w:val="20"/>
                <w:szCs w:val="20"/>
                <w:color w:val="auto"/>
              </w:rPr>
            </w:pPr>
            <w:r>
              <w:rPr>
                <w:rFonts w:ascii="Times New Roman" w:cs="Times New Roman" w:eastAsia="Times New Roman" w:hAnsi="Times New Roman"/>
                <w:sz w:val="16"/>
                <w:szCs w:val="16"/>
                <w:color w:val="B94831"/>
                <w:vertAlign w:val="superscript"/>
              </w:rPr>
              <w:t>·</w:t>
            </w:r>
            <w:r>
              <w:rPr>
                <w:rFonts w:ascii="Arial" w:cs="Arial" w:eastAsia="Arial" w:hAnsi="Arial"/>
                <w:sz w:val="14"/>
                <w:szCs w:val="14"/>
                <w:color w:val="auto"/>
              </w:rPr>
              <w:t xml:space="preserve">    Stock options (25%) with an exercise</w:t>
            </w:r>
          </w:p>
        </w:tc>
        <w:tc>
          <w:tcPr>
            <w:tcW w:w="1260" w:type="dxa"/>
            <w:vAlign w:val="bottom"/>
            <w:tcBorders>
              <w:right w:val="single" w:sz="8" w:color="AFAFAF"/>
            </w:tcBorders>
          </w:tcPr>
          <w:p>
            <w:pPr>
              <w:spacing w:after="0"/>
              <w:rPr>
                <w:sz w:val="17"/>
                <w:szCs w:val="17"/>
                <w:color w:val="auto"/>
              </w:rPr>
            </w:pPr>
          </w:p>
        </w:tc>
        <w:tc>
          <w:tcPr>
            <w:tcW w:w="1500" w:type="dxa"/>
            <w:vAlign w:val="bottom"/>
            <w:tcBorders>
              <w:right w:val="single" w:sz="8" w:color="AFAFAF"/>
            </w:tcBorders>
          </w:tcPr>
          <w:p>
            <w:pPr>
              <w:spacing w:after="0"/>
              <w:rPr>
                <w:sz w:val="17"/>
                <w:szCs w:val="17"/>
                <w:color w:val="auto"/>
              </w:rPr>
            </w:pPr>
          </w:p>
        </w:tc>
        <w:tc>
          <w:tcPr>
            <w:tcW w:w="800" w:type="dxa"/>
            <w:vAlign w:val="bottom"/>
            <w:tcBorders>
              <w:right w:val="single" w:sz="8" w:color="AFAFAF"/>
            </w:tcBorders>
          </w:tcPr>
          <w:p>
            <w:pPr>
              <w:spacing w:after="0"/>
              <w:rPr>
                <w:sz w:val="17"/>
                <w:szCs w:val="17"/>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Aligns their interests to</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price equal to the closing price of our</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shareholder interests.</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shares on the NYSE on the trading</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day immediately preceding the date</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of the grant; options are subject to</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ind w:left="280"/>
              <w:spacing w:after="0"/>
              <w:rPr>
                <w:sz w:val="20"/>
                <w:szCs w:val="20"/>
                <w:color w:val="auto"/>
              </w:rPr>
            </w:pPr>
            <w:r>
              <w:rPr>
                <w:rFonts w:ascii="Arial" w:cs="Arial" w:eastAsia="Arial" w:hAnsi="Arial"/>
                <w:sz w:val="14"/>
                <w:szCs w:val="14"/>
                <w:color w:val="auto"/>
              </w:rPr>
              <w:t>time vesting conditions</w:t>
            </w: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spacing w:after="0"/>
              <w:rPr>
                <w:sz w:val="16"/>
                <w:szCs w:val="16"/>
                <w:color w:val="auto"/>
              </w:rPr>
            </w:pPr>
          </w:p>
        </w:tc>
        <w:tc>
          <w:tcPr>
            <w:tcW w:w="800" w:type="dxa"/>
            <w:vAlign w:val="bottom"/>
            <w:tcBorders>
              <w:right w:val="single" w:sz="8" w:color="AFAFAF"/>
            </w:tcBorders>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20" w:type="dxa"/>
            <w:vAlign w:val="bottom"/>
            <w:tcBorders>
              <w:bottom w:val="single" w:sz="8" w:color="AFAFAF"/>
              <w:right w:val="single" w:sz="8" w:color="AFAFAF"/>
            </w:tcBorders>
          </w:tcPr>
          <w:p>
            <w:pPr>
              <w:spacing w:after="0"/>
              <w:rPr>
                <w:sz w:val="4"/>
                <w:szCs w:val="4"/>
                <w:color w:val="auto"/>
              </w:rPr>
            </w:pPr>
          </w:p>
        </w:tc>
        <w:tc>
          <w:tcPr>
            <w:tcW w:w="2680" w:type="dxa"/>
            <w:vAlign w:val="bottom"/>
            <w:tcBorders>
              <w:bottom w:val="single" w:sz="8" w:color="AFAFAF"/>
              <w:right w:val="single" w:sz="8" w:color="AFAFAF"/>
            </w:tcBorders>
          </w:tcPr>
          <w:p>
            <w:pPr>
              <w:spacing w:after="0"/>
              <w:rPr>
                <w:sz w:val="4"/>
                <w:szCs w:val="4"/>
                <w:color w:val="auto"/>
              </w:rPr>
            </w:pPr>
          </w:p>
        </w:tc>
        <w:tc>
          <w:tcPr>
            <w:tcW w:w="1260" w:type="dxa"/>
            <w:vAlign w:val="bottom"/>
            <w:tcBorders>
              <w:bottom w:val="single" w:sz="8" w:color="AFAFAF"/>
              <w:right w:val="single" w:sz="8" w:color="AFAFAF"/>
            </w:tcBorders>
          </w:tcPr>
          <w:p>
            <w:pPr>
              <w:spacing w:after="0"/>
              <w:rPr>
                <w:sz w:val="4"/>
                <w:szCs w:val="4"/>
                <w:color w:val="auto"/>
              </w:rPr>
            </w:pPr>
          </w:p>
        </w:tc>
        <w:tc>
          <w:tcPr>
            <w:tcW w:w="1500" w:type="dxa"/>
            <w:vAlign w:val="bottom"/>
            <w:tcBorders>
              <w:bottom w:val="single" w:sz="8" w:color="AFAFAF"/>
              <w:right w:val="single" w:sz="8" w:color="AFAFAF"/>
            </w:tcBorders>
          </w:tcPr>
          <w:p>
            <w:pPr>
              <w:spacing w:after="0"/>
              <w:rPr>
                <w:sz w:val="4"/>
                <w:szCs w:val="4"/>
                <w:color w:val="auto"/>
              </w:rPr>
            </w:pPr>
          </w:p>
        </w:tc>
        <w:tc>
          <w:tcPr>
            <w:tcW w:w="800" w:type="dxa"/>
            <w:vAlign w:val="bottom"/>
            <w:tcBorders>
              <w:bottom w:val="single" w:sz="8" w:color="AFAFAF"/>
              <w:right w:val="single" w:sz="8" w:color="AFAFAF"/>
            </w:tcBorders>
          </w:tcPr>
          <w:p>
            <w:pPr>
              <w:spacing w:after="0"/>
              <w:rPr>
                <w:sz w:val="4"/>
                <w:szCs w:val="4"/>
                <w:color w:val="auto"/>
              </w:rPr>
            </w:pPr>
          </w:p>
        </w:tc>
        <w:tc>
          <w:tcPr>
            <w:tcW w:w="2260" w:type="dxa"/>
            <w:vAlign w:val="bottom"/>
            <w:tcBorders>
              <w:bottom w:val="single" w:sz="8" w:color="AFAFAF"/>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Retirement and health and</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Savings and deferred compensation</w:t>
            </w:r>
          </w:p>
        </w:tc>
        <w:tc>
          <w:tcPr>
            <w:tcW w:w="1260" w:type="dxa"/>
            <w:vAlign w:val="bottom"/>
            <w:tcBorders>
              <w:right w:val="single" w:sz="8" w:color="AFAFAF"/>
            </w:tcBorders>
          </w:tcPr>
          <w:p>
            <w:pPr>
              <w:spacing w:after="0"/>
              <w:rPr>
                <w:sz w:val="17"/>
                <w:szCs w:val="17"/>
                <w:color w:val="auto"/>
              </w:rPr>
            </w:pPr>
          </w:p>
        </w:tc>
        <w:tc>
          <w:tcPr>
            <w:tcW w:w="1500" w:type="dxa"/>
            <w:vAlign w:val="bottom"/>
            <w:tcBorders>
              <w:right w:val="single" w:sz="8" w:color="AFAFAF"/>
            </w:tcBorders>
          </w:tcPr>
          <w:p>
            <w:pPr>
              <w:spacing w:after="0"/>
              <w:rPr>
                <w:sz w:val="17"/>
                <w:szCs w:val="17"/>
                <w:color w:val="auto"/>
              </w:rPr>
            </w:pPr>
          </w:p>
        </w:tc>
        <w:tc>
          <w:tcPr>
            <w:tcW w:w="80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Various</w:t>
            </w:r>
          </w:p>
        </w:tc>
        <w:tc>
          <w:tcPr>
            <w:tcW w:w="2260" w:type="dxa"/>
            <w:vAlign w:val="bottom"/>
          </w:tcPr>
          <w:p>
            <w:pPr>
              <w:ind w:left="80"/>
              <w:spacing w:after="0"/>
              <w:rPr>
                <w:sz w:val="20"/>
                <w:szCs w:val="20"/>
                <w:color w:val="auto"/>
              </w:rPr>
            </w:pPr>
            <w:r>
              <w:rPr>
                <w:rFonts w:ascii="Arial" w:cs="Arial" w:eastAsia="Arial" w:hAnsi="Arial"/>
                <w:sz w:val="14"/>
                <w:szCs w:val="14"/>
                <w:color w:val="auto"/>
              </w:rPr>
              <w:t>Most of these programs are</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welfare-related benefits</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plans, life and disability insurance, group</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broad-based employee programs,</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medical and dental.</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consistent with customary market</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practice and competitive factors.</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None of our named executive</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officers have supplemental</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executive retirement plans</w:t>
            </w: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spacing w:after="0"/>
              <w:rPr>
                <w:sz w:val="16"/>
                <w:szCs w:val="16"/>
                <w:color w:val="auto"/>
              </w:rPr>
            </w:pP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spacing w:after="0"/>
              <w:rPr>
                <w:sz w:val="16"/>
                <w:szCs w:val="16"/>
                <w:color w:val="auto"/>
              </w:rPr>
            </w:pPr>
          </w:p>
        </w:tc>
        <w:tc>
          <w:tcPr>
            <w:tcW w:w="800" w:type="dxa"/>
            <w:vAlign w:val="bottom"/>
            <w:tcBorders>
              <w:right w:val="single" w:sz="8" w:color="AFAFAF"/>
            </w:tcBorders>
          </w:tcPr>
          <w:p>
            <w:pPr>
              <w:spacing w:after="0"/>
              <w:rPr>
                <w:sz w:val="16"/>
                <w:szCs w:val="16"/>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(SERPs).</w:t>
            </w:r>
          </w:p>
        </w:tc>
        <w:tc>
          <w:tcPr>
            <w:tcW w:w="0" w:type="dxa"/>
            <w:vAlign w:val="bottom"/>
          </w:tcPr>
          <w:p>
            <w:pPr>
              <w:spacing w:after="0"/>
              <w:rPr>
                <w:sz w:val="1"/>
                <w:szCs w:val="1"/>
                <w:color w:val="auto"/>
              </w:rPr>
            </w:pPr>
          </w:p>
        </w:tc>
      </w:tr>
      <w:tr>
        <w:trPr>
          <w:trHeight w:val="34"/>
        </w:trPr>
        <w:tc>
          <w:tcPr>
            <w:tcW w:w="2420" w:type="dxa"/>
            <w:vAlign w:val="bottom"/>
            <w:tcBorders>
              <w:bottom w:val="single" w:sz="8" w:color="AFAFAF"/>
              <w:right w:val="single" w:sz="8" w:color="AFAFAF"/>
            </w:tcBorders>
          </w:tcPr>
          <w:p>
            <w:pPr>
              <w:spacing w:after="0"/>
              <w:rPr>
                <w:sz w:val="2"/>
                <w:szCs w:val="2"/>
                <w:color w:val="auto"/>
              </w:rPr>
            </w:pPr>
          </w:p>
        </w:tc>
        <w:tc>
          <w:tcPr>
            <w:tcW w:w="2680" w:type="dxa"/>
            <w:vAlign w:val="bottom"/>
            <w:tcBorders>
              <w:bottom w:val="single" w:sz="8" w:color="AFAFAF"/>
              <w:right w:val="single" w:sz="8" w:color="AFAFAF"/>
            </w:tcBorders>
          </w:tcPr>
          <w:p>
            <w:pPr>
              <w:spacing w:after="0"/>
              <w:rPr>
                <w:sz w:val="2"/>
                <w:szCs w:val="2"/>
                <w:color w:val="auto"/>
              </w:rPr>
            </w:pPr>
          </w:p>
        </w:tc>
        <w:tc>
          <w:tcPr>
            <w:tcW w:w="1260" w:type="dxa"/>
            <w:vAlign w:val="bottom"/>
            <w:tcBorders>
              <w:bottom w:val="single" w:sz="8" w:color="AFAFAF"/>
              <w:right w:val="single" w:sz="8" w:color="AFAFAF"/>
            </w:tcBorders>
          </w:tcPr>
          <w:p>
            <w:pPr>
              <w:spacing w:after="0"/>
              <w:rPr>
                <w:sz w:val="2"/>
                <w:szCs w:val="2"/>
                <w:color w:val="auto"/>
              </w:rPr>
            </w:pPr>
          </w:p>
        </w:tc>
        <w:tc>
          <w:tcPr>
            <w:tcW w:w="1500" w:type="dxa"/>
            <w:vAlign w:val="bottom"/>
            <w:tcBorders>
              <w:bottom w:val="single" w:sz="8" w:color="AFAFAF"/>
              <w:right w:val="single" w:sz="8" w:color="AFAFAF"/>
            </w:tcBorders>
          </w:tcPr>
          <w:p>
            <w:pPr>
              <w:spacing w:after="0"/>
              <w:rPr>
                <w:sz w:val="2"/>
                <w:szCs w:val="2"/>
                <w:color w:val="auto"/>
              </w:rPr>
            </w:pPr>
          </w:p>
        </w:tc>
        <w:tc>
          <w:tcPr>
            <w:tcW w:w="800" w:type="dxa"/>
            <w:vAlign w:val="bottom"/>
            <w:tcBorders>
              <w:bottom w:val="single" w:sz="8" w:color="AFAFAF"/>
              <w:right w:val="single" w:sz="8" w:color="AFAFAF"/>
            </w:tcBorders>
          </w:tcPr>
          <w:p>
            <w:pPr>
              <w:spacing w:after="0"/>
              <w:rPr>
                <w:sz w:val="2"/>
                <w:szCs w:val="2"/>
                <w:color w:val="auto"/>
              </w:rPr>
            </w:pPr>
          </w:p>
        </w:tc>
        <w:tc>
          <w:tcPr>
            <w:tcW w:w="2260" w:type="dxa"/>
            <w:vAlign w:val="bottom"/>
            <w:tcBorders>
              <w:bottom w:val="single" w:sz="8" w:color="AFAFAF"/>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Perquisites and other</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Limited and includes executive physicals</w:t>
            </w:r>
          </w:p>
        </w:tc>
        <w:tc>
          <w:tcPr>
            <w:tcW w:w="1260" w:type="dxa"/>
            <w:vAlign w:val="bottom"/>
            <w:tcBorders>
              <w:right w:val="single" w:sz="8" w:color="AFAFAF"/>
            </w:tcBorders>
          </w:tcPr>
          <w:p>
            <w:pPr>
              <w:spacing w:after="0"/>
              <w:rPr>
                <w:sz w:val="17"/>
                <w:szCs w:val="17"/>
                <w:color w:val="auto"/>
              </w:rPr>
            </w:pPr>
          </w:p>
        </w:tc>
        <w:tc>
          <w:tcPr>
            <w:tcW w:w="1500" w:type="dxa"/>
            <w:vAlign w:val="bottom"/>
            <w:tcBorders>
              <w:right w:val="single" w:sz="8" w:color="AFAFAF"/>
            </w:tcBorders>
          </w:tcPr>
          <w:p>
            <w:pPr>
              <w:spacing w:after="0"/>
              <w:rPr>
                <w:sz w:val="17"/>
                <w:szCs w:val="17"/>
                <w:color w:val="auto"/>
              </w:rPr>
            </w:pPr>
          </w:p>
        </w:tc>
        <w:tc>
          <w:tcPr>
            <w:tcW w:w="80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Various</w:t>
            </w:r>
          </w:p>
        </w:tc>
        <w:tc>
          <w:tcPr>
            <w:tcW w:w="2260" w:type="dxa"/>
            <w:vAlign w:val="bottom"/>
          </w:tcPr>
          <w:p>
            <w:pPr>
              <w:ind w:left="80"/>
              <w:spacing w:after="0"/>
              <w:rPr>
                <w:sz w:val="20"/>
                <w:szCs w:val="20"/>
                <w:color w:val="auto"/>
              </w:rPr>
            </w:pPr>
            <w:r>
              <w:rPr>
                <w:rFonts w:ascii="Arial" w:cs="Arial" w:eastAsia="Arial" w:hAnsi="Arial"/>
                <w:sz w:val="14"/>
                <w:szCs w:val="14"/>
                <w:color w:val="auto"/>
              </w:rPr>
              <w:t>Encourages maintenance of</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personal benefits</w:t>
            </w: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and tax and financial planning</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health and sound finances in a</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assistance.</w:t>
            </w: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cost effective manner for our</w:t>
            </w:r>
          </w:p>
        </w:tc>
        <w:tc>
          <w:tcPr>
            <w:tcW w:w="0" w:type="dxa"/>
            <w:vAlign w:val="bottom"/>
          </w:tcPr>
          <w:p>
            <w:pPr>
              <w:spacing w:after="0"/>
              <w:rPr>
                <w:sz w:val="1"/>
                <w:szCs w:val="1"/>
                <w:color w:val="auto"/>
              </w:rPr>
            </w:pPr>
          </w:p>
        </w:tc>
      </w:tr>
      <w:tr>
        <w:trPr>
          <w:trHeight w:val="160"/>
        </w:trPr>
        <w:tc>
          <w:tcPr>
            <w:tcW w:w="2420" w:type="dxa"/>
            <w:vAlign w:val="bottom"/>
            <w:tcBorders>
              <w:right w:val="single" w:sz="8" w:color="AFAFAF"/>
            </w:tcBorders>
          </w:tcPr>
          <w:p>
            <w:pPr>
              <w:spacing w:after="0"/>
              <w:rPr>
                <w:sz w:val="13"/>
                <w:szCs w:val="13"/>
                <w:color w:val="auto"/>
              </w:rPr>
            </w:pPr>
          </w:p>
        </w:tc>
        <w:tc>
          <w:tcPr>
            <w:tcW w:w="2680" w:type="dxa"/>
            <w:vAlign w:val="bottom"/>
            <w:tcBorders>
              <w:right w:val="single" w:sz="8" w:color="AFAFAF"/>
            </w:tcBorders>
          </w:tcPr>
          <w:p>
            <w:pPr>
              <w:spacing w:after="0"/>
              <w:rPr>
                <w:sz w:val="13"/>
                <w:szCs w:val="13"/>
                <w:color w:val="auto"/>
              </w:rPr>
            </w:pPr>
          </w:p>
        </w:tc>
        <w:tc>
          <w:tcPr>
            <w:tcW w:w="1260" w:type="dxa"/>
            <w:vAlign w:val="bottom"/>
            <w:tcBorders>
              <w:right w:val="single" w:sz="8" w:color="AFAFAF"/>
            </w:tcBorders>
          </w:tcPr>
          <w:p>
            <w:pPr>
              <w:spacing w:after="0"/>
              <w:rPr>
                <w:sz w:val="13"/>
                <w:szCs w:val="13"/>
                <w:color w:val="auto"/>
              </w:rPr>
            </w:pPr>
          </w:p>
        </w:tc>
        <w:tc>
          <w:tcPr>
            <w:tcW w:w="1500" w:type="dxa"/>
            <w:vAlign w:val="bottom"/>
            <w:tcBorders>
              <w:right w:val="single" w:sz="8" w:color="AFAFAF"/>
            </w:tcBorders>
          </w:tcPr>
          <w:p>
            <w:pPr>
              <w:spacing w:after="0"/>
              <w:rPr>
                <w:sz w:val="13"/>
                <w:szCs w:val="13"/>
                <w:color w:val="auto"/>
              </w:rPr>
            </w:pPr>
          </w:p>
        </w:tc>
        <w:tc>
          <w:tcPr>
            <w:tcW w:w="800" w:type="dxa"/>
            <w:vAlign w:val="bottom"/>
            <w:tcBorders>
              <w:right w:val="single" w:sz="8" w:color="AFAFAF"/>
            </w:tcBorders>
          </w:tcPr>
          <w:p>
            <w:pPr>
              <w:spacing w:after="0"/>
              <w:rPr>
                <w:sz w:val="13"/>
                <w:szCs w:val="13"/>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company, and minimizes</w:t>
            </w:r>
          </w:p>
        </w:tc>
        <w:tc>
          <w:tcPr>
            <w:tcW w:w="0" w:type="dxa"/>
            <w:vAlign w:val="bottom"/>
          </w:tcPr>
          <w:p>
            <w:pPr>
              <w:spacing w:after="0"/>
              <w:rPr>
                <w:sz w:val="1"/>
                <w:szCs w:val="1"/>
                <w:color w:val="auto"/>
              </w:rPr>
            </w:pPr>
          </w:p>
        </w:tc>
      </w:tr>
      <w:tr>
        <w:trPr>
          <w:trHeight w:val="189"/>
        </w:trPr>
        <w:tc>
          <w:tcPr>
            <w:tcW w:w="2420" w:type="dxa"/>
            <w:vAlign w:val="bottom"/>
            <w:tcBorders>
              <w:right w:val="single" w:sz="8" w:color="AFAFAF"/>
            </w:tcBorders>
          </w:tcPr>
          <w:p>
            <w:pPr>
              <w:spacing w:after="0"/>
              <w:rPr>
                <w:sz w:val="16"/>
                <w:szCs w:val="16"/>
                <w:color w:val="auto"/>
              </w:rPr>
            </w:pPr>
          </w:p>
        </w:tc>
        <w:tc>
          <w:tcPr>
            <w:tcW w:w="2680" w:type="dxa"/>
            <w:vAlign w:val="bottom"/>
            <w:tcBorders>
              <w:right w:val="single" w:sz="8" w:color="AFAFAF"/>
            </w:tcBorders>
          </w:tcPr>
          <w:p>
            <w:pPr>
              <w:spacing w:after="0"/>
              <w:rPr>
                <w:sz w:val="16"/>
                <w:szCs w:val="16"/>
                <w:color w:val="auto"/>
              </w:rPr>
            </w:pPr>
          </w:p>
        </w:tc>
        <w:tc>
          <w:tcPr>
            <w:tcW w:w="1260" w:type="dxa"/>
            <w:vAlign w:val="bottom"/>
            <w:tcBorders>
              <w:right w:val="single" w:sz="8" w:color="AFAFAF"/>
            </w:tcBorders>
          </w:tcPr>
          <w:p>
            <w:pPr>
              <w:spacing w:after="0"/>
              <w:rPr>
                <w:sz w:val="16"/>
                <w:szCs w:val="16"/>
                <w:color w:val="auto"/>
              </w:rPr>
            </w:pPr>
          </w:p>
        </w:tc>
        <w:tc>
          <w:tcPr>
            <w:tcW w:w="1500" w:type="dxa"/>
            <w:vAlign w:val="bottom"/>
            <w:tcBorders>
              <w:right w:val="single" w:sz="8" w:color="AFAFAF"/>
            </w:tcBorders>
          </w:tcPr>
          <w:p>
            <w:pPr>
              <w:spacing w:after="0"/>
              <w:rPr>
                <w:sz w:val="16"/>
                <w:szCs w:val="16"/>
                <w:color w:val="auto"/>
              </w:rPr>
            </w:pPr>
          </w:p>
        </w:tc>
        <w:tc>
          <w:tcPr>
            <w:tcW w:w="800" w:type="dxa"/>
            <w:vAlign w:val="bottom"/>
            <w:tcBorders>
              <w:right w:val="single" w:sz="8" w:color="AFAFAF"/>
            </w:tcBorders>
          </w:tcPr>
          <w:p>
            <w:pPr>
              <w:spacing w:after="0"/>
              <w:rPr>
                <w:sz w:val="16"/>
                <w:szCs w:val="16"/>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distractions for executives.</w:t>
            </w:r>
          </w:p>
        </w:tc>
        <w:tc>
          <w:tcPr>
            <w:tcW w:w="0" w:type="dxa"/>
            <w:vAlign w:val="bottom"/>
          </w:tcPr>
          <w:p>
            <w:pPr>
              <w:spacing w:after="0"/>
              <w:rPr>
                <w:sz w:val="1"/>
                <w:szCs w:val="1"/>
                <w:color w:val="auto"/>
              </w:rPr>
            </w:pPr>
          </w:p>
        </w:tc>
      </w:tr>
      <w:tr>
        <w:trPr>
          <w:trHeight w:val="34"/>
        </w:trPr>
        <w:tc>
          <w:tcPr>
            <w:tcW w:w="2420" w:type="dxa"/>
            <w:vAlign w:val="bottom"/>
            <w:tcBorders>
              <w:bottom w:val="single" w:sz="8" w:color="B94831"/>
              <w:right w:val="single" w:sz="8" w:color="AFAFAF"/>
            </w:tcBorders>
          </w:tcPr>
          <w:p>
            <w:pPr>
              <w:spacing w:after="0"/>
              <w:rPr>
                <w:sz w:val="2"/>
                <w:szCs w:val="2"/>
                <w:color w:val="auto"/>
              </w:rPr>
            </w:pPr>
          </w:p>
        </w:tc>
        <w:tc>
          <w:tcPr>
            <w:tcW w:w="2680" w:type="dxa"/>
            <w:vAlign w:val="bottom"/>
            <w:tcBorders>
              <w:bottom w:val="single" w:sz="8" w:color="B94831"/>
              <w:right w:val="single" w:sz="8" w:color="AFAFAF"/>
            </w:tcBorders>
          </w:tcPr>
          <w:p>
            <w:pPr>
              <w:spacing w:after="0"/>
              <w:rPr>
                <w:sz w:val="2"/>
                <w:szCs w:val="2"/>
                <w:color w:val="auto"/>
              </w:rPr>
            </w:pPr>
          </w:p>
        </w:tc>
        <w:tc>
          <w:tcPr>
            <w:tcW w:w="1260" w:type="dxa"/>
            <w:vAlign w:val="bottom"/>
            <w:tcBorders>
              <w:bottom w:val="single" w:sz="8" w:color="B94831"/>
              <w:right w:val="single" w:sz="8" w:color="AFAFAF"/>
            </w:tcBorders>
          </w:tcPr>
          <w:p>
            <w:pPr>
              <w:spacing w:after="0"/>
              <w:rPr>
                <w:sz w:val="2"/>
                <w:szCs w:val="2"/>
                <w:color w:val="auto"/>
              </w:rPr>
            </w:pPr>
          </w:p>
        </w:tc>
        <w:tc>
          <w:tcPr>
            <w:tcW w:w="1500" w:type="dxa"/>
            <w:vAlign w:val="bottom"/>
            <w:tcBorders>
              <w:bottom w:val="single" w:sz="8" w:color="B94831"/>
              <w:right w:val="single" w:sz="8" w:color="AFAFAF"/>
            </w:tcBorders>
          </w:tcPr>
          <w:p>
            <w:pPr>
              <w:spacing w:after="0"/>
              <w:rPr>
                <w:sz w:val="2"/>
                <w:szCs w:val="2"/>
                <w:color w:val="auto"/>
              </w:rPr>
            </w:pPr>
          </w:p>
        </w:tc>
        <w:tc>
          <w:tcPr>
            <w:tcW w:w="800" w:type="dxa"/>
            <w:vAlign w:val="bottom"/>
            <w:tcBorders>
              <w:bottom w:val="single" w:sz="8" w:color="B94831"/>
              <w:right w:val="single" w:sz="8" w:color="AFAFAF"/>
            </w:tcBorders>
          </w:tcPr>
          <w:p>
            <w:pPr>
              <w:spacing w:after="0"/>
              <w:rPr>
                <w:sz w:val="2"/>
                <w:szCs w:val="2"/>
                <w:color w:val="auto"/>
              </w:rPr>
            </w:pPr>
          </w:p>
        </w:tc>
        <w:tc>
          <w:tcPr>
            <w:tcW w:w="2260" w:type="dxa"/>
            <w:vAlign w:val="bottom"/>
            <w:tcBorders>
              <w:bottom w:val="single" w:sz="8" w:color="B94831"/>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20" w:type="dxa"/>
            <w:vAlign w:val="bottom"/>
            <w:tcBorders>
              <w:bottom w:val="single" w:sz="8" w:color="B94831"/>
            </w:tcBorders>
          </w:tcPr>
          <w:p>
            <w:pPr>
              <w:spacing w:after="0"/>
              <w:rPr>
                <w:sz w:val="19"/>
                <w:szCs w:val="19"/>
                <w:color w:val="auto"/>
              </w:rPr>
            </w:pPr>
          </w:p>
        </w:tc>
        <w:tc>
          <w:tcPr>
            <w:tcW w:w="2680" w:type="dxa"/>
            <w:vAlign w:val="bottom"/>
            <w:tcBorders>
              <w:bottom w:val="single" w:sz="8" w:color="B94831"/>
            </w:tcBorders>
          </w:tcPr>
          <w:p>
            <w:pPr>
              <w:spacing w:after="0"/>
              <w:rPr>
                <w:sz w:val="19"/>
                <w:szCs w:val="19"/>
                <w:color w:val="auto"/>
              </w:rPr>
            </w:pPr>
          </w:p>
        </w:tc>
        <w:tc>
          <w:tcPr>
            <w:tcW w:w="5820" w:type="dxa"/>
            <w:vAlign w:val="bottom"/>
            <w:tcBorders>
              <w:bottom w:val="single" w:sz="8" w:color="B94831"/>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820" w:type="dxa"/>
            <w:vAlign w:val="bottom"/>
            <w:gridSpan w:val="4"/>
          </w:tcPr>
          <w:p>
            <w:pPr>
              <w:ind w:left="760"/>
              <w:spacing w:after="0"/>
              <w:rPr>
                <w:sz w:val="20"/>
                <w:szCs w:val="20"/>
                <w:color w:val="auto"/>
              </w:rPr>
            </w:pPr>
            <w:r>
              <w:rPr>
                <w:rFonts w:ascii="Arial" w:cs="Arial" w:eastAsia="Arial" w:hAnsi="Arial"/>
                <w:sz w:val="13"/>
                <w:szCs w:val="13"/>
                <w:color w:val="auto"/>
              </w:rPr>
              <w:t>Management Proxy Circular and Notice of Annual Meeting of Shareholders   Page 63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Our Process for Designing and 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172720</wp:posOffset>
            </wp:positionV>
            <wp:extent cx="5146675" cy="18256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667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HR Committee</w:t>
      </w:r>
    </w:p>
    <w:p>
      <w:pPr>
        <w:spacing w:after="0" w:line="51" w:lineRule="exact"/>
        <w:rPr>
          <w:sz w:val="20"/>
          <w:szCs w:val="20"/>
          <w:color w:val="auto"/>
        </w:rPr>
      </w:pPr>
    </w:p>
    <w:p>
      <w:pPr>
        <w:ind w:left="160" w:right="140"/>
        <w:spacing w:after="0" w:line="238" w:lineRule="auto"/>
        <w:rPr>
          <w:sz w:val="20"/>
          <w:szCs w:val="20"/>
          <w:color w:val="auto"/>
        </w:rPr>
      </w:pPr>
      <w:r>
        <w:rPr>
          <w:rFonts w:ascii="Arial" w:cs="Arial" w:eastAsia="Arial" w:hAnsi="Arial"/>
          <w:sz w:val="18"/>
          <w:szCs w:val="18"/>
          <w:color w:val="auto"/>
        </w:rPr>
        <w:t>The HR Committee’s responsibilities include establishing, implementing and overseeing our compensation policies and programs, executive talent review and succession planning processes. One of the HR Committee’s key responsibilities is approving compensation arrangements for the CEO and other executive officers. The Board recognizes the importance of appointing knowledgeable and experienced individuals to the HR Committee who have the necessary background in executive compensation to fulfill the HR Committee’s obligations to the Board and our shareholders. Each member of the HR Committee has direct experience as a senior leader that is relevant to his or her responsibilities in executive compensation. Additional information about the HR Committee is included earlier in this circular in our discussion of the Board and corporate governance.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Management</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Chief People Officer and other members of the Human Resources department are responsible for overseeing the day-to-day design, implementation, administration and management of our various compensation and benefits policies and plans, including base salaries, annual and long-term incentives, retirement savings, health and welfare. The CEO, Chief People Officer and other senior executives in the Human Resources, Finance and Legal departments regularly attend HR Committee meetings. Throughout the year, management provides recommendations to the HR Committee on a wide range of compensation matters.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Our Principal Shareholder</w:t>
      </w:r>
    </w:p>
    <w:p>
      <w:pPr>
        <w:spacing w:after="0" w:line="42" w:lineRule="exact"/>
        <w:rPr>
          <w:sz w:val="20"/>
          <w:szCs w:val="20"/>
          <w:color w:val="auto"/>
        </w:rPr>
      </w:pPr>
    </w:p>
    <w:p>
      <w:pPr>
        <w:ind w:left="160"/>
        <w:spacing w:after="0" w:line="256" w:lineRule="auto"/>
        <w:rPr>
          <w:sz w:val="20"/>
          <w:szCs w:val="20"/>
          <w:color w:val="auto"/>
        </w:rPr>
      </w:pPr>
      <w:r>
        <w:rPr>
          <w:rFonts w:ascii="Arial" w:cs="Arial" w:eastAsia="Arial" w:hAnsi="Arial"/>
          <w:sz w:val="17"/>
          <w:szCs w:val="17"/>
          <w:color w:val="auto"/>
        </w:rPr>
        <w:t>We recognize that executive compensation is a key area of interest for shareholders. Woodbridge, our principal shareholder, actively monitors this aspect of our governance given its importance to the achievement of our financial performance goals and long-term success. With its substantial equity investment in Thomson Reuters, Woodbridge considers that its interests as a shareholder are aligned with those of all other shareholders. A majority of the HR Committee’s members are independent directors and Ed Clark and Peter Thomson serve as non-independent directors. David Thomson, Chairman of the Board, regularly attends meetings of the HR Committee as a guest.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Independent Advisors</w:t>
      </w:r>
    </w:p>
    <w:p>
      <w:pPr>
        <w:spacing w:after="0" w:line="5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HR Committee has retained an outside consulting firm, Frederic W. Cook &amp; Co., Inc. (FW Cook), to serve as an independent advisor on matters relating to executive compensation since 1998. Representatives of FW Cook generally attend HR Committee meetings, including meeting privately, or “in-camera”, with the committee (when no members of management are present) and have discussions with the Chair and other members of the HR Committee from time to time outside of regularly scheduled meetings.</w:t>
      </w:r>
    </w:p>
    <w:p>
      <w:pPr>
        <w:spacing w:after="0" w:line="71" w:lineRule="exact"/>
        <w:rPr>
          <w:sz w:val="20"/>
          <w:szCs w:val="20"/>
          <w:color w:val="auto"/>
        </w:rPr>
      </w:pPr>
    </w:p>
    <w:p>
      <w:pPr>
        <w:ind w:left="160" w:right="220"/>
        <w:spacing w:after="0" w:line="262" w:lineRule="auto"/>
        <w:rPr>
          <w:sz w:val="20"/>
          <w:szCs w:val="20"/>
          <w:color w:val="auto"/>
        </w:rPr>
      </w:pPr>
      <w:r>
        <w:rPr>
          <w:rFonts w:ascii="Arial" w:cs="Arial" w:eastAsia="Arial" w:hAnsi="Arial"/>
          <w:sz w:val="17"/>
          <w:szCs w:val="17"/>
          <w:color w:val="auto"/>
        </w:rPr>
        <w:t>As part of its ongoing services to the HR Committee, FW Cook assists in evaluating the competitive positioning of senior executive compensation levels and provides guidance and analysis on plan design and market trends and practices to ensure that our program provides executives with competitive compensation opportunities, links compensation to performance and shareholder value creation, is efficient from accounting, tax and cash flow perspectives, and is reflective of emerging best practice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336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64 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440"/>
        <w:spacing w:after="0" w:line="249" w:lineRule="auto"/>
        <w:rPr>
          <w:sz w:val="20"/>
          <w:szCs w:val="20"/>
          <w:color w:val="auto"/>
        </w:rPr>
      </w:pPr>
      <w:r>
        <w:rPr>
          <w:rFonts w:ascii="Arial" w:cs="Arial" w:eastAsia="Arial" w:hAnsi="Arial"/>
          <w:sz w:val="18"/>
          <w:szCs w:val="18"/>
          <w:color w:val="auto"/>
        </w:rPr>
        <w:t>FW Cook does not provide any services to Thomson Reuters other than those provided directly to the HR Committee. Any use of FW Cook by Thomson Reuters management outside the scope of the HR Committee’s purview would require the HR Committee’s prior approval. In 2023 and 2022, we paid FW Cook the following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61595</wp:posOffset>
            </wp:positionV>
            <wp:extent cx="8255" cy="178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17843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61595</wp:posOffset>
            </wp:positionV>
            <wp:extent cx="8255" cy="178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77"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6900" w:type="dxa"/>
            <w:vAlign w:val="bottom"/>
            <w:tcBorders>
              <w:right w:val="single" w:sz="8" w:color="262626"/>
            </w:tcBorders>
          </w:tcPr>
          <w:p>
            <w:pPr>
              <w:spacing w:after="0"/>
              <w:rPr>
                <w:sz w:val="23"/>
                <w:szCs w:val="23"/>
                <w:color w:val="auto"/>
              </w:rPr>
            </w:pPr>
          </w:p>
        </w:tc>
        <w:tc>
          <w:tcPr>
            <w:tcW w:w="180" w:type="dxa"/>
            <w:vAlign w:val="bottom"/>
            <w:tcBorders>
              <w:bottom w:val="single" w:sz="8" w:color="262626"/>
            </w:tcBorders>
            <w:shd w:val="clear" w:color="auto" w:fill="262626"/>
          </w:tcPr>
          <w:p>
            <w:pPr>
              <w:spacing w:after="0"/>
              <w:rPr>
                <w:sz w:val="23"/>
                <w:szCs w:val="23"/>
                <w:color w:val="auto"/>
              </w:rPr>
            </w:pPr>
          </w:p>
        </w:tc>
        <w:tc>
          <w:tcPr>
            <w:tcW w:w="640" w:type="dxa"/>
            <w:vAlign w:val="bottom"/>
            <w:tcBorders>
              <w:bottom w:val="single" w:sz="8" w:color="262626"/>
              <w:right w:val="single" w:sz="8" w:color="262626"/>
            </w:tcBorders>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2023</w:t>
            </w:r>
          </w:p>
        </w:tc>
        <w:tc>
          <w:tcPr>
            <w:tcW w:w="280" w:type="dxa"/>
            <w:vAlign w:val="bottom"/>
            <w:tcBorders>
              <w:bottom w:val="single" w:sz="8" w:color="262626"/>
            </w:tcBorders>
            <w:shd w:val="clear" w:color="auto" w:fill="262626"/>
          </w:tcPr>
          <w:p>
            <w:pPr>
              <w:spacing w:after="0"/>
              <w:rPr>
                <w:sz w:val="23"/>
                <w:szCs w:val="23"/>
                <w:color w:val="auto"/>
              </w:rPr>
            </w:pPr>
          </w:p>
        </w:tc>
        <w:tc>
          <w:tcPr>
            <w:tcW w:w="740" w:type="dxa"/>
            <w:vAlign w:val="bottom"/>
            <w:tcBorders>
              <w:bottom w:val="single" w:sz="8" w:color="262626"/>
              <w:right w:val="single" w:sz="8" w:color="262626"/>
            </w:tcBorders>
            <w:shd w:val="clear" w:color="auto" w:fill="262626"/>
          </w:tcPr>
          <w:p>
            <w:pPr>
              <w:jc w:val="right"/>
              <w:ind w:right="148"/>
              <w:spacing w:after="0"/>
              <w:rPr>
                <w:sz w:val="20"/>
                <w:szCs w:val="20"/>
                <w:color w:val="auto"/>
              </w:rPr>
            </w:pPr>
            <w:r>
              <w:rPr>
                <w:rFonts w:ascii="Arial" w:cs="Arial" w:eastAsia="Arial" w:hAnsi="Arial"/>
                <w:sz w:val="15"/>
                <w:szCs w:val="15"/>
                <w:b w:val="1"/>
                <w:bCs w:val="1"/>
                <w:color w:val="FFFFFF"/>
              </w:rPr>
              <w:t>2022</w:t>
            </w:r>
          </w:p>
        </w:tc>
        <w:tc>
          <w:tcPr>
            <w:tcW w:w="2180" w:type="dxa"/>
            <w:vAlign w:val="bottom"/>
            <w:tcBorders>
              <w:bottom w:val="single" w:sz="8" w:color="262626"/>
            </w:tcBorders>
            <w:shd w:val="clear" w:color="auto" w:fill="262626"/>
          </w:tcPr>
          <w:p>
            <w:pPr>
              <w:ind w:left="260"/>
              <w:spacing w:after="0"/>
              <w:rPr>
                <w:sz w:val="20"/>
                <w:szCs w:val="20"/>
                <w:color w:val="auto"/>
              </w:rPr>
            </w:pPr>
            <w:r>
              <w:rPr>
                <w:rFonts w:ascii="Arial" w:cs="Arial" w:eastAsia="Arial" w:hAnsi="Arial"/>
                <w:sz w:val="15"/>
                <w:szCs w:val="15"/>
                <w:b w:val="1"/>
                <w:bCs w:val="1"/>
                <w:color w:val="FFFFFF"/>
              </w:rPr>
              <w:t>Percentage of total fees</w:t>
            </w:r>
          </w:p>
        </w:tc>
      </w:tr>
      <w:tr>
        <w:trPr>
          <w:trHeight w:val="233"/>
        </w:trPr>
        <w:tc>
          <w:tcPr>
            <w:tcW w:w="690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 Executive compensation-related fees</w:t>
            </w:r>
          </w:p>
        </w:tc>
        <w:tc>
          <w:tcPr>
            <w:tcW w:w="180" w:type="dxa"/>
            <w:vAlign w:val="bottom"/>
            <w:tcBorders>
              <w:top w:val="single" w:sz="8" w:color="B94831"/>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B94831"/>
              <w:right w:val="single" w:sz="8" w:color="AFAFAF"/>
            </w:tcBorders>
          </w:tcPr>
          <w:p>
            <w:pPr>
              <w:jc w:val="right"/>
              <w:ind w:right="48"/>
              <w:spacing w:after="0"/>
              <w:rPr>
                <w:sz w:val="20"/>
                <w:szCs w:val="20"/>
                <w:color w:val="auto"/>
              </w:rPr>
            </w:pPr>
            <w:r>
              <w:rPr>
                <w:rFonts w:ascii="Arial" w:cs="Arial" w:eastAsia="Arial" w:hAnsi="Arial"/>
                <w:sz w:val="14"/>
                <w:szCs w:val="14"/>
                <w:color w:val="auto"/>
                <w:w w:val="98"/>
              </w:rPr>
              <w:t>172,778</w:t>
            </w:r>
          </w:p>
        </w:tc>
        <w:tc>
          <w:tcPr>
            <w:tcW w:w="280" w:type="dxa"/>
            <w:vAlign w:val="bottom"/>
            <w:tcBorders>
              <w:top w:val="single" w:sz="8" w:color="B94831"/>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B94831"/>
              <w:right w:val="single" w:sz="8" w:color="AFAFAF"/>
            </w:tcBorders>
          </w:tcPr>
          <w:p>
            <w:pPr>
              <w:jc w:val="right"/>
              <w:ind w:right="148"/>
              <w:spacing w:after="0"/>
              <w:rPr>
                <w:sz w:val="20"/>
                <w:szCs w:val="20"/>
                <w:color w:val="auto"/>
              </w:rPr>
            </w:pPr>
            <w:r>
              <w:rPr>
                <w:rFonts w:ascii="Arial" w:cs="Arial" w:eastAsia="Arial" w:hAnsi="Arial"/>
                <w:sz w:val="14"/>
                <w:szCs w:val="14"/>
                <w:color w:val="auto"/>
                <w:w w:val="98"/>
              </w:rPr>
              <w:t>144,048</w:t>
            </w:r>
          </w:p>
        </w:tc>
        <w:tc>
          <w:tcPr>
            <w:tcW w:w="2180" w:type="dxa"/>
            <w:vAlign w:val="bottom"/>
            <w:tcBorders>
              <w:top w:val="single" w:sz="8" w:color="B94831"/>
            </w:tcBorders>
          </w:tcPr>
          <w:p>
            <w:pPr>
              <w:jc w:val="center"/>
              <w:spacing w:after="0"/>
              <w:rPr>
                <w:sz w:val="20"/>
                <w:szCs w:val="20"/>
                <w:color w:val="auto"/>
              </w:rPr>
            </w:pPr>
            <w:r>
              <w:rPr>
                <w:rFonts w:ascii="Arial" w:cs="Arial" w:eastAsia="Arial" w:hAnsi="Arial"/>
                <w:sz w:val="14"/>
                <w:szCs w:val="14"/>
                <w:color w:val="auto"/>
              </w:rPr>
              <w:t>100%</w:t>
            </w:r>
          </w:p>
        </w:tc>
      </w:tr>
      <w:tr>
        <w:trPr>
          <w:trHeight w:val="28"/>
        </w:trPr>
        <w:tc>
          <w:tcPr>
            <w:tcW w:w="6900" w:type="dxa"/>
            <w:vAlign w:val="bottom"/>
            <w:tcBorders>
              <w:bottom w:val="single" w:sz="8" w:color="AFAFAF"/>
              <w:right w:val="single" w:sz="8" w:color="AFAFAF"/>
            </w:tcBorders>
          </w:tcPr>
          <w:p>
            <w:pPr>
              <w:spacing w:after="0"/>
              <w:rPr>
                <w:sz w:val="2"/>
                <w:szCs w:val="2"/>
                <w:color w:val="auto"/>
              </w:rPr>
            </w:pPr>
          </w:p>
        </w:tc>
        <w:tc>
          <w:tcPr>
            <w:tcW w:w="180" w:type="dxa"/>
            <w:vAlign w:val="bottom"/>
            <w:tcBorders>
              <w:bottom w:val="single" w:sz="8" w:color="AFAFAF"/>
            </w:tcBorders>
          </w:tcPr>
          <w:p>
            <w:pPr>
              <w:spacing w:after="0"/>
              <w:rPr>
                <w:sz w:val="2"/>
                <w:szCs w:val="2"/>
                <w:color w:val="auto"/>
              </w:rPr>
            </w:pPr>
          </w:p>
        </w:tc>
        <w:tc>
          <w:tcPr>
            <w:tcW w:w="640" w:type="dxa"/>
            <w:vAlign w:val="bottom"/>
            <w:tcBorders>
              <w:bottom w:val="single" w:sz="8" w:color="AFAFAF"/>
              <w:right w:val="single" w:sz="8" w:color="AFAFAF"/>
            </w:tcBorders>
          </w:tcPr>
          <w:p>
            <w:pPr>
              <w:spacing w:after="0"/>
              <w:rPr>
                <w:sz w:val="2"/>
                <w:szCs w:val="2"/>
                <w:color w:val="auto"/>
              </w:rPr>
            </w:pPr>
          </w:p>
        </w:tc>
        <w:tc>
          <w:tcPr>
            <w:tcW w:w="280" w:type="dxa"/>
            <w:vAlign w:val="bottom"/>
            <w:tcBorders>
              <w:bottom w:val="single" w:sz="8" w:color="AFAFAF"/>
            </w:tcBorders>
          </w:tcPr>
          <w:p>
            <w:pPr>
              <w:spacing w:after="0"/>
              <w:rPr>
                <w:sz w:val="2"/>
                <w:szCs w:val="2"/>
                <w:color w:val="auto"/>
              </w:rPr>
            </w:pPr>
          </w:p>
        </w:tc>
        <w:tc>
          <w:tcPr>
            <w:tcW w:w="740" w:type="dxa"/>
            <w:vAlign w:val="bottom"/>
            <w:tcBorders>
              <w:bottom w:val="single" w:sz="8" w:color="AFAFAF"/>
              <w:right w:val="single" w:sz="8" w:color="AFAFAF"/>
            </w:tcBorders>
          </w:tcPr>
          <w:p>
            <w:pPr>
              <w:spacing w:after="0"/>
              <w:rPr>
                <w:sz w:val="2"/>
                <w:szCs w:val="2"/>
                <w:color w:val="auto"/>
              </w:rPr>
            </w:pPr>
          </w:p>
        </w:tc>
        <w:tc>
          <w:tcPr>
            <w:tcW w:w="2180" w:type="dxa"/>
            <w:vAlign w:val="bottom"/>
            <w:tcBorders>
              <w:bottom w:val="single" w:sz="8" w:color="AFAFAF"/>
            </w:tcBorders>
          </w:tcPr>
          <w:p>
            <w:pPr>
              <w:spacing w:after="0"/>
              <w:rPr>
                <w:sz w:val="2"/>
                <w:szCs w:val="2"/>
                <w:color w:val="auto"/>
              </w:rPr>
            </w:pPr>
          </w:p>
        </w:tc>
      </w:tr>
      <w:tr>
        <w:trPr>
          <w:trHeight w:val="233"/>
        </w:trPr>
        <w:tc>
          <w:tcPr>
            <w:tcW w:w="690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 All other fees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FAFAF"/>
            </w:tcBorders>
          </w:tcPr>
          <w:p>
            <w:pPr>
              <w:jc w:val="right"/>
              <w:ind w:right="88"/>
              <w:spacing w:after="0"/>
              <w:rPr>
                <w:sz w:val="20"/>
                <w:szCs w:val="20"/>
                <w:color w:val="auto"/>
              </w:rPr>
            </w:pPr>
            <w:r>
              <w:rPr>
                <w:rFonts w:ascii="Arial" w:cs="Arial" w:eastAsia="Arial" w:hAnsi="Arial"/>
                <w:sz w:val="14"/>
                <w:szCs w:val="14"/>
                <w:color w:val="auto"/>
              </w:rPr>
              <w:t xml:space="preserve">–    </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FAFAF"/>
            </w:tcBorders>
          </w:tcPr>
          <w:p>
            <w:pPr>
              <w:jc w:val="right"/>
              <w:ind w:right="188"/>
              <w:spacing w:after="0"/>
              <w:rPr>
                <w:sz w:val="20"/>
                <w:szCs w:val="20"/>
                <w:color w:val="auto"/>
              </w:rPr>
            </w:pPr>
            <w:r>
              <w:rPr>
                <w:rFonts w:ascii="Arial" w:cs="Arial" w:eastAsia="Arial" w:hAnsi="Arial"/>
                <w:sz w:val="14"/>
                <w:szCs w:val="14"/>
                <w:color w:val="auto"/>
              </w:rPr>
              <w:t xml:space="preserve">–    </w:t>
            </w:r>
          </w:p>
        </w:tc>
        <w:tc>
          <w:tcPr>
            <w:tcW w:w="21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8"/>
        </w:trPr>
        <w:tc>
          <w:tcPr>
            <w:tcW w:w="6900" w:type="dxa"/>
            <w:vAlign w:val="bottom"/>
            <w:tcBorders>
              <w:bottom w:val="single" w:sz="8" w:color="AFAFAF"/>
              <w:right w:val="single" w:sz="8" w:color="AFAFAF"/>
            </w:tcBorders>
          </w:tcPr>
          <w:p>
            <w:pPr>
              <w:spacing w:after="0"/>
              <w:rPr>
                <w:sz w:val="2"/>
                <w:szCs w:val="2"/>
                <w:color w:val="auto"/>
              </w:rPr>
            </w:pPr>
          </w:p>
        </w:tc>
        <w:tc>
          <w:tcPr>
            <w:tcW w:w="180" w:type="dxa"/>
            <w:vAlign w:val="bottom"/>
            <w:tcBorders>
              <w:bottom w:val="single" w:sz="8" w:color="AFAFAF"/>
            </w:tcBorders>
          </w:tcPr>
          <w:p>
            <w:pPr>
              <w:spacing w:after="0"/>
              <w:rPr>
                <w:sz w:val="2"/>
                <w:szCs w:val="2"/>
                <w:color w:val="auto"/>
              </w:rPr>
            </w:pPr>
          </w:p>
        </w:tc>
        <w:tc>
          <w:tcPr>
            <w:tcW w:w="640" w:type="dxa"/>
            <w:vAlign w:val="bottom"/>
            <w:tcBorders>
              <w:bottom w:val="single" w:sz="8" w:color="AFAFAF"/>
              <w:right w:val="single" w:sz="8" w:color="AFAFAF"/>
            </w:tcBorders>
          </w:tcPr>
          <w:p>
            <w:pPr>
              <w:spacing w:after="0"/>
              <w:rPr>
                <w:sz w:val="2"/>
                <w:szCs w:val="2"/>
                <w:color w:val="auto"/>
              </w:rPr>
            </w:pPr>
          </w:p>
        </w:tc>
        <w:tc>
          <w:tcPr>
            <w:tcW w:w="280" w:type="dxa"/>
            <w:vAlign w:val="bottom"/>
            <w:tcBorders>
              <w:bottom w:val="single" w:sz="8" w:color="AFAFAF"/>
            </w:tcBorders>
          </w:tcPr>
          <w:p>
            <w:pPr>
              <w:spacing w:after="0"/>
              <w:rPr>
                <w:sz w:val="2"/>
                <w:szCs w:val="2"/>
                <w:color w:val="auto"/>
              </w:rPr>
            </w:pPr>
          </w:p>
        </w:tc>
        <w:tc>
          <w:tcPr>
            <w:tcW w:w="740" w:type="dxa"/>
            <w:vAlign w:val="bottom"/>
            <w:tcBorders>
              <w:bottom w:val="single" w:sz="8" w:color="AFAFAF"/>
              <w:right w:val="single" w:sz="8" w:color="AFAFAF"/>
            </w:tcBorders>
          </w:tcPr>
          <w:p>
            <w:pPr>
              <w:spacing w:after="0"/>
              <w:rPr>
                <w:sz w:val="2"/>
                <w:szCs w:val="2"/>
                <w:color w:val="auto"/>
              </w:rPr>
            </w:pPr>
          </w:p>
        </w:tc>
        <w:tc>
          <w:tcPr>
            <w:tcW w:w="2180" w:type="dxa"/>
            <w:vAlign w:val="bottom"/>
            <w:tcBorders>
              <w:bottom w:val="single" w:sz="8" w:color="AFAFAF"/>
            </w:tcBorders>
          </w:tcPr>
          <w:p>
            <w:pPr>
              <w:spacing w:after="0"/>
              <w:rPr>
                <w:sz w:val="2"/>
                <w:szCs w:val="2"/>
                <w:color w:val="auto"/>
              </w:rPr>
            </w:pPr>
          </w:p>
        </w:tc>
      </w:tr>
      <w:tr>
        <w:trPr>
          <w:trHeight w:val="233"/>
        </w:trPr>
        <w:tc>
          <w:tcPr>
            <w:tcW w:w="690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 Total annual fees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FAFAF"/>
            </w:tcBorders>
          </w:tcPr>
          <w:p>
            <w:pPr>
              <w:jc w:val="right"/>
              <w:ind w:right="48"/>
              <w:spacing w:after="0"/>
              <w:rPr>
                <w:sz w:val="20"/>
                <w:szCs w:val="20"/>
                <w:color w:val="auto"/>
              </w:rPr>
            </w:pPr>
            <w:r>
              <w:rPr>
                <w:rFonts w:ascii="Arial" w:cs="Arial" w:eastAsia="Arial" w:hAnsi="Arial"/>
                <w:sz w:val="14"/>
                <w:szCs w:val="14"/>
                <w:color w:val="auto"/>
                <w:w w:val="98"/>
              </w:rPr>
              <w:t>172,778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FAFAF"/>
            </w:tcBorders>
          </w:tcPr>
          <w:p>
            <w:pPr>
              <w:jc w:val="right"/>
              <w:ind w:right="148"/>
              <w:spacing w:after="0"/>
              <w:rPr>
                <w:sz w:val="20"/>
                <w:szCs w:val="20"/>
                <w:color w:val="auto"/>
              </w:rPr>
            </w:pPr>
            <w:r>
              <w:rPr>
                <w:rFonts w:ascii="Arial" w:cs="Arial" w:eastAsia="Arial" w:hAnsi="Arial"/>
                <w:sz w:val="14"/>
                <w:szCs w:val="14"/>
                <w:color w:val="auto"/>
                <w:w w:val="98"/>
              </w:rPr>
              <w:t>144,048</w:t>
            </w:r>
          </w:p>
        </w:tc>
        <w:tc>
          <w:tcPr>
            <w:tcW w:w="2180" w:type="dxa"/>
            <w:vAlign w:val="bottom"/>
          </w:tcPr>
          <w:p>
            <w:pPr>
              <w:jc w:val="center"/>
              <w:spacing w:after="0"/>
              <w:rPr>
                <w:sz w:val="20"/>
                <w:szCs w:val="20"/>
                <w:color w:val="auto"/>
              </w:rPr>
            </w:pPr>
            <w:r>
              <w:rPr>
                <w:rFonts w:ascii="Arial" w:cs="Arial" w:eastAsia="Arial" w:hAnsi="Arial"/>
                <w:sz w:val="14"/>
                <w:szCs w:val="14"/>
                <w:color w:val="auto"/>
              </w:rPr>
              <w:t>100%</w:t>
            </w:r>
          </w:p>
        </w:tc>
      </w:tr>
      <w:tr>
        <w:trPr>
          <w:trHeight w:val="28"/>
        </w:trPr>
        <w:tc>
          <w:tcPr>
            <w:tcW w:w="6900" w:type="dxa"/>
            <w:vAlign w:val="bottom"/>
            <w:tcBorders>
              <w:bottom w:val="single" w:sz="8" w:color="B94831"/>
              <w:right w:val="single" w:sz="8" w:color="AFAFAF"/>
            </w:tcBorders>
          </w:tcPr>
          <w:p>
            <w:pPr>
              <w:spacing w:after="0"/>
              <w:rPr>
                <w:sz w:val="2"/>
                <w:szCs w:val="2"/>
                <w:color w:val="auto"/>
              </w:rPr>
            </w:pPr>
          </w:p>
        </w:tc>
        <w:tc>
          <w:tcPr>
            <w:tcW w:w="180" w:type="dxa"/>
            <w:vAlign w:val="bottom"/>
            <w:tcBorders>
              <w:bottom w:val="single" w:sz="8" w:color="B94831"/>
            </w:tcBorders>
          </w:tcPr>
          <w:p>
            <w:pPr>
              <w:spacing w:after="0"/>
              <w:rPr>
                <w:sz w:val="2"/>
                <w:szCs w:val="2"/>
                <w:color w:val="auto"/>
              </w:rPr>
            </w:pPr>
          </w:p>
        </w:tc>
        <w:tc>
          <w:tcPr>
            <w:tcW w:w="640" w:type="dxa"/>
            <w:vAlign w:val="bottom"/>
            <w:tcBorders>
              <w:bottom w:val="single" w:sz="8" w:color="B94831"/>
              <w:right w:val="single" w:sz="8" w:color="AFAFAF"/>
            </w:tcBorders>
          </w:tcPr>
          <w:p>
            <w:pPr>
              <w:spacing w:after="0"/>
              <w:rPr>
                <w:sz w:val="2"/>
                <w:szCs w:val="2"/>
                <w:color w:val="auto"/>
              </w:rPr>
            </w:pPr>
          </w:p>
        </w:tc>
        <w:tc>
          <w:tcPr>
            <w:tcW w:w="280" w:type="dxa"/>
            <w:vAlign w:val="bottom"/>
            <w:tcBorders>
              <w:bottom w:val="single" w:sz="8" w:color="B94831"/>
            </w:tcBorders>
          </w:tcPr>
          <w:p>
            <w:pPr>
              <w:spacing w:after="0"/>
              <w:rPr>
                <w:sz w:val="2"/>
                <w:szCs w:val="2"/>
                <w:color w:val="auto"/>
              </w:rPr>
            </w:pPr>
          </w:p>
        </w:tc>
        <w:tc>
          <w:tcPr>
            <w:tcW w:w="740" w:type="dxa"/>
            <w:vAlign w:val="bottom"/>
            <w:tcBorders>
              <w:bottom w:val="single" w:sz="8" w:color="B94831"/>
              <w:right w:val="single" w:sz="8" w:color="AFAFAF"/>
            </w:tcBorders>
          </w:tcPr>
          <w:p>
            <w:pPr>
              <w:spacing w:after="0"/>
              <w:rPr>
                <w:sz w:val="2"/>
                <w:szCs w:val="2"/>
                <w:color w:val="auto"/>
              </w:rPr>
            </w:pPr>
          </w:p>
        </w:tc>
        <w:tc>
          <w:tcPr>
            <w:tcW w:w="2180" w:type="dxa"/>
            <w:vAlign w:val="bottom"/>
            <w:tcBorders>
              <w:bottom w:val="single" w:sz="8" w:color="B94831"/>
            </w:tcBorders>
          </w:tcPr>
          <w:p>
            <w:pPr>
              <w:spacing w:after="0"/>
              <w:rPr>
                <w:sz w:val="2"/>
                <w:szCs w:val="2"/>
                <w:color w:val="auto"/>
              </w:rPr>
            </w:pPr>
          </w:p>
        </w:tc>
      </w:tr>
    </w:tbl>
    <w:p>
      <w:pPr>
        <w:spacing w:after="0" w:line="88"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The HR Committee believes that it is important to receive objective recommendations and input from its outside compensation advisor. SEC and NYSE rules require the compensation committee of U.S. public companies to consider six independence-related factors when selecting their compensation advisor and determining whether certain conflicts of interest disclosures must be made. Although foreign private issuers such as Thomson Reuters are exempt from these rules, the HR Committee once again considered them in March 2024 in relation to FW Cook. The six factors considered by the HR Committee were:</w:t>
      </w:r>
    </w:p>
    <w:p>
      <w:pPr>
        <w:spacing w:after="0" w:line="88" w:lineRule="exact"/>
        <w:rPr>
          <w:sz w:val="20"/>
          <w:szCs w:val="20"/>
          <w:color w:val="auto"/>
        </w:rPr>
      </w:pPr>
    </w:p>
    <w:p>
      <w:pPr>
        <w:ind w:left="600" w:hanging="433"/>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 of other services to Thomson Reuters by the firm;</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fees received from Thomson Reuters by the firm as a percentage of the total revenue of the firm;</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policies and procedures of the firm that are designed to prevent conflicts of interest;</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business or personal relationship of the advisor with a member of the HR Committee;</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stock of Thomson Reuters owned by the advisor; and</w:t>
      </w:r>
    </w:p>
    <w:p>
      <w:pPr>
        <w:spacing w:after="0" w:line="113" w:lineRule="exact"/>
        <w:rPr>
          <w:rFonts w:ascii="Arial" w:cs="Arial" w:eastAsia="Arial" w:hAnsi="Arial"/>
          <w:sz w:val="18"/>
          <w:szCs w:val="18"/>
          <w:color w:val="auto"/>
        </w:rPr>
      </w:pPr>
    </w:p>
    <w:p>
      <w:pPr>
        <w:ind w:left="600" w:hanging="433"/>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business or personal relationship of the advisor or firm with an executive officer of Thomson Reuters.</w:t>
      </w:r>
    </w:p>
    <w:p>
      <w:pPr>
        <w:spacing w:after="0" w:line="10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Based on disclosures provided to the HR Committee by FW Cook and in questionnaires provided by our directors and executive officers, the HR Committee views FW Cook as independent.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Our Key Compensation Principles</w:t>
      </w:r>
    </w:p>
    <w:p>
      <w:pPr>
        <w:ind w:left="480" w:hanging="313"/>
        <w:spacing w:after="0" w:line="230" w:lineRule="auto"/>
        <w:tabs>
          <w:tab w:leader="none" w:pos="480" w:val="left"/>
        </w:tabs>
        <w:numPr>
          <w:ilvl w:val="0"/>
          <w:numId w:val="32"/>
        </w:numPr>
        <w:rPr>
          <w:rFonts w:ascii="Times New Roman" w:cs="Times New Roman" w:eastAsia="Times New Roman" w:hAnsi="Times New Roman"/>
          <w:sz w:val="27"/>
          <w:szCs w:val="27"/>
          <w:b w:val="1"/>
          <w:bCs w:val="1"/>
          <w:color w:val="B94831"/>
          <w:vertAlign w:val="superscript"/>
        </w:rPr>
      </w:pPr>
      <w:r>
        <w:rPr>
          <w:rFonts w:ascii="Arial" w:cs="Arial" w:eastAsia="Arial" w:hAnsi="Arial"/>
          <w:sz w:val="18"/>
          <w:szCs w:val="18"/>
          <w:b w:val="1"/>
          <w:bCs w:val="1"/>
          <w:color w:val="auto"/>
        </w:rPr>
        <w:t>Pay for performance is the foundation of our executive compensation program</w:t>
      </w:r>
    </w:p>
    <w:p>
      <w:pPr>
        <w:spacing w:after="0" w:line="93" w:lineRule="exact"/>
        <w:rPr>
          <w:rFonts w:ascii="Times New Roman" w:cs="Times New Roman" w:eastAsia="Times New Roman" w:hAnsi="Times New Roman"/>
          <w:sz w:val="27"/>
          <w:szCs w:val="27"/>
          <w:b w:val="1"/>
          <w:bCs w:val="1"/>
          <w:color w:val="B94831"/>
          <w:vertAlign w:val="superscript"/>
        </w:rPr>
      </w:pPr>
    </w:p>
    <w:p>
      <w:pPr>
        <w:ind w:left="480" w:hanging="313"/>
        <w:spacing w:after="0" w:line="182" w:lineRule="auto"/>
        <w:tabs>
          <w:tab w:leader="none" w:pos="480" w:val="left"/>
        </w:tabs>
        <w:numPr>
          <w:ilvl w:val="0"/>
          <w:numId w:val="32"/>
        </w:numPr>
        <w:rPr>
          <w:rFonts w:ascii="Times New Roman" w:cs="Times New Roman" w:eastAsia="Times New Roman" w:hAnsi="Times New Roman"/>
          <w:sz w:val="26"/>
          <w:szCs w:val="26"/>
          <w:b w:val="1"/>
          <w:bCs w:val="1"/>
          <w:color w:val="B94831"/>
          <w:vertAlign w:val="superscript"/>
        </w:rPr>
      </w:pPr>
      <w:r>
        <w:rPr>
          <w:rFonts w:ascii="Arial" w:cs="Arial" w:eastAsia="Arial" w:hAnsi="Arial"/>
          <w:sz w:val="17"/>
          <w:szCs w:val="17"/>
          <w:b w:val="1"/>
          <w:bCs w:val="1"/>
          <w:color w:val="auto"/>
        </w:rPr>
        <w:t>Incentive performance goals are linked to key measures of our company’s performance and strategy</w:t>
      </w:r>
    </w:p>
    <w:p>
      <w:pPr>
        <w:spacing w:after="0" w:line="94" w:lineRule="exact"/>
        <w:rPr>
          <w:rFonts w:ascii="Times New Roman" w:cs="Times New Roman" w:eastAsia="Times New Roman" w:hAnsi="Times New Roman"/>
          <w:sz w:val="26"/>
          <w:szCs w:val="26"/>
          <w:b w:val="1"/>
          <w:bCs w:val="1"/>
          <w:color w:val="B94831"/>
          <w:vertAlign w:val="superscript"/>
        </w:rPr>
      </w:pPr>
    </w:p>
    <w:p>
      <w:pPr>
        <w:ind w:left="480" w:hanging="313"/>
        <w:spacing w:after="0" w:line="182" w:lineRule="auto"/>
        <w:tabs>
          <w:tab w:leader="none" w:pos="480" w:val="left"/>
        </w:tabs>
        <w:numPr>
          <w:ilvl w:val="0"/>
          <w:numId w:val="32"/>
        </w:numPr>
        <w:rPr>
          <w:rFonts w:ascii="Times New Roman" w:cs="Times New Roman" w:eastAsia="Times New Roman" w:hAnsi="Times New Roman"/>
          <w:sz w:val="26"/>
          <w:szCs w:val="26"/>
          <w:b w:val="1"/>
          <w:bCs w:val="1"/>
          <w:color w:val="B94831"/>
          <w:vertAlign w:val="superscript"/>
        </w:rPr>
      </w:pPr>
      <w:r>
        <w:rPr>
          <w:rFonts w:ascii="Arial" w:cs="Arial" w:eastAsia="Arial" w:hAnsi="Arial"/>
          <w:sz w:val="17"/>
          <w:szCs w:val="17"/>
          <w:b w:val="1"/>
          <w:bCs w:val="1"/>
          <w:color w:val="auto"/>
        </w:rPr>
        <w:t>Our executives should accumulate and retain equity in our company to align their interests with our shareholders</w:t>
      </w:r>
    </w:p>
    <w:p>
      <w:pPr>
        <w:spacing w:after="0" w:line="94" w:lineRule="exact"/>
        <w:rPr>
          <w:rFonts w:ascii="Times New Roman" w:cs="Times New Roman" w:eastAsia="Times New Roman" w:hAnsi="Times New Roman"/>
          <w:sz w:val="26"/>
          <w:szCs w:val="26"/>
          <w:b w:val="1"/>
          <w:bCs w:val="1"/>
          <w:color w:val="B94831"/>
          <w:vertAlign w:val="superscript"/>
        </w:rPr>
      </w:pPr>
    </w:p>
    <w:p>
      <w:pPr>
        <w:ind w:left="480" w:hanging="313"/>
        <w:spacing w:after="0" w:line="182" w:lineRule="auto"/>
        <w:tabs>
          <w:tab w:leader="none" w:pos="480" w:val="left"/>
        </w:tabs>
        <w:numPr>
          <w:ilvl w:val="0"/>
          <w:numId w:val="32"/>
        </w:numPr>
        <w:rPr>
          <w:rFonts w:ascii="Times New Roman" w:cs="Times New Roman" w:eastAsia="Times New Roman" w:hAnsi="Times New Roman"/>
          <w:sz w:val="26"/>
          <w:szCs w:val="26"/>
          <w:b w:val="1"/>
          <w:bCs w:val="1"/>
          <w:color w:val="B94831"/>
          <w:vertAlign w:val="superscript"/>
        </w:rPr>
      </w:pPr>
      <w:r>
        <w:rPr>
          <w:rFonts w:ascii="Arial" w:cs="Arial" w:eastAsia="Arial" w:hAnsi="Arial"/>
          <w:sz w:val="17"/>
          <w:szCs w:val="17"/>
          <w:b w:val="1"/>
          <w:bCs w:val="1"/>
          <w:color w:val="auto"/>
        </w:rPr>
        <w:t>We provide competitive compensation opportunities</w:t>
      </w:r>
    </w:p>
    <w:p>
      <w:pPr>
        <w:spacing w:after="0" w:line="94" w:lineRule="exact"/>
        <w:rPr>
          <w:rFonts w:ascii="Times New Roman" w:cs="Times New Roman" w:eastAsia="Times New Roman" w:hAnsi="Times New Roman"/>
          <w:sz w:val="26"/>
          <w:szCs w:val="26"/>
          <w:b w:val="1"/>
          <w:bCs w:val="1"/>
          <w:color w:val="B94831"/>
          <w:vertAlign w:val="superscript"/>
        </w:rPr>
      </w:pPr>
    </w:p>
    <w:p>
      <w:pPr>
        <w:ind w:left="480" w:hanging="313"/>
        <w:spacing w:after="0" w:line="182" w:lineRule="auto"/>
        <w:tabs>
          <w:tab w:leader="none" w:pos="480" w:val="left"/>
        </w:tabs>
        <w:numPr>
          <w:ilvl w:val="0"/>
          <w:numId w:val="32"/>
        </w:numPr>
        <w:rPr>
          <w:rFonts w:ascii="Times New Roman" w:cs="Times New Roman" w:eastAsia="Times New Roman" w:hAnsi="Times New Roman"/>
          <w:sz w:val="26"/>
          <w:szCs w:val="26"/>
          <w:b w:val="1"/>
          <w:bCs w:val="1"/>
          <w:color w:val="B94831"/>
          <w:vertAlign w:val="superscript"/>
        </w:rPr>
      </w:pPr>
      <w:r>
        <w:rPr>
          <w:rFonts w:ascii="Arial" w:cs="Arial" w:eastAsia="Arial" w:hAnsi="Arial"/>
          <w:sz w:val="17"/>
          <w:szCs w:val="17"/>
          <w:b w:val="1"/>
          <w:bCs w:val="1"/>
          <w:color w:val="auto"/>
        </w:rPr>
        <w:t>Our compensation programs take risk into account and do not encourage unnecessary or excessive risk taking</w:t>
      </w:r>
    </w:p>
    <w:p>
      <w:pPr>
        <w:spacing w:after="0" w:line="54" w:lineRule="exact"/>
        <w:rPr>
          <w:sz w:val="20"/>
          <w:szCs w:val="20"/>
          <w:color w:val="auto"/>
        </w:rPr>
      </w:pPr>
    </w:p>
    <w:p>
      <w:pPr>
        <w:ind w:left="160" w:right="320"/>
        <w:spacing w:after="0" w:line="244" w:lineRule="auto"/>
        <w:rPr>
          <w:sz w:val="20"/>
          <w:szCs w:val="20"/>
          <w:color w:val="auto"/>
        </w:rPr>
      </w:pPr>
      <w:r>
        <w:rPr>
          <w:rFonts w:ascii="Arial" w:cs="Arial" w:eastAsia="Arial" w:hAnsi="Arial"/>
          <w:sz w:val="18"/>
          <w:szCs w:val="18"/>
          <w:color w:val="auto"/>
        </w:rPr>
        <w:t>Below, we describe how each of these key compensation principles drives our executive management team to achieve higher levels of results for the benefit of Thomson Reuters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336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65</w:t>
      </w:r>
    </w:p>
    <w:p>
      <w:pPr>
        <w:sectPr>
          <w:pgSz w:w="11900" w:h="16838" w:orient="portrait"/>
          <w:cols w:equalWidth="0" w:num="1">
            <w:col w:w="11080"/>
          </w:cols>
          <w:pgMar w:left="320" w:top="454"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“PAY FOR PERFORMANCE” IS THE FOUNDATION OF OUR EXECUTIVE COMPENSATION</w:t>
      </w:r>
    </w:p>
    <w:p>
      <w:pPr>
        <w:spacing w:after="0" w:line="5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We believe that tying a significant component of pay to our company’s achievement of specific financial performance goals and changes in our share price motivates our executives to achieve exceptional performance and focus on the goals and objectives that are of the most value to Thomson Reuters.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shown below, approximately 89% of Steve Hasker’s 2023 target annualized compensation was variable, which included approximately 67% awarded as long-term incentive grants in the form of PRSUs, TRSUs and stock options. On average, approximately 78% of the 2023 target annualized compensation for our other named executives was variable, which included approximately 51% awarded as long-term incentive grants in the form of PRSUs, TRSUs and stock options. Target annual compensation for our named executive officers excludes a special TRSU award granted to Laura Clayton McDonnell when she joined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144780</wp:posOffset>
            </wp:positionV>
            <wp:extent cx="5137785" cy="15709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37785" cy="157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As part of its review of executive compensation, the HR Committee reviews targeted values for each component of compensation for each named executive officer. In determining the mix and relative weighting of cash (base salary and annual incentive awards) versus equity-based incentives, the HR Committee considers the appropriate proportion of compensation that should be variable based on the executive’s ability to affect and influence our annual and long-term results and advance the interests of shareholders as well as the compensation mix for similar positions at comparable companies. In general, the proportion of total pay delivered through variable short-term and long-term performance-based compensation increases directly with an executive’s level of operational/financial responsibility. The HR Committee believes this mix and weighting aligns the interests of executives with those of shareholders, provides significant performance incentives and assists in keeping us competitive in the market for high-quality executives.</w:t>
      </w:r>
    </w:p>
    <w:p>
      <w:pPr>
        <w:spacing w:after="0" w:line="73" w:lineRule="exact"/>
        <w:rPr>
          <w:sz w:val="20"/>
          <w:szCs w:val="20"/>
          <w:color w:val="auto"/>
        </w:rPr>
      </w:pPr>
    </w:p>
    <w:p>
      <w:pPr>
        <w:ind w:left="160" w:right="60"/>
        <w:spacing w:after="0" w:line="262" w:lineRule="auto"/>
        <w:rPr>
          <w:sz w:val="20"/>
          <w:szCs w:val="20"/>
          <w:color w:val="auto"/>
        </w:rPr>
      </w:pPr>
      <w:r>
        <w:rPr>
          <w:rFonts w:ascii="Arial" w:cs="Arial" w:eastAsia="Arial" w:hAnsi="Arial"/>
          <w:sz w:val="25"/>
          <w:szCs w:val="25"/>
          <w:color w:val="B94831"/>
        </w:rPr>
        <w:t>INCENTIVE PERFORMANCE GOALS ARE LINKED TO KEY MEASURES OF OUR COMPANY’S PERFORMANCE AND STRATEGY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Annual incentive awards</w:t>
      </w:r>
    </w:p>
    <w:p>
      <w:pPr>
        <w:spacing w:after="0" w:line="42" w:lineRule="exact"/>
        <w:rPr>
          <w:sz w:val="20"/>
          <w:szCs w:val="20"/>
          <w:color w:val="auto"/>
        </w:rPr>
      </w:pPr>
    </w:p>
    <w:p>
      <w:pPr>
        <w:ind w:left="160" w:right="240"/>
        <w:spacing w:after="0" w:line="241" w:lineRule="auto"/>
        <w:rPr>
          <w:sz w:val="20"/>
          <w:szCs w:val="20"/>
          <w:color w:val="auto"/>
        </w:rPr>
      </w:pPr>
      <w:r>
        <w:rPr>
          <w:rFonts w:ascii="Arial" w:cs="Arial" w:eastAsia="Arial" w:hAnsi="Arial"/>
          <w:sz w:val="18"/>
          <w:szCs w:val="18"/>
          <w:color w:val="auto"/>
        </w:rPr>
        <w:t>The HR Committee sets performance goals for our annual incentive awards that focus on superior performance, considering current market conditions. The financial performance goals set by the HR Committee reflect our published business outlook, operating plan and long-term strategy. Annual incentive awards are designed to incentivize individual performance and drive accountability for results. An executive’s annual incentive award opportunity is expressed as a percentage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117475</wp:posOffset>
            </wp:positionV>
            <wp:extent cx="6929755" cy="336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66 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following table sets forth annual incentive award payouts as a percentage of target for the years indicated. Payout percentages below have been rounded to the nearest whole percentage. Additional information about 2023 annual incentive award targets and performance is provided later in this compensation discussion and analysis. We also discuss each named executive officer’s actual 2023 annual incentive award payout (as adjusted to reflect individual performance) later in this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142240</wp:posOffset>
            </wp:positionV>
            <wp:extent cx="2776855" cy="1205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76855"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Long-term incentive awards</w:t>
      </w:r>
    </w:p>
    <w:p>
      <w:pPr>
        <w:spacing w:after="0" w:line="5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An executive’s long-term incentive award opportunity is also expressed as a percentage of base salary, and an executive’s percentage may be higher or lower for a particular year based on future potential and past performance. In addition, our long-term incentive awards are designed to optimally balance alignment with key drivers of total shareholder return, accountability for longer-term results and overall executive retention. Financial performance measures reflected in PRSUs granted as long-term incentive awards complement measures in annual incentive awards.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payouts for our PRSU awards as a percentage of target for the years indicated. Payout percentages below have been rounded to the nearest whole percentage. Due to complexities associated with determining consolidated company performance for PRSUs granted for the 2017-2019 performance period as a result of the sale of our former Financial &amp; Risk business, the HR Committee determined payouts for these awards based on performance as of December 31, 2017 and a deemed 100% performance for remaining periods. No PRSUs were granted for the 2018-2020 performance period for the same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144780</wp:posOffset>
            </wp:positionV>
            <wp:extent cx="3218815" cy="16217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18815" cy="162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Discretionary adjustment authority</w:t>
      </w:r>
    </w:p>
    <w:p>
      <w:pPr>
        <w:spacing w:after="0" w:line="51" w:lineRule="exact"/>
        <w:rPr>
          <w:sz w:val="20"/>
          <w:szCs w:val="20"/>
          <w:color w:val="auto"/>
        </w:rPr>
      </w:pPr>
    </w:p>
    <w:p>
      <w:pPr>
        <w:ind w:left="160" w:right="240"/>
        <w:spacing w:after="0" w:line="243" w:lineRule="auto"/>
        <w:rPr>
          <w:sz w:val="20"/>
          <w:szCs w:val="20"/>
          <w:color w:val="auto"/>
        </w:rPr>
      </w:pPr>
      <w:r>
        <w:rPr>
          <w:rFonts w:ascii="Arial" w:cs="Arial" w:eastAsia="Arial" w:hAnsi="Arial"/>
          <w:sz w:val="18"/>
          <w:szCs w:val="18"/>
          <w:color w:val="auto"/>
        </w:rPr>
        <w:t>For both annual incentive awards and PRSUs granted as part of long-term incentive awards, the HR Committee is authorized to make discretionary adjustments (outside of the design principles discussed above, which operate mechanically without discretion) to deal with extraordinary, non-recurring or unanticipated business conditions that materially affected our results (positively and negatively), the fairness of the performance targets, or the impact of external changes which have unduly influenced our ability to meet the targets.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2023, no discretionary adjustments were made in determining 2023 annual incentive awards or to any outstanding PRSU awards.</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Non-IFRS financial measures</w:t>
      </w:r>
    </w:p>
    <w:p>
      <w:pPr>
        <w:spacing w:after="0" w:line="42" w:lineRule="exact"/>
        <w:rPr>
          <w:sz w:val="20"/>
          <w:szCs w:val="20"/>
          <w:color w:val="auto"/>
        </w:rPr>
      </w:pPr>
    </w:p>
    <w:p>
      <w:pPr>
        <w:ind w:left="160" w:right="240"/>
        <w:spacing w:after="0" w:line="241" w:lineRule="auto"/>
        <w:rPr>
          <w:sz w:val="20"/>
          <w:szCs w:val="20"/>
          <w:color w:val="auto"/>
        </w:rPr>
      </w:pPr>
      <w:r>
        <w:rPr>
          <w:rFonts w:ascii="Arial" w:cs="Arial" w:eastAsia="Arial" w:hAnsi="Arial"/>
          <w:sz w:val="18"/>
          <w:szCs w:val="18"/>
          <w:color w:val="auto"/>
        </w:rPr>
        <w:t>Most of the financial metrics that we use in our annual and long-term incentive awards described in this circular are non-IFRS financial measures. Later in this section, we discuss our annual and long-term incentive awards in more detail, and we explain why we use these metrics as part of our performance goals. Please also see the “Additional Information – Non-IFRS Financial Measures” section of this circular for more information about our non-IFRS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117475</wp:posOffset>
            </wp:positionV>
            <wp:extent cx="6929755" cy="336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67</w:t>
      </w:r>
    </w:p>
    <w:p>
      <w:pPr>
        <w:sectPr>
          <w:pgSz w:w="11900" w:h="16838" w:orient="portrait"/>
          <w:cols w:equalWidth="0" w:num="1">
            <w:col w:w="11080"/>
          </w:cols>
          <w:pgMar w:left="320" w:top="454"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right="580"/>
        <w:spacing w:after="0" w:line="263" w:lineRule="auto"/>
        <w:rPr>
          <w:sz w:val="20"/>
          <w:szCs w:val="20"/>
          <w:color w:val="auto"/>
        </w:rPr>
      </w:pPr>
      <w:r>
        <w:rPr>
          <w:rFonts w:ascii="Arial" w:cs="Arial" w:eastAsia="Arial" w:hAnsi="Arial"/>
          <w:sz w:val="25"/>
          <w:szCs w:val="25"/>
          <w:color w:val="B94831"/>
        </w:rPr>
        <w:t>OUR EXECUTIVES SHOULD ACCUMULATE AND RETAIN EQUITY IN OUR COMPANY TO ALIGN THEIR INTERESTS WITH OUR SHAREHOLDERS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long-term incentive awards are all equity-based and, together with our share ownership guidelines, align the interests of</w:t>
      </w:r>
    </w:p>
    <w:p>
      <w:pPr>
        <w:spacing w:after="0" w:line="12" w:lineRule="exact"/>
        <w:rPr>
          <w:sz w:val="20"/>
          <w:szCs w:val="20"/>
          <w:color w:val="auto"/>
        </w:rPr>
      </w:pPr>
    </w:p>
    <w:p>
      <w:pPr>
        <w:ind w:left="160" w:right="160"/>
        <w:spacing w:after="0" w:line="273" w:lineRule="auto"/>
        <w:rPr>
          <w:sz w:val="20"/>
          <w:szCs w:val="20"/>
          <w:color w:val="auto"/>
        </w:rPr>
      </w:pPr>
      <w:r>
        <w:rPr>
          <w:rFonts w:ascii="Arial" w:cs="Arial" w:eastAsia="Arial" w:hAnsi="Arial"/>
          <w:sz w:val="17"/>
          <w:szCs w:val="17"/>
          <w:color w:val="auto"/>
        </w:rPr>
        <w:t>our executives with those of our shareholders and enable our executives to share in our long-term growth and success. Executives are aligned with shareholders because this part of their compensation is tied directly to the long-term performance of the price of our shares.</w:t>
      </w:r>
    </w:p>
    <w:p>
      <w:pPr>
        <w:spacing w:after="0" w:line="46"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PRSUs, TRSUs and stock options are designed to reward executives for increases in shareholder value and thereby foster strong alignment between management and shareholders. They also support important management retention objectives through the vesting requirements, which are over a period of years. From time to time, we also grant off-cycle TRSUs or PRSUs on a highly selective basis to high-performing executives in connection with promotions and for retention and recognition of high potential, superior performance and contributions to the company.</w:t>
      </w:r>
    </w:p>
    <w:p>
      <w:pPr>
        <w:spacing w:after="0" w:line="75"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Through our share ownership guidelines, Steve Hasker and other executive officers are required to acquire and maintain an equity interest in Thomson Reuters with a value equal to a multiple of their base salary. Until the guideline is met, executive officers must retain a specified percentage of the shares that they acquire (after applicable tax withholdings) through option exercises and the vesting of PRSUs and TRSUs. Unvested PRSUs and TRSUs and vested/unvested stock options do not count toward the guidelines. Share prices of all public companies are subject to market volatility. As a result, executive share ownership guidelines reflect a “once met, always met” standard. This means that if an executive has met his or her applicable ownership guideline multiple and a subsequent decline in the Thomson Reuters share price causes the value of his or her ownership to fall below the applicable threshold, the executive will be considered to be in compliance with the guidelines so long as he or she continues to hold the number of shares that were owned at the time when he or she achieved the guidelines.</w:t>
      </w:r>
    </w:p>
    <w:p>
      <w:pPr>
        <w:spacing w:after="0" w:line="73"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Steve Hasker and Mike Eastwood each became subject to share ownership guidelines in March 2020. Laura Clayton McDonnell became subject to share ownership guidelines in March 2023, Kirsty Roth in August 2020 and Paul Bascobert in September 2022. The following table shows the share ownership guidelines for our named executive officers, as well as their actual share ownership, based on the closing price of our shares on the NYSE on April 12, 2024. The table also shows the value of actual ownership and unvested RSUs. While unvested RSUs do not count towards the guidelines, they are reflective of awards that are scheduled to vest in the next few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144780</wp:posOffset>
            </wp:positionV>
            <wp:extent cx="4543425" cy="21062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43425"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WE PROVIDE COMPETITIVE COMPENSATION OPPORTUNITIES</w:t>
      </w:r>
    </w:p>
    <w:p>
      <w:pPr>
        <w:spacing w:after="0" w:line="5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The HR Committee utilizes independent market surveys and peer group data to provide an appropriate benchmark for competitive comparisons of executive pay levels and design structure, company performance and aggregate equity practices. The HR Committee refers to these benchmarks, either wholly or in part, when establishing individual components and overall compensation of our executives to assess the differences between our compensation program and those of the market and the peer group.</w:t>
      </w:r>
    </w:p>
    <w:p>
      <w:pPr>
        <w:spacing w:after="0" w:line="71"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On an annual basis, the HR Committee evaluates each named executive officer’s compensation and compares each element (e.g., base salary, annual incentive and long-term incentive) and their total direct compensation (TDC), which consists of base salary, target annual incentive award value, target long-term incentive award value and the annualized value of any special grants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68   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are outstanding. This TDC is compared for each named executive officer against compensation peer group data, as discussed below, to both understand the competitive level of an individual’s pay as well to make decisions on each person’s future competitive compensation position.</w:t>
      </w:r>
    </w:p>
    <w:p>
      <w:pPr>
        <w:spacing w:after="0" w:line="65"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Market data is one of several data points used by the HR Committee for setting compensation. While the HR Committee does not target a specific competitive level of pay, the HR Committee does consider the overall competitive market as well as the experience, skills, contribution, historical and expected performance of each executive in its decision making. The HR Committee also considers differences between the scope and criticality of the role at Thomson Reuters and at peers, internal equity and retention risk.</w:t>
      </w:r>
    </w:p>
    <w:p>
      <w:pPr>
        <w:spacing w:after="0" w:line="71"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In March 2023, the HR Committee evaluated the current market position of our named executive officers’ compensation and approved an increase to Steve Hasker’s long-term incentive target and Mike Eastwood’s base salary and long-term incentive target to better align their pay with the market. There were no changes for the other named executive officers’ 2023 base salaries or their target annual and long-term incentive awards. FW Cook was consulted in connection with this compensation evaluation.</w:t>
      </w:r>
    </w:p>
    <w:p>
      <w:pPr>
        <w:spacing w:after="0" w:line="7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In June 2021, the HR Committee approved updates to the global and Canadian peer groups. As part of this process, the HR Committee’s independent compensation consultant reviewed the peer groups and identified changes that were intended to reflect Thomson Reuters’ evolving business strategy as it transitions from a content provider to a content-driven technology company.</w:t>
      </w:r>
    </w:p>
    <w:p>
      <w:pPr>
        <w:spacing w:after="0" w:line="65"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The companies in our current global peer group are publicly traded and have similar business models or strategies which are focused on information development and electronic delivery. Our global peer group is a primary reference point considering the global nature of our business and the global market for executive talent. Although we believe our company is somewhat unique in terms of its business operations serving the legal, tax, accounting, corporate and news industries, a number of these companies are considered by analysts and shareholders to be our closest public company comparables. Many of these other companies, like Thomson Reuters, also have significant global operations.</w:t>
      </w:r>
    </w:p>
    <w:p>
      <w:pPr>
        <w:spacing w:after="0" w:line="74" w:lineRule="exact"/>
        <w:rPr>
          <w:sz w:val="20"/>
          <w:szCs w:val="20"/>
          <w:color w:val="auto"/>
        </w:rPr>
      </w:pPr>
    </w:p>
    <w:p>
      <w:pPr>
        <w:ind w:left="160" w:right="20"/>
        <w:spacing w:after="0" w:line="198" w:lineRule="auto"/>
        <w:rPr>
          <w:sz w:val="20"/>
          <w:szCs w:val="20"/>
          <w:color w:val="auto"/>
        </w:rPr>
      </w:pPr>
      <w:r>
        <w:rPr>
          <w:rFonts w:ascii="Arial" w:cs="Arial" w:eastAsia="Arial" w:hAnsi="Arial"/>
          <w:sz w:val="18"/>
          <w:szCs w:val="18"/>
          <w:color w:val="auto"/>
        </w:rPr>
        <w:t>When the global peer group was updated in June 2021, companies in that peer group had revenues in their last four quarters ranging from approximately $4.4 billion at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to approximately $9.6 billion at the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with a median of approximately</w:t>
      </w:r>
    </w:p>
    <w:p>
      <w:pPr>
        <w:spacing w:after="0" w:line="2" w:lineRule="exact"/>
        <w:rPr>
          <w:sz w:val="20"/>
          <w:szCs w:val="20"/>
          <w:color w:val="auto"/>
        </w:rPr>
      </w:pPr>
    </w:p>
    <w:p>
      <w:pPr>
        <w:ind w:left="160" w:right="280"/>
        <w:spacing w:after="0" w:line="194" w:lineRule="auto"/>
        <w:rPr>
          <w:sz w:val="20"/>
          <w:szCs w:val="20"/>
          <w:color w:val="auto"/>
        </w:rPr>
      </w:pPr>
      <w:r>
        <w:rPr>
          <w:rFonts w:ascii="Arial" w:cs="Arial" w:eastAsia="Arial" w:hAnsi="Arial"/>
          <w:sz w:val="18"/>
          <w:szCs w:val="18"/>
          <w:color w:val="auto"/>
        </w:rPr>
        <w:t>$6.3 billion, compared to Thomson Reuters’ 2021 revenues of approximately $6.3 billion. Compared to the global peer group, Thomson Reuters ranked near the median in revenue, between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and median in adjusted EBITDA, in the top quartile in total assets, near the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in market capitalization and between the median and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in number of employees. The 15 companies in our current global peer group consist of:</w:t>
      </w:r>
    </w:p>
    <w:p>
      <w:pPr>
        <w:spacing w:after="0" w:line="86"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3100" w:type="dxa"/>
            <w:vAlign w:val="bottom"/>
            <w:tcBorders>
              <w:top w:val="single" w:sz="8" w:color="B94831"/>
            </w:tcBorders>
          </w:tcPr>
          <w:p>
            <w:pPr>
              <w:spacing w:after="0"/>
              <w:rPr>
                <w:sz w:val="20"/>
                <w:szCs w:val="20"/>
                <w:color w:val="auto"/>
              </w:rPr>
            </w:pPr>
            <w:r>
              <w:rPr>
                <w:rFonts w:ascii="Arial" w:cs="Arial" w:eastAsia="Arial" w:hAnsi="Arial"/>
                <w:sz w:val="16"/>
                <w:szCs w:val="16"/>
                <w:color w:val="auto"/>
              </w:rPr>
              <w:t>Automatic Data Processing Inc.</w:t>
            </w:r>
          </w:p>
        </w:tc>
        <w:tc>
          <w:tcPr>
            <w:tcW w:w="4160" w:type="dxa"/>
            <w:vAlign w:val="bottom"/>
            <w:tcBorders>
              <w:top w:val="single" w:sz="8" w:color="B94831"/>
            </w:tcBorders>
          </w:tcPr>
          <w:p>
            <w:pPr>
              <w:ind w:left="860"/>
              <w:spacing w:after="0"/>
              <w:rPr>
                <w:sz w:val="20"/>
                <w:szCs w:val="20"/>
                <w:color w:val="auto"/>
              </w:rPr>
            </w:pPr>
            <w:r>
              <w:rPr>
                <w:rFonts w:ascii="Arial" w:cs="Arial" w:eastAsia="Arial" w:hAnsi="Arial"/>
                <w:sz w:val="16"/>
                <w:szCs w:val="16"/>
                <w:color w:val="auto"/>
              </w:rPr>
              <w:t>Gartner Inc.</w:t>
            </w:r>
          </w:p>
        </w:tc>
        <w:tc>
          <w:tcPr>
            <w:tcW w:w="3660" w:type="dxa"/>
            <w:vAlign w:val="bottom"/>
            <w:tcBorders>
              <w:top w:val="single" w:sz="8" w:color="B94831"/>
            </w:tcBorders>
          </w:tcPr>
          <w:p>
            <w:pPr>
              <w:ind w:left="340"/>
              <w:spacing w:after="0"/>
              <w:rPr>
                <w:sz w:val="20"/>
                <w:szCs w:val="20"/>
                <w:color w:val="auto"/>
              </w:rPr>
            </w:pPr>
            <w:r>
              <w:rPr>
                <w:rFonts w:ascii="Arial" w:cs="Arial" w:eastAsia="Arial" w:hAnsi="Arial"/>
                <w:sz w:val="16"/>
                <w:szCs w:val="16"/>
                <w:color w:val="auto"/>
              </w:rPr>
              <w:t>RELX PLC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CGI Group Inc.</w:t>
            </w:r>
          </w:p>
        </w:tc>
        <w:tc>
          <w:tcPr>
            <w:tcW w:w="4160" w:type="dxa"/>
            <w:vAlign w:val="bottom"/>
          </w:tcPr>
          <w:p>
            <w:pPr>
              <w:ind w:left="860"/>
              <w:spacing w:after="0"/>
              <w:rPr>
                <w:sz w:val="20"/>
                <w:szCs w:val="20"/>
                <w:color w:val="auto"/>
              </w:rPr>
            </w:pPr>
            <w:r>
              <w:rPr>
                <w:rFonts w:ascii="Arial" w:cs="Arial" w:eastAsia="Arial" w:hAnsi="Arial"/>
                <w:sz w:val="16"/>
                <w:szCs w:val="16"/>
                <w:color w:val="auto"/>
              </w:rPr>
              <w:t>The Interpublic Group of Companies, Inc.</w:t>
            </w:r>
          </w:p>
        </w:tc>
        <w:tc>
          <w:tcPr>
            <w:tcW w:w="3660" w:type="dxa"/>
            <w:vAlign w:val="bottom"/>
          </w:tcPr>
          <w:p>
            <w:pPr>
              <w:ind w:left="340"/>
              <w:spacing w:after="0"/>
              <w:rPr>
                <w:sz w:val="20"/>
                <w:szCs w:val="20"/>
                <w:color w:val="auto"/>
              </w:rPr>
            </w:pPr>
            <w:r>
              <w:rPr>
                <w:rFonts w:ascii="Arial" w:cs="Arial" w:eastAsia="Arial" w:hAnsi="Arial"/>
                <w:sz w:val="16"/>
                <w:szCs w:val="16"/>
                <w:color w:val="auto"/>
              </w:rPr>
              <w:t>S&amp;P Global Inc.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eBay Inc.</w:t>
            </w:r>
          </w:p>
        </w:tc>
        <w:tc>
          <w:tcPr>
            <w:tcW w:w="4160" w:type="dxa"/>
            <w:vAlign w:val="bottom"/>
          </w:tcPr>
          <w:p>
            <w:pPr>
              <w:ind w:left="860"/>
              <w:spacing w:after="0"/>
              <w:rPr>
                <w:sz w:val="20"/>
                <w:szCs w:val="20"/>
                <w:color w:val="auto"/>
              </w:rPr>
            </w:pPr>
            <w:r>
              <w:rPr>
                <w:rFonts w:ascii="Arial" w:cs="Arial" w:eastAsia="Arial" w:hAnsi="Arial"/>
                <w:sz w:val="16"/>
                <w:szCs w:val="16"/>
                <w:color w:val="auto"/>
              </w:rPr>
              <w:t>Intuit Inc.</w:t>
            </w:r>
          </w:p>
        </w:tc>
        <w:tc>
          <w:tcPr>
            <w:tcW w:w="3660" w:type="dxa"/>
            <w:vAlign w:val="bottom"/>
          </w:tcPr>
          <w:p>
            <w:pPr>
              <w:ind w:left="340"/>
              <w:spacing w:after="0"/>
              <w:rPr>
                <w:sz w:val="20"/>
                <w:szCs w:val="20"/>
                <w:color w:val="auto"/>
              </w:rPr>
            </w:pPr>
            <w:r>
              <w:rPr>
                <w:rFonts w:ascii="Arial" w:cs="Arial" w:eastAsia="Arial" w:hAnsi="Arial"/>
                <w:sz w:val="16"/>
                <w:szCs w:val="16"/>
                <w:color w:val="auto"/>
              </w:rPr>
              <w:t>TransUnion</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Equifax Inc.</w:t>
            </w:r>
          </w:p>
        </w:tc>
        <w:tc>
          <w:tcPr>
            <w:tcW w:w="4160" w:type="dxa"/>
            <w:vAlign w:val="bottom"/>
          </w:tcPr>
          <w:p>
            <w:pPr>
              <w:ind w:left="860"/>
              <w:spacing w:after="0"/>
              <w:rPr>
                <w:sz w:val="20"/>
                <w:szCs w:val="20"/>
                <w:color w:val="auto"/>
              </w:rPr>
            </w:pPr>
            <w:r>
              <w:rPr>
                <w:rFonts w:ascii="Arial" w:cs="Arial" w:eastAsia="Arial" w:hAnsi="Arial"/>
                <w:sz w:val="16"/>
                <w:szCs w:val="16"/>
                <w:color w:val="auto"/>
              </w:rPr>
              <w:t>Moody’s Corp.</w:t>
            </w:r>
          </w:p>
        </w:tc>
        <w:tc>
          <w:tcPr>
            <w:tcW w:w="3660" w:type="dxa"/>
            <w:vAlign w:val="bottom"/>
          </w:tcPr>
          <w:p>
            <w:pPr>
              <w:ind w:left="340"/>
              <w:spacing w:after="0"/>
              <w:rPr>
                <w:sz w:val="20"/>
                <w:szCs w:val="20"/>
                <w:color w:val="auto"/>
              </w:rPr>
            </w:pPr>
            <w:r>
              <w:rPr>
                <w:rFonts w:ascii="Arial" w:cs="Arial" w:eastAsia="Arial" w:hAnsi="Arial"/>
                <w:sz w:val="16"/>
                <w:szCs w:val="16"/>
                <w:color w:val="auto"/>
              </w:rPr>
              <w:t>Verisk Analytics, Inc.</w:t>
            </w:r>
          </w:p>
        </w:tc>
      </w:tr>
      <w:tr>
        <w:trPr>
          <w:trHeight w:val="213"/>
        </w:trPr>
        <w:tc>
          <w:tcPr>
            <w:tcW w:w="3100" w:type="dxa"/>
            <w:vAlign w:val="bottom"/>
            <w:tcBorders>
              <w:bottom w:val="single" w:sz="8" w:color="B94831"/>
            </w:tcBorders>
          </w:tcPr>
          <w:p>
            <w:pPr>
              <w:spacing w:after="0"/>
              <w:rPr>
                <w:sz w:val="20"/>
                <w:szCs w:val="20"/>
                <w:color w:val="auto"/>
              </w:rPr>
            </w:pPr>
            <w:r>
              <w:rPr>
                <w:rFonts w:ascii="Arial" w:cs="Arial" w:eastAsia="Arial" w:hAnsi="Arial"/>
                <w:sz w:val="16"/>
                <w:szCs w:val="16"/>
                <w:color w:val="auto"/>
              </w:rPr>
              <w:t>Experian Plc</w:t>
            </w:r>
          </w:p>
        </w:tc>
        <w:tc>
          <w:tcPr>
            <w:tcW w:w="4160" w:type="dxa"/>
            <w:vAlign w:val="bottom"/>
            <w:tcBorders>
              <w:bottom w:val="single" w:sz="8" w:color="B94831"/>
            </w:tcBorders>
          </w:tcPr>
          <w:p>
            <w:pPr>
              <w:ind w:left="860"/>
              <w:spacing w:after="0"/>
              <w:rPr>
                <w:sz w:val="20"/>
                <w:szCs w:val="20"/>
                <w:color w:val="auto"/>
              </w:rPr>
            </w:pPr>
            <w:r>
              <w:rPr>
                <w:rFonts w:ascii="Arial" w:cs="Arial" w:eastAsia="Arial" w:hAnsi="Arial"/>
                <w:sz w:val="16"/>
                <w:szCs w:val="16"/>
                <w:color w:val="auto"/>
              </w:rPr>
              <w:t>Omnicom Group Inc.</w:t>
            </w:r>
          </w:p>
        </w:tc>
        <w:tc>
          <w:tcPr>
            <w:tcW w:w="3660" w:type="dxa"/>
            <w:vAlign w:val="bottom"/>
            <w:tcBorders>
              <w:bottom w:val="single" w:sz="8" w:color="B94831"/>
            </w:tcBorders>
          </w:tcPr>
          <w:p>
            <w:pPr>
              <w:ind w:left="340"/>
              <w:spacing w:after="0"/>
              <w:rPr>
                <w:sz w:val="20"/>
                <w:szCs w:val="20"/>
                <w:color w:val="auto"/>
              </w:rPr>
            </w:pPr>
            <w:r>
              <w:rPr>
                <w:rFonts w:ascii="Arial" w:cs="Arial" w:eastAsia="Arial" w:hAnsi="Arial"/>
                <w:sz w:val="16"/>
                <w:szCs w:val="16"/>
                <w:color w:val="auto"/>
              </w:rPr>
              <w:t>Wolters Kluwer NV</w:t>
            </w:r>
          </w:p>
        </w:tc>
      </w:tr>
    </w:tbl>
    <w:p>
      <w:pPr>
        <w:spacing w:after="0" w:line="88" w:lineRule="exact"/>
        <w:rPr>
          <w:sz w:val="20"/>
          <w:szCs w:val="20"/>
          <w:color w:val="auto"/>
        </w:rPr>
      </w:pPr>
    </w:p>
    <w:p>
      <w:pPr>
        <w:ind w:left="160" w:right="140"/>
        <w:spacing w:after="0" w:line="200" w:lineRule="auto"/>
        <w:rPr>
          <w:sz w:val="20"/>
          <w:szCs w:val="20"/>
          <w:color w:val="auto"/>
        </w:rPr>
      </w:pPr>
      <w:r>
        <w:rPr>
          <w:rFonts w:ascii="Arial" w:cs="Arial" w:eastAsia="Arial" w:hAnsi="Arial"/>
          <w:sz w:val="18"/>
          <w:szCs w:val="18"/>
          <w:color w:val="auto"/>
        </w:rPr>
        <w:t>For compensation benchmarking of the CEO, CFO and other executive officers based in Toronto, the HR Committee also utilizes a separate Canadian peer group as a secondary reference point. When the Canadian peer group was updated in June 2021, companies in that peer group had revenues in their last four quarters ranging from approximately $3.5 billion at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to approximately $18.2 billion at the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with a median of approximately $10.1 billion, compared to Thomson Reuters’ 2021 revenues of approximately $6.3 billion. Compared to the Canadian peer group, Thomson Reuters ranked between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and median in revenue, near the median in adjusted EBITDA, total assets and number of employees, and between the median and 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in market capitalization. The 17 companies in our Canadian peer group include Bank of Montreal, The Bank of Nova Scotia, BCE Inc., Canadian Imperial Bank of Commerce, CGI Group Inc., Cogeco Communications Inc., Constellation Software Inc., Intact Financial Corporation, National Bank of Canada, Open Text Corporation, Quebecor Inc., Rogers Communications Inc., Royal Bank of Canada, Shopify Inc., Stantec Inc., TELUS Communications Inc. and The Toronto-Dominion Bank.</w:t>
      </w:r>
    </w:p>
    <w:p>
      <w:pPr>
        <w:spacing w:after="0" w:line="82"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The HR Committee also reviews compensation for executive officers based in the United States and Switzerland with data from their relevant local talent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69</w:t>
      </w:r>
    </w:p>
    <w:p>
      <w:pPr>
        <w:sectPr>
          <w:pgSz w:w="11900" w:h="16838" w:orient="portrait"/>
          <w:cols w:equalWidth="0" w:num="1">
            <w:col w:w="11080"/>
          </w:cols>
          <w:pgMar w:left="320" w:top="454"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right="100"/>
        <w:spacing w:after="0" w:line="263" w:lineRule="auto"/>
        <w:rPr>
          <w:sz w:val="20"/>
          <w:szCs w:val="20"/>
          <w:color w:val="auto"/>
        </w:rPr>
      </w:pPr>
      <w:r>
        <w:rPr>
          <w:rFonts w:ascii="Arial" w:cs="Arial" w:eastAsia="Arial" w:hAnsi="Arial"/>
          <w:sz w:val="25"/>
          <w:szCs w:val="25"/>
          <w:color w:val="B94831"/>
        </w:rPr>
        <w:t>OUR COMPENSATION PROGRAMS TAKE RISK INTO ACCOUNT AND DO NOT ENCOURAGE UNNECESSARY OR EXCESSIVE RISK TAKING</w:t>
      </w:r>
    </w:p>
    <w:p>
      <w:pPr>
        <w:spacing w:after="0" w:line="2" w:lineRule="exact"/>
        <w:rPr>
          <w:sz w:val="20"/>
          <w:szCs w:val="20"/>
          <w:color w:val="auto"/>
        </w:rPr>
      </w:pPr>
    </w:p>
    <w:p>
      <w:pPr>
        <w:ind w:left="160" w:right="100"/>
        <w:spacing w:after="0" w:line="238" w:lineRule="auto"/>
        <w:rPr>
          <w:sz w:val="20"/>
          <w:szCs w:val="20"/>
          <w:color w:val="auto"/>
        </w:rPr>
      </w:pPr>
      <w:r>
        <w:rPr>
          <w:rFonts w:ascii="Arial" w:cs="Arial" w:eastAsia="Arial" w:hAnsi="Arial"/>
          <w:sz w:val="18"/>
          <w:szCs w:val="18"/>
          <w:color w:val="auto"/>
        </w:rPr>
        <w:t>We have designed our compensation programs to provide an appropriate balance of risk and reward in relation to our company’s overall business strategy. The HR Committee assesses compensation risk on an annual basis as part of its oversight of our executive compensation program to determine if it creates a potential material risk for Thomson Reuters. In March 2024, FW Cook provided the HR Committee with a risk assessment of the Thomson Reuters compensation program for executive officers. As part of its assessment, FW Cook reviewed our compensation structure and key attributes of our compensation program for executive officers for the purpose of identifying potential sources of risk. Based on its review, FW Cook was of the view that our compensation program appears unlikely to create incentives for excessive risk taking and includes meaningful safeguards to mitigate compensation program risk.</w:t>
      </w:r>
    </w:p>
    <w:p>
      <w:pPr>
        <w:spacing w:after="0" w:line="74"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color w:val="auto"/>
        </w:rPr>
        <w:t>The HR Committee and management believe that our senior executive compensation programs do not incentivize our executives to take unnecessary or excessive risks for the reasons described below.</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What we do</w:t>
      </w:r>
    </w:p>
    <w:p>
      <w:pPr>
        <w:spacing w:after="0" w:line="109" w:lineRule="exact"/>
        <w:rPr>
          <w:sz w:val="20"/>
          <w:szCs w:val="20"/>
          <w:color w:val="auto"/>
        </w:rPr>
      </w:pPr>
    </w:p>
    <w:p>
      <w:pPr>
        <w:ind w:left="600" w:right="360" w:hanging="433"/>
        <w:spacing w:after="0" w:line="277"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The HR Committee is comprised of a majority of </w:t>
      </w:r>
      <w:r>
        <w:rPr>
          <w:rFonts w:ascii="Arial" w:cs="Arial" w:eastAsia="Arial" w:hAnsi="Arial"/>
          <w:sz w:val="18"/>
          <w:szCs w:val="18"/>
          <w:b w:val="1"/>
          <w:bCs w:val="1"/>
          <w:color w:val="auto"/>
        </w:rPr>
        <w:t>independent directors</w:t>
      </w:r>
      <w:r>
        <w:rPr>
          <w:rFonts w:ascii="Arial" w:cs="Arial" w:eastAsia="Arial" w:hAnsi="Arial"/>
          <w:sz w:val="18"/>
          <w:szCs w:val="18"/>
          <w:color w:val="auto"/>
        </w:rPr>
        <w:t xml:space="preserve"> and it uses an </w:t>
      </w:r>
      <w:r>
        <w:rPr>
          <w:rFonts w:ascii="Arial" w:cs="Arial" w:eastAsia="Arial" w:hAnsi="Arial"/>
          <w:sz w:val="18"/>
          <w:szCs w:val="18"/>
          <w:b w:val="1"/>
          <w:bCs w:val="1"/>
          <w:color w:val="auto"/>
        </w:rPr>
        <w:t>independent executive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consultant </w:t>
      </w:r>
      <w:r>
        <w:rPr>
          <w:rFonts w:ascii="Arial" w:cs="Arial" w:eastAsia="Arial" w:hAnsi="Arial"/>
          <w:sz w:val="18"/>
          <w:szCs w:val="18"/>
          <w:color w:val="auto"/>
        </w:rPr>
        <w:t>to assess our executive compensation programs;</w:t>
      </w:r>
    </w:p>
    <w:p>
      <w:pPr>
        <w:spacing w:after="0" w:line="43" w:lineRule="exact"/>
        <w:rPr>
          <w:rFonts w:ascii="MS PGothic" w:cs="MS PGothic" w:eastAsia="MS PGothic" w:hAnsi="MS PGothic"/>
          <w:sz w:val="18"/>
          <w:szCs w:val="18"/>
          <w:color w:val="28910A"/>
        </w:rPr>
      </w:pPr>
    </w:p>
    <w:p>
      <w:pPr>
        <w:ind w:left="600" w:right="120" w:hanging="433"/>
        <w:spacing w:after="0" w:line="265"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Most of an executive’s compensation is comprised of </w:t>
      </w:r>
      <w:r>
        <w:rPr>
          <w:rFonts w:ascii="Arial" w:cs="Arial" w:eastAsia="Arial" w:hAnsi="Arial"/>
          <w:sz w:val="18"/>
          <w:szCs w:val="18"/>
          <w:b w:val="1"/>
          <w:bCs w:val="1"/>
          <w:color w:val="auto"/>
        </w:rPr>
        <w:t>longer-term performance opportunities</w:t>
      </w:r>
      <w:r>
        <w:rPr>
          <w:rFonts w:ascii="Arial" w:cs="Arial" w:eastAsia="Arial" w:hAnsi="Arial"/>
          <w:sz w:val="18"/>
          <w:szCs w:val="18"/>
          <w:color w:val="auto"/>
        </w:rPr>
        <w:t xml:space="preserve"> with less emphasis on shorter-term performance opportunities;</w:t>
      </w:r>
    </w:p>
    <w:p>
      <w:pPr>
        <w:spacing w:after="0" w:line="64" w:lineRule="exact"/>
        <w:rPr>
          <w:rFonts w:ascii="MS PGothic" w:cs="MS PGothic" w:eastAsia="MS PGothic" w:hAnsi="MS PGothic"/>
          <w:sz w:val="18"/>
          <w:szCs w:val="18"/>
          <w:color w:val="28910A"/>
        </w:rPr>
      </w:pPr>
    </w:p>
    <w:p>
      <w:pPr>
        <w:ind w:left="600" w:hanging="433"/>
        <w:spacing w:after="0"/>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component of each executive’s compensation is </w:t>
      </w:r>
      <w:r>
        <w:rPr>
          <w:rFonts w:ascii="Arial" w:cs="Arial" w:eastAsia="Arial" w:hAnsi="Arial"/>
          <w:sz w:val="18"/>
          <w:szCs w:val="18"/>
          <w:b w:val="1"/>
          <w:bCs w:val="1"/>
          <w:color w:val="auto"/>
        </w:rPr>
        <w:t>fixed</w:t>
      </w:r>
      <w:r>
        <w:rPr>
          <w:rFonts w:ascii="Arial" w:cs="Arial" w:eastAsia="Arial" w:hAnsi="Arial"/>
          <w:sz w:val="18"/>
          <w:szCs w:val="18"/>
          <w:color w:val="auto"/>
        </w:rPr>
        <w:t>;</w:t>
      </w:r>
    </w:p>
    <w:p>
      <w:pPr>
        <w:spacing w:after="0" w:line="127" w:lineRule="exact"/>
        <w:rPr>
          <w:rFonts w:ascii="MS PGothic" w:cs="MS PGothic" w:eastAsia="MS PGothic" w:hAnsi="MS PGothic"/>
          <w:sz w:val="18"/>
          <w:szCs w:val="18"/>
          <w:color w:val="28910A"/>
        </w:rPr>
      </w:pPr>
    </w:p>
    <w:p>
      <w:pPr>
        <w:ind w:left="600" w:hanging="433"/>
        <w:spacing w:after="0" w:line="265"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HR Committee annually reviews and determines award design</w:t>
      </w:r>
      <w:r>
        <w:rPr>
          <w:rFonts w:ascii="Arial" w:cs="Arial" w:eastAsia="Arial" w:hAnsi="Arial"/>
          <w:sz w:val="18"/>
          <w:szCs w:val="18"/>
          <w:color w:val="auto"/>
        </w:rPr>
        <w:t xml:space="preserve"> and there are </w:t>
      </w:r>
      <w:r>
        <w:rPr>
          <w:rFonts w:ascii="Arial" w:cs="Arial" w:eastAsia="Arial" w:hAnsi="Arial"/>
          <w:sz w:val="18"/>
          <w:szCs w:val="18"/>
          <w:b w:val="1"/>
          <w:bCs w:val="1"/>
          <w:color w:val="auto"/>
        </w:rPr>
        <w:t>principles and processes with management</w:t>
      </w:r>
      <w:r>
        <w:rPr>
          <w:rFonts w:ascii="Arial" w:cs="Arial" w:eastAsia="Arial" w:hAnsi="Arial"/>
          <w:sz w:val="18"/>
          <w:szCs w:val="18"/>
          <w:color w:val="auto"/>
        </w:rPr>
        <w:t xml:space="preserve"> for approving design changes and performance goals;</w:t>
      </w:r>
    </w:p>
    <w:p>
      <w:pPr>
        <w:spacing w:after="0" w:line="64" w:lineRule="exact"/>
        <w:rPr>
          <w:rFonts w:ascii="MS PGothic" w:cs="MS PGothic" w:eastAsia="MS PGothic" w:hAnsi="MS PGothic"/>
          <w:sz w:val="18"/>
          <w:szCs w:val="18"/>
          <w:color w:val="28910A"/>
        </w:rPr>
      </w:pPr>
    </w:p>
    <w:p>
      <w:pPr>
        <w:ind w:left="600" w:right="140" w:hanging="433"/>
        <w:spacing w:after="0" w:line="249"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The HR Committee reviews </w:t>
      </w:r>
      <w:r>
        <w:rPr>
          <w:rFonts w:ascii="Arial" w:cs="Arial" w:eastAsia="Arial" w:hAnsi="Arial"/>
          <w:sz w:val="18"/>
          <w:szCs w:val="18"/>
          <w:b w:val="1"/>
          <w:bCs w:val="1"/>
          <w:color w:val="auto"/>
        </w:rPr>
        <w:t>performance criteria</w:t>
      </w:r>
      <w:r>
        <w:rPr>
          <w:rFonts w:ascii="Arial" w:cs="Arial" w:eastAsia="Arial" w:hAnsi="Arial"/>
          <w:sz w:val="18"/>
          <w:szCs w:val="18"/>
          <w:color w:val="auto"/>
        </w:rPr>
        <w:t xml:space="preserve"> for financial metrics used in our incentive awards, including threshold, target and maximum amounts, to ensure that they are challenging, but achievable. Performance criteria are in alignment with the company’s strategic objectives;</w:t>
      </w:r>
    </w:p>
    <w:p>
      <w:pPr>
        <w:spacing w:after="0" w:line="77" w:lineRule="exact"/>
        <w:rPr>
          <w:rFonts w:ascii="MS PGothic" w:cs="MS PGothic" w:eastAsia="MS PGothic" w:hAnsi="MS PGothic"/>
          <w:sz w:val="18"/>
          <w:szCs w:val="18"/>
          <w:color w:val="28910A"/>
        </w:rPr>
      </w:pPr>
    </w:p>
    <w:p>
      <w:pPr>
        <w:ind w:left="600" w:right="20" w:hanging="433"/>
        <w:spacing w:after="0" w:line="265"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Our incentive awards utilize a number of </w:t>
      </w:r>
      <w:r>
        <w:rPr>
          <w:rFonts w:ascii="Arial" w:cs="Arial" w:eastAsia="Arial" w:hAnsi="Arial"/>
          <w:sz w:val="18"/>
          <w:szCs w:val="18"/>
          <w:b w:val="1"/>
          <w:bCs w:val="1"/>
          <w:color w:val="auto"/>
        </w:rPr>
        <w:t>different financial performance measures</w:t>
      </w:r>
      <w:r>
        <w:rPr>
          <w:rFonts w:ascii="Arial" w:cs="Arial" w:eastAsia="Arial" w:hAnsi="Arial"/>
          <w:sz w:val="18"/>
          <w:szCs w:val="18"/>
          <w:color w:val="auto"/>
        </w:rPr>
        <w:t xml:space="preserve"> and do not rely on a single metric. Each metric has a threshold, target and maximum performance target with pre-defined payout amounts;</w:t>
      </w:r>
    </w:p>
    <w:p>
      <w:pPr>
        <w:spacing w:after="0" w:line="64" w:lineRule="exact"/>
        <w:rPr>
          <w:rFonts w:ascii="MS PGothic" w:cs="MS PGothic" w:eastAsia="MS PGothic" w:hAnsi="MS PGothic"/>
          <w:sz w:val="18"/>
          <w:szCs w:val="18"/>
          <w:color w:val="28910A"/>
        </w:rPr>
      </w:pPr>
    </w:p>
    <w:p>
      <w:pPr>
        <w:ind w:left="600" w:right="520" w:hanging="433"/>
        <w:spacing w:after="0" w:line="277"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Our annual incentive awards and PRSUs issued as part of long-term incentive awards have </w:t>
      </w:r>
      <w:r>
        <w:rPr>
          <w:rFonts w:ascii="Arial" w:cs="Arial" w:eastAsia="Arial" w:hAnsi="Arial"/>
          <w:sz w:val="18"/>
          <w:szCs w:val="18"/>
          <w:b w:val="1"/>
          <w:bCs w:val="1"/>
          <w:color w:val="auto"/>
        </w:rPr>
        <w:t>caps for the maximum potential</w:t>
      </w:r>
      <w:r>
        <w:rPr>
          <w:rFonts w:ascii="Arial" w:cs="Arial" w:eastAsia="Arial" w:hAnsi="Arial"/>
          <w:sz w:val="18"/>
          <w:szCs w:val="18"/>
          <w:color w:val="auto"/>
        </w:rPr>
        <w:t xml:space="preserve"> </w:t>
      </w:r>
      <w:r>
        <w:rPr>
          <w:rFonts w:ascii="Arial" w:cs="Arial" w:eastAsia="Arial" w:hAnsi="Arial"/>
          <w:sz w:val="18"/>
          <w:szCs w:val="18"/>
          <w:b w:val="1"/>
          <w:bCs w:val="1"/>
          <w:color w:val="auto"/>
        </w:rPr>
        <w:t>payouts</w:t>
      </w:r>
      <w:r>
        <w:rPr>
          <w:rFonts w:ascii="Arial" w:cs="Arial" w:eastAsia="Arial" w:hAnsi="Arial"/>
          <w:sz w:val="18"/>
          <w:szCs w:val="18"/>
          <w:color w:val="auto"/>
        </w:rPr>
        <w:t>;</w:t>
      </w:r>
    </w:p>
    <w:p>
      <w:pPr>
        <w:spacing w:after="0" w:line="43" w:lineRule="exact"/>
        <w:rPr>
          <w:rFonts w:ascii="MS PGothic" w:cs="MS PGothic" w:eastAsia="MS PGothic" w:hAnsi="MS PGothic"/>
          <w:sz w:val="18"/>
          <w:szCs w:val="18"/>
          <w:color w:val="28910A"/>
        </w:rPr>
      </w:pPr>
    </w:p>
    <w:p>
      <w:pPr>
        <w:ind w:left="600" w:right="220" w:hanging="433"/>
        <w:spacing w:after="0" w:line="265"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HR Committee has authority</w:t>
      </w:r>
      <w:r>
        <w:rPr>
          <w:rFonts w:ascii="Arial" w:cs="Arial" w:eastAsia="Arial" w:hAnsi="Arial"/>
          <w:sz w:val="18"/>
          <w:szCs w:val="18"/>
          <w:color w:val="auto"/>
        </w:rPr>
        <w:t xml:space="preserve"> to make fairness-related and other adjustments to performance award opportunities that it may deem appropriate to reflect the quality of results;</w:t>
      </w:r>
    </w:p>
    <w:p>
      <w:pPr>
        <w:spacing w:after="0" w:line="64" w:lineRule="exact"/>
        <w:rPr>
          <w:rFonts w:ascii="MS PGothic" w:cs="MS PGothic" w:eastAsia="MS PGothic" w:hAnsi="MS PGothic"/>
          <w:sz w:val="18"/>
          <w:szCs w:val="18"/>
          <w:color w:val="28910A"/>
        </w:rPr>
      </w:pPr>
    </w:p>
    <w:p>
      <w:pPr>
        <w:ind w:left="600" w:right="40" w:hanging="433"/>
        <w:spacing w:after="0" w:line="265"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We have robust </w:t>
      </w:r>
      <w:r>
        <w:rPr>
          <w:rFonts w:ascii="Arial" w:cs="Arial" w:eastAsia="Arial" w:hAnsi="Arial"/>
          <w:sz w:val="18"/>
          <w:szCs w:val="18"/>
          <w:b w:val="1"/>
          <w:bCs w:val="1"/>
          <w:color w:val="auto"/>
        </w:rPr>
        <w:t>share ownership guidelines</w:t>
      </w:r>
      <w:r>
        <w:rPr>
          <w:rFonts w:ascii="Arial" w:cs="Arial" w:eastAsia="Arial" w:hAnsi="Arial"/>
          <w:sz w:val="18"/>
          <w:szCs w:val="18"/>
          <w:color w:val="auto"/>
        </w:rPr>
        <w:t xml:space="preserve"> for our executive officers which further ties their interests to those of our shareholders over the long-term; and</w:t>
      </w:r>
    </w:p>
    <w:p>
      <w:pPr>
        <w:spacing w:after="0" w:line="64" w:lineRule="exact"/>
        <w:rPr>
          <w:rFonts w:ascii="MS PGothic" w:cs="MS PGothic" w:eastAsia="MS PGothic" w:hAnsi="MS PGothic"/>
          <w:sz w:val="18"/>
          <w:szCs w:val="18"/>
          <w:color w:val="28910A"/>
        </w:rPr>
      </w:pPr>
    </w:p>
    <w:p>
      <w:pPr>
        <w:ind w:left="600" w:right="280" w:hanging="433"/>
        <w:spacing w:after="0" w:line="265" w:lineRule="auto"/>
        <w:tabs>
          <w:tab w:leader="none" w:pos="600" w:val="left"/>
        </w:tabs>
        <w:numPr>
          <w:ilvl w:val="0"/>
          <w:numId w:val="33"/>
        </w:numPr>
        <w:rPr>
          <w:rFonts w:ascii="MS PGothic" w:cs="MS PGothic" w:eastAsia="MS PGothic" w:hAnsi="MS PGothic"/>
          <w:sz w:val="18"/>
          <w:szCs w:val="18"/>
          <w:color w:val="28910A"/>
        </w:rPr>
      </w:pPr>
      <w:r>
        <w:rPr>
          <w:rFonts w:ascii="Arial" w:cs="Arial" w:eastAsia="Arial" w:hAnsi="Arial"/>
          <w:sz w:val="18"/>
          <w:szCs w:val="18"/>
          <w:color w:val="auto"/>
        </w:rPr>
        <w:t xml:space="preserve">We have two </w:t>
      </w:r>
      <w:r>
        <w:rPr>
          <w:rFonts w:ascii="Arial" w:cs="Arial" w:eastAsia="Arial" w:hAnsi="Arial"/>
          <w:sz w:val="18"/>
          <w:szCs w:val="18"/>
          <w:b w:val="1"/>
          <w:bCs w:val="1"/>
          <w:color w:val="auto"/>
        </w:rPr>
        <w:t>clawback policies</w:t>
      </w:r>
      <w:r>
        <w:rPr>
          <w:rFonts w:ascii="Arial" w:cs="Arial" w:eastAsia="Arial" w:hAnsi="Arial"/>
          <w:sz w:val="18"/>
          <w:szCs w:val="18"/>
          <w:color w:val="auto"/>
        </w:rPr>
        <w:t xml:space="preserve"> which permit us to seek reimbursement from the CEO and all other executives officers in certain circumstances.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What we don’t do</w:t>
      </w:r>
    </w:p>
    <w:p>
      <w:pPr>
        <w:spacing w:after="0" w:line="109" w:lineRule="exact"/>
        <w:rPr>
          <w:sz w:val="20"/>
          <w:szCs w:val="20"/>
          <w:color w:val="auto"/>
        </w:rPr>
      </w:pPr>
    </w:p>
    <w:p>
      <w:pPr>
        <w:ind w:left="600" w:right="360" w:hanging="433"/>
        <w:spacing w:after="0" w:line="265" w:lineRule="auto"/>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 xml:space="preserve">Executive officers are prohibited from hedging or pledging </w:t>
      </w:r>
      <w:r>
        <w:rPr>
          <w:rFonts w:ascii="Arial" w:cs="Arial" w:eastAsia="Arial" w:hAnsi="Arial"/>
          <w:sz w:val="18"/>
          <w:szCs w:val="18"/>
          <w:color w:val="auto"/>
        </w:rPr>
        <w:t>company shares (as further discussed later in this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and analysis section);</w:t>
      </w:r>
    </w:p>
    <w:p>
      <w:pPr>
        <w:spacing w:after="0" w:line="64" w:lineRule="exact"/>
        <w:rPr>
          <w:rFonts w:ascii="Arial" w:cs="Arial" w:eastAsia="Arial" w:hAnsi="Arial"/>
          <w:sz w:val="18"/>
          <w:szCs w:val="18"/>
          <w:color w:val="B94831"/>
        </w:rPr>
      </w:pPr>
    </w:p>
    <w:p>
      <w:pPr>
        <w:ind w:left="600" w:hanging="433"/>
        <w:spacing w:after="0"/>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We don’t offer single trigger change of control rights or excise tax gross-up payments;</w:t>
      </w:r>
    </w:p>
    <w:p>
      <w:pPr>
        <w:spacing w:after="0" w:line="113" w:lineRule="exact"/>
        <w:rPr>
          <w:rFonts w:ascii="Arial" w:cs="Arial" w:eastAsia="Arial" w:hAnsi="Arial"/>
          <w:sz w:val="18"/>
          <w:szCs w:val="18"/>
          <w:color w:val="B94831"/>
        </w:rPr>
      </w:pPr>
    </w:p>
    <w:p>
      <w:pPr>
        <w:ind w:left="600" w:hanging="433"/>
        <w:spacing w:after="0"/>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We don’t guarantee minimum payout levels in our incentive plans or minimum vesting for equity awards;</w:t>
      </w:r>
    </w:p>
    <w:p>
      <w:pPr>
        <w:spacing w:after="0" w:line="113" w:lineRule="exact"/>
        <w:rPr>
          <w:rFonts w:ascii="Arial" w:cs="Arial" w:eastAsia="Arial" w:hAnsi="Arial"/>
          <w:sz w:val="18"/>
          <w:szCs w:val="18"/>
          <w:color w:val="B94831"/>
        </w:rPr>
      </w:pPr>
    </w:p>
    <w:p>
      <w:pPr>
        <w:ind w:left="600" w:hanging="433"/>
        <w:spacing w:after="0"/>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We don’t guarantee increases to base salaries or target incentive award opportunities;</w:t>
      </w:r>
    </w:p>
    <w:p>
      <w:pPr>
        <w:spacing w:after="0" w:line="113" w:lineRule="exact"/>
        <w:rPr>
          <w:rFonts w:ascii="Arial" w:cs="Arial" w:eastAsia="Arial" w:hAnsi="Arial"/>
          <w:sz w:val="18"/>
          <w:szCs w:val="18"/>
          <w:color w:val="B94831"/>
        </w:rPr>
      </w:pPr>
    </w:p>
    <w:p>
      <w:pPr>
        <w:ind w:left="600" w:right="300" w:hanging="433"/>
        <w:spacing w:after="0" w:line="277" w:lineRule="auto"/>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We don’t reprice stock options, grant reload stock options or “spring load” equity awards to enable recipients to benefit from the release of confidential information;</w:t>
      </w:r>
    </w:p>
    <w:p>
      <w:pPr>
        <w:spacing w:after="0" w:line="43" w:lineRule="exact"/>
        <w:rPr>
          <w:rFonts w:ascii="Arial" w:cs="Arial" w:eastAsia="Arial" w:hAnsi="Arial"/>
          <w:sz w:val="18"/>
          <w:szCs w:val="18"/>
          <w:color w:val="B94831"/>
        </w:rPr>
      </w:pPr>
    </w:p>
    <w:p>
      <w:pPr>
        <w:ind w:left="600" w:right="640" w:hanging="433"/>
        <w:spacing w:after="0" w:line="277" w:lineRule="auto"/>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We don’t include unvested TRSUs or PRSUs or vested/unvested stock options in the calculation of share ownership guidelines; and</w:t>
      </w:r>
    </w:p>
    <w:p>
      <w:pPr>
        <w:spacing w:after="0" w:line="43" w:lineRule="exact"/>
        <w:rPr>
          <w:rFonts w:ascii="Arial" w:cs="Arial" w:eastAsia="Arial" w:hAnsi="Arial"/>
          <w:sz w:val="18"/>
          <w:szCs w:val="18"/>
          <w:color w:val="B94831"/>
        </w:rPr>
      </w:pPr>
    </w:p>
    <w:p>
      <w:pPr>
        <w:ind w:left="600" w:hanging="433"/>
        <w:spacing w:after="0"/>
        <w:tabs>
          <w:tab w:leader="none" w:pos="600" w:val="left"/>
        </w:tabs>
        <w:numPr>
          <w:ilvl w:val="0"/>
          <w:numId w:val="34"/>
        </w:numPr>
        <w:rPr>
          <w:rFonts w:ascii="Arial" w:cs="Arial" w:eastAsia="Arial" w:hAnsi="Arial"/>
          <w:sz w:val="18"/>
          <w:szCs w:val="18"/>
          <w:color w:val="B94831"/>
        </w:rPr>
      </w:pPr>
      <w:r>
        <w:rPr>
          <w:rFonts w:ascii="Arial" w:cs="Arial" w:eastAsia="Arial" w:hAnsi="Arial"/>
          <w:sz w:val="18"/>
          <w:szCs w:val="18"/>
          <w:b w:val="1"/>
          <w:bCs w:val="1"/>
          <w:color w:val="auto"/>
        </w:rPr>
        <w:t>We don’t offer excessive perquisites.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HR Committee assesses compensation risk on an annual basis as part of its oversight of executive compensation.</w:t>
      </w:r>
    </w:p>
    <w:p>
      <w:pPr>
        <w:spacing w:after="0" w:line="101" w:lineRule="exact"/>
        <w:rPr>
          <w:sz w:val="20"/>
          <w:szCs w:val="20"/>
          <w:color w:val="auto"/>
        </w:rPr>
      </w:pPr>
    </w:p>
    <w:p>
      <w:pPr>
        <w:ind w:left="160" w:right="260"/>
        <w:spacing w:after="0" w:line="307" w:lineRule="auto"/>
        <w:rPr>
          <w:sz w:val="20"/>
          <w:szCs w:val="20"/>
          <w:color w:val="auto"/>
        </w:rPr>
      </w:pPr>
      <w:r>
        <w:rPr>
          <w:rFonts w:ascii="Arial" w:cs="Arial" w:eastAsia="Arial" w:hAnsi="Arial"/>
          <w:sz w:val="17"/>
          <w:szCs w:val="17"/>
          <w:color w:val="auto"/>
        </w:rPr>
        <w:t xml:space="preserve">For more information about risks that we believe are material to our company, please see the “Risk Factors” section of our 2023 annual report, which is available on our website at </w:t>
      </w:r>
      <w:r>
        <w:rPr>
          <w:rFonts w:ascii="Arial" w:cs="Arial" w:eastAsia="Arial" w:hAnsi="Arial"/>
          <w:sz w:val="17"/>
          <w:szCs w:val="17"/>
          <w:b w:val="1"/>
          <w:bCs w:val="1"/>
          <w:color w:val="335367"/>
        </w:rPr>
        <w:t>www.thomsonreuters.com</w:t>
      </w:r>
      <w:r>
        <w:rPr>
          <w:rFonts w:ascii="Arial" w:cs="Arial" w:eastAsia="Arial" w:hAnsi="Arial"/>
          <w:sz w:val="17"/>
          <w:szCs w:val="17"/>
          <w:color w:val="auto"/>
        </w:rPr>
        <w:t xml:space="preserve">, as well as on </w:t>
      </w:r>
      <w:r>
        <w:rPr>
          <w:rFonts w:ascii="Arial" w:cs="Arial" w:eastAsia="Arial" w:hAnsi="Arial"/>
          <w:sz w:val="17"/>
          <w:szCs w:val="17"/>
          <w:b w:val="1"/>
          <w:bCs w:val="1"/>
          <w:color w:val="335367"/>
        </w:rPr>
        <w:t>www.sedarplus.ca</w:t>
      </w:r>
      <w:r>
        <w:rPr>
          <w:rFonts w:ascii="Arial" w:cs="Arial" w:eastAsia="Arial" w:hAnsi="Arial"/>
          <w:sz w:val="17"/>
          <w:szCs w:val="17"/>
          <w:color w:val="auto"/>
        </w:rPr>
        <w:t xml:space="preserve"> and </w:t>
      </w:r>
      <w:r>
        <w:rPr>
          <w:rFonts w:ascii="Arial" w:cs="Arial" w:eastAsia="Arial" w:hAnsi="Arial"/>
          <w:sz w:val="17"/>
          <w:szCs w:val="17"/>
          <w:b w:val="1"/>
          <w:bCs w:val="1"/>
          <w:color w:val="335367"/>
        </w:rPr>
        <w:t>www.sec.gov</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336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ectPr>
          <w:pgSz w:w="11900" w:h="16838" w:orient="portrait"/>
          <w:cols w:equalWidth="0" w:num="1">
            <w:col w:w="11060"/>
          </w:cols>
          <w:pgMar w:left="320" w:top="454" w:right="519" w:bottom="1440" w:gutter="0" w:footer="0" w:header="0"/>
        </w:sect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70   Management Proxy Circular and Notice of Annual Meeting of Shareholders</w:t>
      </w:r>
    </w:p>
    <w:p>
      <w:pPr>
        <w:sectPr>
          <w:pgSz w:w="11900" w:h="16838" w:orient="portrait"/>
          <w:cols w:equalWidth="0" w:num="1">
            <w:col w:w="11060"/>
          </w:cols>
          <w:pgMar w:left="320" w:top="454" w:right="51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2023 Compensation</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2023, the HR Committee reviewed and approved the compensation for our named executive officers.</w:t>
      </w:r>
    </w:p>
    <w:p>
      <w:pPr>
        <w:spacing w:after="0" w:line="110" w:lineRule="exact"/>
        <w:rPr>
          <w:sz w:val="20"/>
          <w:szCs w:val="20"/>
          <w:color w:val="auto"/>
        </w:rPr>
      </w:pPr>
    </w:p>
    <w:p>
      <w:pPr>
        <w:ind w:left="480" w:right="280" w:hanging="313"/>
        <w:spacing w:after="0" w:line="239" w:lineRule="auto"/>
        <w:tabs>
          <w:tab w:leader="none" w:pos="480" w:val="left"/>
        </w:tabs>
        <w:numPr>
          <w:ilvl w:val="0"/>
          <w:numId w:val="35"/>
        </w:numPr>
        <w:rPr>
          <w:rFonts w:ascii="Times New Roman" w:cs="Times New Roman" w:eastAsia="Times New Roman" w:hAnsi="Times New Roman"/>
          <w:sz w:val="20"/>
          <w:szCs w:val="20"/>
          <w:color w:val="B94831"/>
        </w:rPr>
      </w:pPr>
      <w:r>
        <w:rPr>
          <w:rFonts w:ascii="Arial" w:cs="Arial" w:eastAsia="Arial" w:hAnsi="Arial"/>
          <w:sz w:val="18"/>
          <w:szCs w:val="18"/>
          <w:color w:val="auto"/>
        </w:rPr>
        <w:t>In connection with determining 2023 compensation packages for our CEO and CFO, the Chair of the HR Committee consulted with the HR Committee’s independent compensation consultant and our Chief People Officer, Mary Alice Vuicic.</w:t>
      </w:r>
    </w:p>
    <w:p>
      <w:pPr>
        <w:spacing w:after="0" w:line="86" w:lineRule="exact"/>
        <w:rPr>
          <w:rFonts w:ascii="Times New Roman" w:cs="Times New Roman" w:eastAsia="Times New Roman" w:hAnsi="Times New Roman"/>
          <w:sz w:val="20"/>
          <w:szCs w:val="20"/>
          <w:color w:val="B94831"/>
        </w:rPr>
      </w:pPr>
    </w:p>
    <w:p>
      <w:pPr>
        <w:ind w:left="480" w:right="120" w:hanging="313"/>
        <w:spacing w:after="0" w:line="234" w:lineRule="auto"/>
        <w:tabs>
          <w:tab w:leader="none" w:pos="480" w:val="left"/>
        </w:tabs>
        <w:numPr>
          <w:ilvl w:val="0"/>
          <w:numId w:val="35"/>
        </w:numPr>
        <w:rPr>
          <w:rFonts w:ascii="Times New Roman" w:cs="Times New Roman" w:eastAsia="Times New Roman" w:hAnsi="Times New Roman"/>
          <w:sz w:val="20"/>
          <w:szCs w:val="20"/>
          <w:color w:val="B94831"/>
        </w:rPr>
      </w:pPr>
      <w:r>
        <w:rPr>
          <w:rFonts w:ascii="Arial" w:cs="Arial" w:eastAsia="Arial" w:hAnsi="Arial"/>
          <w:sz w:val="18"/>
          <w:szCs w:val="18"/>
          <w:color w:val="auto"/>
        </w:rPr>
        <w:t>Our CEO initially made recommendations to the HR Committee regarding the proposed 2023 compensation arrangements for our executive officers (other than the CEO). Steve Hasker and Mary Alice Vuicic considered each individual’s actual performance during the prior year, the competitiveness of each individual’s compensation, and external compensation trends and developments. Management also provided the HR Committee with its recommendations for structuring 2023 annual and long-term incentive awards. In making recommendations to the HR Committee, management proposed a compensation program that supports our pay for performance philosophy without encouraging unnecessary or excessive risk taking by management.</w:t>
      </w:r>
    </w:p>
    <w:p>
      <w:pPr>
        <w:spacing w:after="0" w:line="90" w:lineRule="exact"/>
        <w:rPr>
          <w:rFonts w:ascii="Times New Roman" w:cs="Times New Roman" w:eastAsia="Times New Roman" w:hAnsi="Times New Roman"/>
          <w:sz w:val="20"/>
          <w:szCs w:val="20"/>
          <w:color w:val="B94831"/>
        </w:rPr>
      </w:pPr>
    </w:p>
    <w:p>
      <w:pPr>
        <w:ind w:left="480" w:right="120" w:hanging="313"/>
        <w:spacing w:after="0" w:line="235" w:lineRule="auto"/>
        <w:tabs>
          <w:tab w:leader="none" w:pos="480" w:val="left"/>
        </w:tabs>
        <w:numPr>
          <w:ilvl w:val="0"/>
          <w:numId w:val="35"/>
        </w:numPr>
        <w:rPr>
          <w:rFonts w:ascii="Times New Roman" w:cs="Times New Roman" w:eastAsia="Times New Roman" w:hAnsi="Times New Roman"/>
          <w:sz w:val="20"/>
          <w:szCs w:val="20"/>
          <w:color w:val="B94831"/>
        </w:rPr>
      </w:pPr>
      <w:r>
        <w:rPr>
          <w:rFonts w:ascii="Arial" w:cs="Arial" w:eastAsia="Arial" w:hAnsi="Arial"/>
          <w:sz w:val="18"/>
          <w:szCs w:val="18"/>
          <w:color w:val="auto"/>
        </w:rPr>
        <w:t>As part of its analysis and decision-making process, the HR Committee received a summary of performance assessments for our named executive officers. The HR Committee also received executive pay comparisons to assess proposed arrangements between individual executives and against applicable market position. This information included base salary, annual incentive award (target as a percentage of salary), long-term incentive award (target as a percentage of salary) and target total direct compensation for each individual.</w:t>
      </w:r>
    </w:p>
    <w:p>
      <w:pPr>
        <w:spacing w:after="0" w:line="87" w:lineRule="exact"/>
        <w:rPr>
          <w:rFonts w:ascii="Times New Roman" w:cs="Times New Roman" w:eastAsia="Times New Roman" w:hAnsi="Times New Roman"/>
          <w:sz w:val="20"/>
          <w:szCs w:val="20"/>
          <w:color w:val="B94831"/>
        </w:rPr>
      </w:pPr>
    </w:p>
    <w:p>
      <w:pPr>
        <w:ind w:left="480" w:right="100" w:hanging="313"/>
        <w:spacing w:after="0" w:line="267" w:lineRule="auto"/>
        <w:tabs>
          <w:tab w:leader="none" w:pos="480" w:val="left"/>
        </w:tabs>
        <w:numPr>
          <w:ilvl w:val="0"/>
          <w:numId w:val="35"/>
        </w:numPr>
        <w:rPr>
          <w:rFonts w:ascii="Times New Roman" w:cs="Times New Roman" w:eastAsia="Times New Roman" w:hAnsi="Times New Roman"/>
          <w:sz w:val="19"/>
          <w:szCs w:val="19"/>
          <w:color w:val="B94831"/>
        </w:rPr>
      </w:pPr>
      <w:r>
        <w:rPr>
          <w:rFonts w:ascii="Arial" w:cs="Arial" w:eastAsia="Arial" w:hAnsi="Arial"/>
          <w:sz w:val="17"/>
          <w:szCs w:val="17"/>
          <w:color w:val="auto"/>
        </w:rPr>
        <w:t>Following its review of the information mentioned above and using its own judgment, the HR Committee recommended 2023 compensation arrangements for each executive officer to the Board, which made the final approval decisions for these arrangements.</w:t>
      </w:r>
    </w:p>
    <w:p>
      <w:pPr>
        <w:spacing w:after="0" w:line="48"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Additional information about each named executive officer’s individual 2023 compensation arrangement and individual performance during the year is provided later in this section.</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Base Salary</w:t>
      </w:r>
    </w:p>
    <w:p>
      <w:pPr>
        <w:spacing w:after="0" w:line="51" w:lineRule="exact"/>
        <w:rPr>
          <w:sz w:val="20"/>
          <w:szCs w:val="20"/>
          <w:color w:val="auto"/>
        </w:rPr>
      </w:pPr>
    </w:p>
    <w:p>
      <w:pPr>
        <w:jc w:val="both"/>
        <w:ind w:left="160" w:right="380"/>
        <w:spacing w:after="0" w:line="249" w:lineRule="auto"/>
        <w:rPr>
          <w:sz w:val="20"/>
          <w:szCs w:val="20"/>
          <w:color w:val="auto"/>
        </w:rPr>
      </w:pPr>
      <w:r>
        <w:rPr>
          <w:rFonts w:ascii="Arial" w:cs="Arial" w:eastAsia="Arial" w:hAnsi="Arial"/>
          <w:sz w:val="18"/>
          <w:szCs w:val="18"/>
          <w:color w:val="auto"/>
        </w:rPr>
        <w:t>Base salary is typically determined annually by reference to an executive’s individual performance and experience and our company’s financial performance, as well as competitive considerations, such as salaries prevailing in the relevant market. Base salaries are also evaluated in connection with promotions and other changes in job responsibilities.</w:t>
      </w:r>
    </w:p>
    <w:p>
      <w:pPr>
        <w:spacing w:after="0" w:line="65"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The HR Committee establishes the CEO’s base salary and considers any increases to the base salaries of our other named executive officers based on the CEO’s recommendations for each individual. In addition to the considerations described above, the HR Committee also reviews any applicable merit increase guidelines established for our employees.</w:t>
      </w:r>
    </w:p>
    <w:p>
      <w:pPr>
        <w:spacing w:after="0" w:line="65"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2023, our company’s annual merit increase budget for Canadian, Swiss and U.S. employee base salaries was approximately 2.9%, 2.3% and 3.1%, respectively (effective on April 1 of the year). In March 2023, the HR Committee evaluated the current market position of our named executive officers’ compensation and approved an increase to Mike Eastwood’s base salary to align his pay with the market. There were no changes for the other named executive officers’ 2023 base salaries. Base salaries for each of our named executive officers are described later in this section of the circular. FW Cook was consulted in connection with this compensation evaluation.</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Annual Incentive Awards</w:t>
      </w:r>
    </w:p>
    <w:p>
      <w:pPr>
        <w:spacing w:after="0" w:line="42" w:lineRule="exact"/>
        <w:rPr>
          <w:sz w:val="20"/>
          <w:szCs w:val="20"/>
          <w:color w:val="auto"/>
        </w:rPr>
      </w:pPr>
    </w:p>
    <w:p>
      <w:pPr>
        <w:jc w:val="both"/>
        <w:ind w:left="160" w:right="40"/>
        <w:spacing w:after="0" w:line="246" w:lineRule="auto"/>
        <w:rPr>
          <w:sz w:val="20"/>
          <w:szCs w:val="20"/>
          <w:color w:val="auto"/>
        </w:rPr>
      </w:pPr>
      <w:r>
        <w:rPr>
          <w:rFonts w:ascii="Arial" w:cs="Arial" w:eastAsia="Arial" w:hAnsi="Arial"/>
          <w:sz w:val="18"/>
          <w:szCs w:val="18"/>
          <w:color w:val="auto"/>
        </w:rPr>
        <w:t>We provide an annual, cash-based incentive award opportunity to each of our named executive officers which is based on our company’s actual financial performance compared to our annual operating plan for the year and an assessment of individual performance against key strategic objectives.</w:t>
      </w:r>
    </w:p>
    <w:p>
      <w:pPr>
        <w:spacing w:after="0" w:line="67"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color w:val="auto"/>
        </w:rPr>
        <w:t>Each named executive officer’s annual incentive award has a target that is expressed as a percentage of base salary. In setting target percentages, the HR Committee considers factors such as an executive’s position and responsibilities as well as competitive considerations identified through compensation benchmarking.</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fourth quarter of 2022, senior executives from our businesses met with our CEO, CFO and other corporate executives to discuss the 2023 operating plan, including specific objectives and targets for the plan. In developing our operating plan, management considered various factors related to our operations, products/services, competition, and economic and market conditions in the countries where we operate. Our Board of Directors then met with senior management in the first quarter of 2023 to review, discuss and approve the final version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71</w:t>
      </w:r>
    </w:p>
    <w:p>
      <w:pPr>
        <w:sectPr>
          <w:pgSz w:w="11900" w:h="16838" w:orient="portrait"/>
          <w:cols w:equalWidth="0" w:num="1">
            <w:col w:w="11080"/>
          </w:cols>
          <w:pgMar w:left="320" w:top="454"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After meeting with management in the first quarter of 2023, the HR Committee decided that 2023 annual incentive awards for our named executive officers would continue to be weighted as follows based 100% on Thomson Reuters’ consolidated results. We believe that a bonus pool funded based on total Thomson Reuters performance promotes teamwork and enables enterprise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24796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2479675"/>
                    </a:xfrm>
                    <a:prstGeom prst="rect">
                      <a:avLst/>
                    </a:prstGeom>
                    <a:noFill/>
                  </pic:spPr>
                </pic:pic>
              </a:graphicData>
            </a:graphic>
          </wp:anchor>
        </w:drawing>
      </w:r>
    </w:p>
    <w:p>
      <w:pPr>
        <w:spacing w:after="0" w:line="247" w:lineRule="exact"/>
        <w:rPr>
          <w:sz w:val="20"/>
          <w:szCs w:val="20"/>
          <w:color w:val="auto"/>
        </w:rPr>
      </w:pPr>
    </w:p>
    <w:p>
      <w:pPr>
        <w:ind w:left="7140"/>
        <w:spacing w:after="0"/>
        <w:rPr>
          <w:sz w:val="20"/>
          <w:szCs w:val="20"/>
          <w:color w:val="auto"/>
        </w:rPr>
      </w:pPr>
      <w:r>
        <w:rPr>
          <w:rFonts w:ascii="Arial" w:cs="Arial" w:eastAsia="Arial" w:hAnsi="Arial"/>
          <w:sz w:val="15"/>
          <w:szCs w:val="15"/>
          <w:b w:val="1"/>
          <w:bCs w:val="1"/>
          <w:color w:val="FFFFFF"/>
        </w:rPr>
        <w:t>Rationale for financial metric</w:t>
      </w:r>
    </w:p>
    <w:p>
      <w:pPr>
        <w:spacing w:after="0" w:line="49" w:lineRule="exact"/>
        <w:rPr>
          <w:sz w:val="20"/>
          <w:szCs w:val="20"/>
          <w:color w:val="auto"/>
        </w:rPr>
      </w:pPr>
    </w:p>
    <w:p>
      <w:pPr>
        <w:ind w:left="528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xml:space="preserve"> </w:t>
      </w:r>
      <w:r>
        <w:rPr>
          <w:rFonts w:ascii="Arial" w:cs="Arial" w:eastAsia="Arial" w:hAnsi="Arial"/>
          <w:sz w:val="14"/>
          <w:szCs w:val="14"/>
          <w:b w:val="1"/>
          <w:bCs w:val="1"/>
          <w:color w:val="auto"/>
        </w:rPr>
        <w:t>organic revenue growth</w:t>
      </w:r>
    </w:p>
    <w:p>
      <w:pPr>
        <w:ind w:left="5280" w:right="40"/>
        <w:spacing w:after="0" w:line="242" w:lineRule="auto"/>
        <w:rPr>
          <w:sz w:val="20"/>
          <w:szCs w:val="20"/>
          <w:color w:val="auto"/>
        </w:rPr>
      </w:pPr>
      <w:r>
        <w:rPr>
          <w:rFonts w:ascii="Arial" w:cs="Arial" w:eastAsia="Arial" w:hAnsi="Arial"/>
          <w:sz w:val="14"/>
          <w:szCs w:val="14"/>
          <w:color w:val="auto"/>
        </w:rPr>
        <w:t>We use organic revenues because it measures growth of our existing businesses at constant currency (or excluding the effects of currency), and excludes the distortive impacts of acquisitions and dispositions from not owning a business in both comparable periods. Organic revenues are generated from the sale of products and services, including recurring revenues (subscriptions), transactions revenues (volume-based fees, software licenses, and professional service fees), and Print revenues. This performance metric is important to us because is serves as a measure of our ability to grow our business over the long term.</w:t>
      </w:r>
    </w:p>
    <w:p>
      <w:pPr>
        <w:ind w:left="5280"/>
        <w:spacing w:after="0" w:line="181"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xml:space="preserve"> </w:t>
      </w:r>
      <w:r>
        <w:rPr>
          <w:rFonts w:ascii="Arial" w:cs="Arial" w:eastAsia="Arial" w:hAnsi="Arial"/>
          <w:sz w:val="14"/>
          <w:szCs w:val="14"/>
          <w:b w:val="1"/>
          <w:bCs w:val="1"/>
          <w:color w:val="auto"/>
        </w:rPr>
        <w:t>adjusted EBITDA less accrued capital expenditures</w:t>
      </w:r>
    </w:p>
    <w:p>
      <w:pPr>
        <w:spacing w:after="0" w:line="1" w:lineRule="exact"/>
        <w:rPr>
          <w:sz w:val="20"/>
          <w:szCs w:val="20"/>
          <w:color w:val="auto"/>
        </w:rPr>
      </w:pPr>
    </w:p>
    <w:p>
      <w:pPr>
        <w:ind w:left="5280" w:right="20"/>
        <w:spacing w:after="0" w:line="243" w:lineRule="auto"/>
        <w:rPr>
          <w:sz w:val="20"/>
          <w:szCs w:val="20"/>
          <w:color w:val="auto"/>
        </w:rPr>
      </w:pPr>
      <w:r>
        <w:rPr>
          <w:rFonts w:ascii="Arial" w:cs="Arial" w:eastAsia="Arial" w:hAnsi="Arial"/>
          <w:sz w:val="14"/>
          <w:szCs w:val="14"/>
          <w:color w:val="auto"/>
        </w:rPr>
        <w:t>We use adjusted EBITDA less accrued capital expenditures (referred to internally as “cash OI”) because it provides a basis for evaluating the operating profitability and capital intensity of our business in a single measure. This measure captures investments regardless of whether they are expensed or capitalized. This performance metric is important to us because we focus on spending and investing in ways that are designed to enable our long-term growth potential.</w:t>
      </w:r>
    </w:p>
    <w:p>
      <w:pPr>
        <w:ind w:left="5280"/>
        <w:spacing w:after="0" w:line="224"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xml:space="preserve"> </w:t>
      </w:r>
      <w:r>
        <w:rPr>
          <w:rFonts w:ascii="Arial" w:cs="Arial" w:eastAsia="Arial" w:hAnsi="Arial"/>
          <w:sz w:val="14"/>
          <w:szCs w:val="14"/>
          <w:b w:val="1"/>
          <w:bCs w:val="1"/>
          <w:color w:val="auto"/>
        </w:rPr>
        <w:t>organic “book of business” or ACV</w:t>
      </w:r>
    </w:p>
    <w:p>
      <w:pPr>
        <w:ind w:left="5280" w:right="100"/>
        <w:spacing w:after="0" w:line="244" w:lineRule="auto"/>
        <w:rPr>
          <w:sz w:val="20"/>
          <w:szCs w:val="20"/>
          <w:color w:val="auto"/>
        </w:rPr>
      </w:pPr>
      <w:r>
        <w:rPr>
          <w:rFonts w:ascii="Arial" w:cs="Arial" w:eastAsia="Arial" w:hAnsi="Arial"/>
          <w:sz w:val="14"/>
          <w:szCs w:val="14"/>
          <w:color w:val="auto"/>
        </w:rPr>
        <w:t>We use organic book of business because it is focused on recurring or subscription-based revenue that customers have contractually agreed to for a period of time, generally 12 consecutive months. This performance metric is important to us because increasing customer relationships that generate recurring revenue and maximizing customer retention are key strategic goals for driving growth.</w:t>
      </w:r>
    </w:p>
    <w:p>
      <w:pPr>
        <w:spacing w:after="0" w:line="148"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The HR Committee believes that these shorter term financial metrics complement metrics reflected in long-term incentive awards and that the addition of an individual performance adjustment tied to strategic objectives provides the appropriate balance between delivering financial results and focusing on key business and functional priorities that position the organization for long-term success.</w:t>
      </w:r>
    </w:p>
    <w:p>
      <w:pPr>
        <w:spacing w:after="0" w:line="65" w:lineRule="exact"/>
        <w:rPr>
          <w:sz w:val="20"/>
          <w:szCs w:val="20"/>
          <w:color w:val="auto"/>
        </w:rPr>
      </w:pPr>
    </w:p>
    <w:p>
      <w:pPr>
        <w:ind w:left="160" w:right="440"/>
        <w:spacing w:after="0" w:line="265" w:lineRule="auto"/>
        <w:rPr>
          <w:sz w:val="20"/>
          <w:szCs w:val="20"/>
          <w:color w:val="auto"/>
        </w:rPr>
      </w:pPr>
      <w:r>
        <w:rPr>
          <w:rFonts w:ascii="Arial" w:cs="Arial" w:eastAsia="Arial" w:hAnsi="Arial"/>
          <w:sz w:val="18"/>
          <w:szCs w:val="18"/>
          <w:color w:val="auto"/>
        </w:rPr>
        <w:t>Potential payouts for 2023 annual incentive awards ranged from 0% to 200% of the target award depending on financial performance against the goals set by the HR Committee at the beginning of the year.</w:t>
      </w:r>
    </w:p>
    <w:p>
      <w:pPr>
        <w:spacing w:after="0" w:line="51" w:lineRule="exact"/>
        <w:rPr>
          <w:sz w:val="20"/>
          <w:szCs w:val="20"/>
          <w:color w:val="auto"/>
        </w:rPr>
      </w:pPr>
    </w:p>
    <w:p>
      <w:pPr>
        <w:ind w:left="160" w:right="240"/>
        <w:spacing w:after="0" w:line="249" w:lineRule="auto"/>
        <w:rPr>
          <w:sz w:val="20"/>
          <w:szCs w:val="20"/>
          <w:color w:val="auto"/>
        </w:rPr>
      </w:pPr>
      <w:r>
        <w:rPr>
          <w:rFonts w:ascii="Arial" w:cs="Arial" w:eastAsia="Arial" w:hAnsi="Arial"/>
          <w:sz w:val="18"/>
          <w:szCs w:val="18"/>
          <w:color w:val="auto"/>
        </w:rPr>
        <w:t>As part of the HR Committee’s design principles for 2023 annual incentive awards, targets and actual results were evaluated on a constant currency basis. In addition, in determining performance, guiding principles approved by the HR Committee for annual incentive awards contemplated adjustments for:</w:t>
      </w:r>
    </w:p>
    <w:p>
      <w:pPr>
        <w:spacing w:after="0" w:line="3" w:lineRule="exact"/>
        <w:rPr>
          <w:sz w:val="20"/>
          <w:szCs w:val="20"/>
          <w:color w:val="auto"/>
        </w:rPr>
      </w:pPr>
    </w:p>
    <w:p>
      <w:pPr>
        <w:ind w:left="700" w:hanging="319"/>
        <w:spacing w:after="0"/>
        <w:tabs>
          <w:tab w:leader="none" w:pos="700" w:val="left"/>
        </w:tabs>
        <w:numPr>
          <w:ilvl w:val="0"/>
          <w:numId w:val="36"/>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Acquisitions and disposals not in our company’s 2023 operating plan;</w:t>
      </w:r>
    </w:p>
    <w:p>
      <w:pPr>
        <w:spacing w:after="0" w:line="117" w:lineRule="exact"/>
        <w:rPr>
          <w:rFonts w:ascii="Times New Roman" w:cs="Times New Roman" w:eastAsia="Times New Roman" w:hAnsi="Times New Roman"/>
          <w:sz w:val="27"/>
          <w:szCs w:val="27"/>
          <w:color w:val="auto"/>
          <w:vertAlign w:val="superscript"/>
        </w:rPr>
      </w:pPr>
    </w:p>
    <w:p>
      <w:pPr>
        <w:ind w:left="700" w:right="220" w:hanging="319"/>
        <w:spacing w:after="0" w:line="193" w:lineRule="auto"/>
        <w:tabs>
          <w:tab w:leader="none" w:pos="700" w:val="left"/>
        </w:tabs>
        <w:numPr>
          <w:ilvl w:val="0"/>
          <w:numId w:val="36"/>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One-time charges (above a specified financial threshold) that were not foreseen in the 2023 operating plan and where the related savings are outside of the plan period;</w:t>
      </w:r>
    </w:p>
    <w:p>
      <w:pPr>
        <w:spacing w:after="0" w:line="87" w:lineRule="exact"/>
        <w:rPr>
          <w:rFonts w:ascii="Times New Roman" w:cs="Times New Roman" w:eastAsia="Times New Roman" w:hAnsi="Times New Roman"/>
          <w:sz w:val="27"/>
          <w:szCs w:val="27"/>
          <w:color w:val="auto"/>
          <w:vertAlign w:val="superscript"/>
        </w:rPr>
      </w:pPr>
    </w:p>
    <w:p>
      <w:pPr>
        <w:ind w:left="700" w:right="340" w:hanging="319"/>
        <w:spacing w:after="0" w:line="202" w:lineRule="auto"/>
        <w:tabs>
          <w:tab w:leader="none" w:pos="700" w:val="left"/>
        </w:tabs>
        <w:numPr>
          <w:ilvl w:val="0"/>
          <w:numId w:val="36"/>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Extraordinary events which were outside of management’s control to the extent that the actual impact differed from original plan assumptions (i.e., the regulatory/tax environment and significant one-time transactions); and</w:t>
      </w:r>
    </w:p>
    <w:p>
      <w:pPr>
        <w:spacing w:after="0" w:line="10" w:lineRule="exact"/>
        <w:rPr>
          <w:rFonts w:ascii="Times New Roman" w:cs="Times New Roman" w:eastAsia="Times New Roman" w:hAnsi="Times New Roman"/>
          <w:sz w:val="27"/>
          <w:szCs w:val="27"/>
          <w:color w:val="auto"/>
          <w:vertAlign w:val="superscript"/>
        </w:rPr>
      </w:pPr>
    </w:p>
    <w:p>
      <w:pPr>
        <w:ind w:left="700" w:hanging="319"/>
        <w:spacing w:after="0"/>
        <w:tabs>
          <w:tab w:leader="none" w:pos="700" w:val="left"/>
        </w:tabs>
        <w:numPr>
          <w:ilvl w:val="0"/>
          <w:numId w:val="36"/>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Changes in accounting practices to make figures comparable to the original 2023 operating plan.</w:t>
      </w:r>
    </w:p>
    <w:p>
      <w:pPr>
        <w:spacing w:after="0" w:line="104"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In January 2024, the HR Committee determined the extent to which our 2023 annual performance targets were met by comparing our unaudited financial results to our performance goals. 2023 results were evaluated using foreign currency exchange rates that were used to prepare our 2023 annual operating plan. This has been a longstanding policy that has consistently been applied to our annual incentive awards.</w:t>
      </w:r>
    </w:p>
    <w:p>
      <w:pPr>
        <w:spacing w:after="0" w:line="74"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color w:val="auto"/>
        </w:rPr>
        <w:t>The following table sets forth information regarding our 2023 minimum, target, maximum and actual performance for the three financial metrics reflected in annual incentive awards granted to our named executive officers, which had a payout of approximately 98% of target. After factoring in the 2023 payout, our five-year average payout is 117%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72 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Full-year 2023 actual results for organic revenue and organic book of business were slightly lower than 2023 target. Full-year 2023 actual result for adjusted EBITDA less accrued capital expenditures was in line with 2023 targets. For 2023 awards, performance for organic revenue growth and adjusted EBITDA less accrued capital expenditures had to be above threshold in order for participants to earn a payout. In addition, if organic revenues or adjusted EBITDA less accrued capital expenditures results did not achieve an applicable minimum growth hurdle, payout for the other metric was capped at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67945</wp:posOffset>
            </wp:positionV>
            <wp:extent cx="5112385" cy="1409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1238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In 2023, Thomson Reuters achieved 6% organic revenue growth. Organic revenue growth benefited from recurring and transactions revenues. The actual performance results indicated in the table above are not directly comparable to similar financial measures that we disclose in our 2023 annual report because they are based on our internal operating plan.</w:t>
      </w:r>
    </w:p>
    <w:p>
      <w:pPr>
        <w:spacing w:after="0" w:line="65" w:lineRule="exact"/>
        <w:rPr>
          <w:sz w:val="20"/>
          <w:szCs w:val="20"/>
          <w:color w:val="auto"/>
        </w:rPr>
      </w:pPr>
    </w:p>
    <w:p>
      <w:pPr>
        <w:ind w:left="160" w:right="60"/>
        <w:spacing w:after="0" w:line="256" w:lineRule="auto"/>
        <w:rPr>
          <w:sz w:val="20"/>
          <w:szCs w:val="20"/>
          <w:color w:val="auto"/>
        </w:rPr>
      </w:pPr>
      <w:r>
        <w:rPr>
          <w:rFonts w:ascii="Arial" w:cs="Arial" w:eastAsia="Arial" w:hAnsi="Arial"/>
          <w:sz w:val="17"/>
          <w:szCs w:val="17"/>
          <w:color w:val="auto"/>
        </w:rPr>
        <w:t>We believe that annual incentive awards are most effective when they are meaningful and clearly differentiate based on individual contributions to business results. As a result, annual incentive award payouts for our named executive officers (other than the CEO) are subject to adjustment based on individual performance and their payouts may be higher or lower than the funded percentage based on an assessment of their individual financial and strategic results and demonstration of Thomson Reuters mindsets and behaviors. To further increase the link between pay for performance, the HR Committee embedded strategic priorities into individual performance evaluations for 2023 awards to increase and formalize the linkage between participants’ impact on our strategic priorities and their award decisions.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CEO and his direct reports had the following strategic priorities embedded in their 2023 performance assessments:</w:t>
      </w:r>
    </w:p>
    <w:p>
      <w:pPr>
        <w:spacing w:after="0" w:line="114" w:lineRule="exact"/>
        <w:rPr>
          <w:sz w:val="20"/>
          <w:szCs w:val="20"/>
          <w:color w:val="auto"/>
        </w:rPr>
      </w:pPr>
    </w:p>
    <w:p>
      <w:pPr>
        <w:ind w:left="700" w:right="220" w:hanging="319"/>
        <w:spacing w:after="0" w:line="202" w:lineRule="auto"/>
        <w:tabs>
          <w:tab w:leader="none" w:pos="700" w:val="left"/>
        </w:tabs>
        <w:numPr>
          <w:ilvl w:val="0"/>
          <w:numId w:val="37"/>
        </w:numPr>
        <w:rPr>
          <w:rFonts w:ascii="Times New Roman" w:cs="Times New Roman" w:eastAsia="Times New Roman" w:hAnsi="Times New Roman"/>
          <w:sz w:val="27"/>
          <w:szCs w:val="27"/>
          <w:color w:val="auto"/>
          <w:vertAlign w:val="superscript"/>
        </w:rPr>
      </w:pPr>
      <w:r>
        <w:rPr>
          <w:rFonts w:ascii="Arial" w:cs="Arial" w:eastAsia="Arial" w:hAnsi="Arial"/>
          <w:sz w:val="18"/>
          <w:szCs w:val="18"/>
          <w:i w:val="1"/>
          <w:iCs w:val="1"/>
          <w:color w:val="auto"/>
        </w:rPr>
        <w:t xml:space="preserve">Customer obsession </w:t>
      </w:r>
      <w:r>
        <w:rPr>
          <w:rFonts w:ascii="Arial" w:cs="Arial" w:eastAsia="Arial" w:hAnsi="Arial"/>
          <w:sz w:val="18"/>
          <w:szCs w:val="18"/>
          <w:color w:val="auto"/>
        </w:rPr>
        <w:t>– demonstrating a deep understanding of the customer and prioritizing solving customer needs over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needs;</w:t>
      </w:r>
    </w:p>
    <w:p>
      <w:pPr>
        <w:spacing w:after="0" w:line="86" w:lineRule="exact"/>
        <w:rPr>
          <w:rFonts w:ascii="Times New Roman" w:cs="Times New Roman" w:eastAsia="Times New Roman" w:hAnsi="Times New Roman"/>
          <w:sz w:val="27"/>
          <w:szCs w:val="27"/>
          <w:color w:val="auto"/>
          <w:vertAlign w:val="superscript"/>
        </w:rPr>
      </w:pPr>
    </w:p>
    <w:p>
      <w:pPr>
        <w:ind w:left="700" w:right="60" w:hanging="319"/>
        <w:spacing w:after="0" w:line="202" w:lineRule="auto"/>
        <w:tabs>
          <w:tab w:leader="none" w:pos="700" w:val="left"/>
        </w:tabs>
        <w:numPr>
          <w:ilvl w:val="0"/>
          <w:numId w:val="37"/>
        </w:numPr>
        <w:rPr>
          <w:rFonts w:ascii="Times New Roman" w:cs="Times New Roman" w:eastAsia="Times New Roman" w:hAnsi="Times New Roman"/>
          <w:sz w:val="27"/>
          <w:szCs w:val="27"/>
          <w:color w:val="auto"/>
          <w:vertAlign w:val="superscript"/>
        </w:rPr>
      </w:pPr>
      <w:r>
        <w:rPr>
          <w:rFonts w:ascii="Arial" w:cs="Arial" w:eastAsia="Arial" w:hAnsi="Arial"/>
          <w:sz w:val="18"/>
          <w:szCs w:val="18"/>
          <w:i w:val="1"/>
          <w:iCs w:val="1"/>
          <w:color w:val="auto"/>
        </w:rPr>
        <w:t xml:space="preserve">Talent goals </w:t>
      </w:r>
      <w:r>
        <w:rPr>
          <w:rFonts w:ascii="Arial" w:cs="Arial" w:eastAsia="Arial" w:hAnsi="Arial"/>
          <w:sz w:val="18"/>
          <w:szCs w:val="18"/>
          <w:color w:val="auto"/>
        </w:rPr>
        <w:t>– building a world-class talent and a high performance, inclusive culture in which team members understand their role,</w:t>
      </w:r>
      <w:r>
        <w:rPr>
          <w:rFonts w:ascii="Arial" w:cs="Arial" w:eastAsia="Arial" w:hAnsi="Arial"/>
          <w:sz w:val="18"/>
          <w:szCs w:val="18"/>
          <w:i w:val="1"/>
          <w:iCs w:val="1"/>
          <w:color w:val="auto"/>
        </w:rPr>
        <w:t xml:space="preserve"> </w:t>
      </w:r>
      <w:r>
        <w:rPr>
          <w:rFonts w:ascii="Arial" w:cs="Arial" w:eastAsia="Arial" w:hAnsi="Arial"/>
          <w:sz w:val="18"/>
          <w:szCs w:val="18"/>
          <w:color w:val="auto"/>
        </w:rPr>
        <w:t>know their performance and objectives deliver impact; and</w:t>
      </w:r>
    </w:p>
    <w:p>
      <w:pPr>
        <w:spacing w:after="0" w:line="10" w:lineRule="exact"/>
        <w:rPr>
          <w:rFonts w:ascii="Times New Roman" w:cs="Times New Roman" w:eastAsia="Times New Roman" w:hAnsi="Times New Roman"/>
          <w:sz w:val="27"/>
          <w:szCs w:val="27"/>
          <w:color w:val="auto"/>
          <w:vertAlign w:val="superscript"/>
        </w:rPr>
      </w:pPr>
    </w:p>
    <w:p>
      <w:pPr>
        <w:ind w:left="700" w:hanging="319"/>
        <w:spacing w:after="0"/>
        <w:tabs>
          <w:tab w:leader="none" w:pos="700" w:val="left"/>
        </w:tabs>
        <w:numPr>
          <w:ilvl w:val="0"/>
          <w:numId w:val="37"/>
        </w:numPr>
        <w:rPr>
          <w:rFonts w:ascii="Times New Roman" w:cs="Times New Roman" w:eastAsia="Times New Roman" w:hAnsi="Times New Roman"/>
          <w:sz w:val="27"/>
          <w:szCs w:val="27"/>
          <w:color w:val="auto"/>
          <w:vertAlign w:val="superscript"/>
        </w:rPr>
      </w:pPr>
      <w:r>
        <w:rPr>
          <w:rFonts w:ascii="Arial" w:cs="Arial" w:eastAsia="Arial" w:hAnsi="Arial"/>
          <w:sz w:val="18"/>
          <w:szCs w:val="18"/>
          <w:i w:val="1"/>
          <w:iCs w:val="1"/>
          <w:color w:val="auto"/>
        </w:rPr>
        <w:t>Contribution to specified shared priorities.</w:t>
      </w:r>
    </w:p>
    <w:p>
      <w:pPr>
        <w:spacing w:after="0" w:line="104" w:lineRule="exact"/>
        <w:rPr>
          <w:sz w:val="20"/>
          <w:szCs w:val="20"/>
          <w:color w:val="auto"/>
        </w:rPr>
      </w:pPr>
    </w:p>
    <w:p>
      <w:pPr>
        <w:ind w:left="160" w:right="260"/>
        <w:spacing w:after="0" w:line="237" w:lineRule="auto"/>
        <w:rPr>
          <w:sz w:val="20"/>
          <w:szCs w:val="20"/>
          <w:color w:val="auto"/>
        </w:rPr>
      </w:pPr>
      <w:r>
        <w:rPr>
          <w:rFonts w:ascii="Arial" w:cs="Arial" w:eastAsia="Arial" w:hAnsi="Arial"/>
          <w:sz w:val="18"/>
          <w:szCs w:val="18"/>
          <w:color w:val="auto"/>
        </w:rPr>
        <w:t>For 2023 annual incentive award payouts to the named executive officers (other than the CEO), Steve Hasker initially assessed each individual’s performance and provided recommendations to the HR Committee. In March 2024, the HR Committee approved individual annual incentive award payouts to each of our named executive officers, which are discussed later in this compensation discussion and analysis.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Long-term Incentive Awards</w:t>
      </w:r>
    </w:p>
    <w:p>
      <w:pPr>
        <w:spacing w:after="0" w:line="51" w:lineRule="exact"/>
        <w:rPr>
          <w:sz w:val="20"/>
          <w:szCs w:val="20"/>
          <w:color w:val="auto"/>
        </w:rPr>
      </w:pPr>
    </w:p>
    <w:p>
      <w:pPr>
        <w:ind w:left="160" w:right="160"/>
        <w:spacing w:after="0" w:line="256" w:lineRule="auto"/>
        <w:rPr>
          <w:sz w:val="20"/>
          <w:szCs w:val="20"/>
          <w:color w:val="auto"/>
        </w:rPr>
      </w:pPr>
      <w:r>
        <w:rPr>
          <w:rFonts w:ascii="Arial" w:cs="Arial" w:eastAsia="Arial" w:hAnsi="Arial"/>
          <w:sz w:val="17"/>
          <w:szCs w:val="17"/>
          <w:color w:val="auto"/>
        </w:rPr>
        <w:t>Each named executive officer’s long-term incentive award has a target that is expressed as a percentage of base salary. In setting target percentages, the HR Committee considers factors such as an executive’s position and responsibilities as well as competitive considerations. The HR Committee may decide to increase or decrease an executive officer’s target from year to year based on an assessment of the executive’s prior-year performance and expected contribution to future financial and strategic results. In March 2023, the HR Committee evaluated the current market position of our named executive officers’ compensation and approved an increase to Steve Hasker’s long-term incentive target and Mike Eastwood’s long-term incentive target to better align their pay with the market.</w:t>
      </w:r>
    </w:p>
    <w:p>
      <w:pPr>
        <w:spacing w:after="0" w:line="60"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In 2023, we divided long-term incentive award values for our named executive officers among 50% PRSUs, 25% TRSUs and 25% stock options. This blend was intended to create balance in our long-term incentive awards by ensuring that the program is aligned to shareholder interests, financially efficient, strongly drives executive outcomes with the company’s strategic and business objectives and promotes retention of key talent. The value of PRSUs, TRSUs and stock options is dependent on our company’s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336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73</w:t>
      </w:r>
    </w:p>
    <w:p>
      <w:pPr>
        <w:sectPr>
          <w:pgSz w:w="11900" w:h="16838" w:orient="portrait"/>
          <w:cols w:equalWidth="0" w:num="1">
            <w:col w:w="11080"/>
          </w:cols>
          <w:pgMar w:left="320" w:top="454"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table below sets forth information regarding long-term incentive awards that recently vested in March 2024 and long-term incentive awards that are outstanding as of the date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5932170</wp:posOffset>
            </wp:positionH>
            <wp:positionV relativeFrom="paragraph">
              <wp:posOffset>129540</wp:posOffset>
            </wp:positionV>
            <wp:extent cx="8255" cy="297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29718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129540</wp:posOffset>
            </wp:positionV>
            <wp:extent cx="8255" cy="2971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2971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129540</wp:posOffset>
            </wp:positionV>
            <wp:extent cx="8255" cy="297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297180"/>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129540</wp:posOffset>
            </wp:positionV>
            <wp:extent cx="8255" cy="297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297180"/>
                    </a:xfrm>
                    <a:prstGeom prst="rect">
                      <a:avLst/>
                    </a:prstGeom>
                    <a:noFill/>
                  </pic:spPr>
                </pic:pic>
              </a:graphicData>
            </a:graphic>
          </wp:anchor>
        </w:drawing>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440" w:type="dxa"/>
            <w:vAlign w:val="bottom"/>
            <w:tcBorders>
              <w:top w:val="single" w:sz="8" w:color="auto"/>
              <w:right w:val="single" w:sz="8" w:color="262626"/>
            </w:tcBorders>
            <w:shd w:val="clear" w:color="auto" w:fill="262626"/>
          </w:tcPr>
          <w:p>
            <w:pPr>
              <w:jc w:val="right"/>
              <w:ind w:right="328"/>
              <w:spacing w:after="0"/>
              <w:rPr>
                <w:sz w:val="20"/>
                <w:szCs w:val="20"/>
                <w:color w:val="auto"/>
              </w:rPr>
            </w:pPr>
            <w:r>
              <w:rPr>
                <w:rFonts w:ascii="Arial" w:cs="Arial" w:eastAsia="Arial" w:hAnsi="Arial"/>
                <w:sz w:val="15"/>
                <w:szCs w:val="15"/>
                <w:b w:val="1"/>
                <w:bCs w:val="1"/>
                <w:color w:val="FFFFFF"/>
              </w:rPr>
              <w:t>Performance Period</w:t>
            </w:r>
          </w:p>
        </w:tc>
        <w:tc>
          <w:tcPr>
            <w:tcW w:w="5020" w:type="dxa"/>
            <w:vAlign w:val="bottom"/>
            <w:tcBorders>
              <w:top w:val="single" w:sz="8" w:color="auto"/>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Long-Term Incentive Awards – Executive Officers</w:t>
            </w:r>
          </w:p>
        </w:tc>
        <w:tc>
          <w:tcPr>
            <w:tcW w:w="1740" w:type="dxa"/>
            <w:vAlign w:val="bottom"/>
            <w:tcBorders>
              <w:top w:val="single" w:sz="8" w:color="auto"/>
              <w:right w:val="single" w:sz="8" w:color="262626"/>
            </w:tcBorders>
            <w:shd w:val="clear" w:color="auto" w:fill="262626"/>
          </w:tcPr>
          <w:p>
            <w:pPr>
              <w:jc w:val="center"/>
              <w:ind w:left="107"/>
              <w:spacing w:after="0"/>
              <w:rPr>
                <w:sz w:val="20"/>
                <w:szCs w:val="20"/>
                <w:color w:val="auto"/>
              </w:rPr>
            </w:pPr>
            <w:r>
              <w:rPr>
                <w:rFonts w:ascii="Arial" w:cs="Arial" w:eastAsia="Arial" w:hAnsi="Arial"/>
                <w:sz w:val="15"/>
                <w:szCs w:val="15"/>
                <w:b w:val="1"/>
                <w:bCs w:val="1"/>
                <w:color w:val="FFFFFF"/>
              </w:rPr>
              <w:t>Vesting Date</w:t>
            </w:r>
          </w:p>
        </w:tc>
        <w:tc>
          <w:tcPr>
            <w:tcW w:w="1720" w:type="dxa"/>
            <w:vAlign w:val="bottom"/>
            <w:tcBorders>
              <w:top w:val="single" w:sz="8" w:color="auto"/>
            </w:tcBorders>
            <w:shd w:val="clear" w:color="auto" w:fill="262626"/>
          </w:tcPr>
          <w:p>
            <w:pPr>
              <w:jc w:val="center"/>
              <w:ind w:left="127"/>
              <w:spacing w:after="0"/>
              <w:rPr>
                <w:sz w:val="20"/>
                <w:szCs w:val="20"/>
                <w:color w:val="auto"/>
              </w:rPr>
            </w:pPr>
            <w:r>
              <w:rPr>
                <w:rFonts w:ascii="Arial" w:cs="Arial" w:eastAsia="Arial" w:hAnsi="Arial"/>
                <w:sz w:val="15"/>
                <w:szCs w:val="15"/>
                <w:b w:val="1"/>
                <w:bCs w:val="1"/>
                <w:color w:val="FFFFFF"/>
              </w:rPr>
              <w:t>Expiration Date</w:t>
            </w:r>
          </w:p>
        </w:tc>
      </w:tr>
      <w:tr>
        <w:trPr>
          <w:trHeight w:val="238"/>
        </w:trPr>
        <w:tc>
          <w:tcPr>
            <w:tcW w:w="2440" w:type="dxa"/>
            <w:vAlign w:val="bottom"/>
            <w:tcBorders>
              <w:bottom w:val="single" w:sz="8" w:color="262626"/>
              <w:right w:val="single" w:sz="8" w:color="262626"/>
            </w:tcBorders>
            <w:shd w:val="clear" w:color="auto" w:fill="262626"/>
          </w:tcPr>
          <w:p>
            <w:pPr>
              <w:spacing w:after="0"/>
              <w:rPr>
                <w:sz w:val="20"/>
                <w:szCs w:val="20"/>
                <w:color w:val="auto"/>
              </w:rPr>
            </w:pPr>
          </w:p>
        </w:tc>
        <w:tc>
          <w:tcPr>
            <w:tcW w:w="5020" w:type="dxa"/>
            <w:vAlign w:val="bottom"/>
            <w:tcBorders>
              <w:bottom w:val="single" w:sz="8" w:color="262626"/>
              <w:right w:val="single" w:sz="8" w:color="262626"/>
            </w:tcBorders>
            <w:shd w:val="clear" w:color="auto" w:fill="262626"/>
          </w:tcPr>
          <w:p>
            <w:pPr>
              <w:spacing w:after="0"/>
              <w:rPr>
                <w:sz w:val="20"/>
                <w:szCs w:val="20"/>
                <w:color w:val="auto"/>
              </w:rPr>
            </w:pPr>
          </w:p>
        </w:tc>
        <w:tc>
          <w:tcPr>
            <w:tcW w:w="1740" w:type="dxa"/>
            <w:vAlign w:val="bottom"/>
            <w:tcBorders>
              <w:bottom w:val="single" w:sz="8" w:color="262626"/>
              <w:right w:val="single" w:sz="8" w:color="262626"/>
            </w:tcBorders>
            <w:shd w:val="clear" w:color="auto" w:fill="262626"/>
          </w:tcPr>
          <w:p>
            <w:pPr>
              <w:jc w:val="center"/>
              <w:ind w:left="107"/>
              <w:spacing w:after="0"/>
              <w:rPr>
                <w:sz w:val="20"/>
                <w:szCs w:val="20"/>
                <w:color w:val="auto"/>
              </w:rPr>
            </w:pPr>
            <w:r>
              <w:rPr>
                <w:rFonts w:ascii="Arial" w:cs="Arial" w:eastAsia="Arial" w:hAnsi="Arial"/>
                <w:sz w:val="15"/>
                <w:szCs w:val="15"/>
                <w:b w:val="1"/>
                <w:bCs w:val="1"/>
                <w:color w:val="FFFFFF"/>
              </w:rPr>
              <w:t>(RSUs)</w:t>
            </w:r>
          </w:p>
        </w:tc>
        <w:tc>
          <w:tcPr>
            <w:tcW w:w="1720" w:type="dxa"/>
            <w:vAlign w:val="bottom"/>
            <w:tcBorders>
              <w:bottom w:val="single" w:sz="8" w:color="262626"/>
            </w:tcBorders>
            <w:shd w:val="clear" w:color="auto" w:fill="262626"/>
          </w:tcPr>
          <w:p>
            <w:pPr>
              <w:jc w:val="center"/>
              <w:ind w:left="127"/>
              <w:spacing w:after="0"/>
              <w:rPr>
                <w:sz w:val="20"/>
                <w:szCs w:val="20"/>
                <w:color w:val="auto"/>
              </w:rPr>
            </w:pPr>
            <w:r>
              <w:rPr>
                <w:rFonts w:ascii="Arial" w:cs="Arial" w:eastAsia="Arial" w:hAnsi="Arial"/>
                <w:sz w:val="15"/>
                <w:szCs w:val="15"/>
                <w:b w:val="1"/>
                <w:bCs w:val="1"/>
                <w:color w:val="FFFFFF"/>
              </w:rPr>
              <w:t>(stock options)</w:t>
            </w:r>
          </w:p>
        </w:tc>
      </w:tr>
      <w:tr>
        <w:trPr>
          <w:trHeight w:val="239"/>
        </w:trPr>
        <w:tc>
          <w:tcPr>
            <w:tcW w:w="2440" w:type="dxa"/>
            <w:vAlign w:val="bottom"/>
            <w:tcBorders>
              <w:right w:val="single" w:sz="8" w:color="AFAFAF"/>
            </w:tcBorders>
          </w:tcPr>
          <w:p>
            <w:pPr>
              <w:jc w:val="right"/>
              <w:ind w:right="808"/>
              <w:spacing w:after="0"/>
              <w:rPr>
                <w:sz w:val="20"/>
                <w:szCs w:val="20"/>
                <w:color w:val="auto"/>
              </w:rPr>
            </w:pPr>
            <w:r>
              <w:rPr>
                <w:rFonts w:ascii="Arial" w:cs="Arial" w:eastAsia="Arial" w:hAnsi="Arial"/>
                <w:sz w:val="14"/>
                <w:szCs w:val="14"/>
                <w:b w:val="1"/>
                <w:bCs w:val="1"/>
                <w:color w:val="auto"/>
              </w:rPr>
              <w:t>2021-2023</w:t>
            </w:r>
          </w:p>
        </w:tc>
        <w:tc>
          <w:tcPr>
            <w:tcW w:w="50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50% PRSUs, 25% TRSUs, 25% stock options</w:t>
            </w:r>
          </w:p>
        </w:tc>
        <w:tc>
          <w:tcPr>
            <w:tcW w:w="1740" w:type="dxa"/>
            <w:vAlign w:val="bottom"/>
            <w:tcBorders>
              <w:right w:val="single" w:sz="8" w:color="AFAFAF"/>
            </w:tcBorders>
          </w:tcPr>
          <w:p>
            <w:pPr>
              <w:jc w:val="center"/>
              <w:ind w:left="107"/>
              <w:spacing w:after="0"/>
              <w:rPr>
                <w:sz w:val="20"/>
                <w:szCs w:val="20"/>
                <w:color w:val="auto"/>
              </w:rPr>
            </w:pPr>
            <w:r>
              <w:rPr>
                <w:rFonts w:ascii="Arial" w:cs="Arial" w:eastAsia="Arial" w:hAnsi="Arial"/>
                <w:sz w:val="14"/>
                <w:szCs w:val="14"/>
                <w:color w:val="auto"/>
              </w:rPr>
              <w:t>March 2024</w:t>
            </w:r>
          </w:p>
        </w:tc>
        <w:tc>
          <w:tcPr>
            <w:tcW w:w="1720" w:type="dxa"/>
            <w:vAlign w:val="bottom"/>
          </w:tcPr>
          <w:p>
            <w:pPr>
              <w:jc w:val="center"/>
              <w:ind w:left="127"/>
              <w:spacing w:after="0"/>
              <w:rPr>
                <w:sz w:val="20"/>
                <w:szCs w:val="20"/>
                <w:color w:val="auto"/>
              </w:rPr>
            </w:pPr>
            <w:r>
              <w:rPr>
                <w:rFonts w:ascii="Arial" w:cs="Arial" w:eastAsia="Arial" w:hAnsi="Arial"/>
                <w:sz w:val="14"/>
                <w:szCs w:val="14"/>
                <w:color w:val="auto"/>
              </w:rPr>
              <w:t>March 2031</w:t>
            </w:r>
          </w:p>
        </w:tc>
      </w:tr>
      <w:tr>
        <w:trPr>
          <w:trHeight w:val="28"/>
        </w:trPr>
        <w:tc>
          <w:tcPr>
            <w:tcW w:w="2440" w:type="dxa"/>
            <w:vAlign w:val="bottom"/>
            <w:tcBorders>
              <w:bottom w:val="single" w:sz="8" w:color="AFAFAF"/>
              <w:right w:val="single" w:sz="8" w:color="AFAFAF"/>
            </w:tcBorders>
          </w:tcPr>
          <w:p>
            <w:pPr>
              <w:spacing w:after="0"/>
              <w:rPr>
                <w:sz w:val="2"/>
                <w:szCs w:val="2"/>
                <w:color w:val="auto"/>
              </w:rPr>
            </w:pPr>
          </w:p>
        </w:tc>
        <w:tc>
          <w:tcPr>
            <w:tcW w:w="5020" w:type="dxa"/>
            <w:vAlign w:val="bottom"/>
            <w:tcBorders>
              <w:bottom w:val="single" w:sz="8" w:color="AFAFAF"/>
              <w:right w:val="single" w:sz="8" w:color="AFAFAF"/>
            </w:tcBorders>
          </w:tcPr>
          <w:p>
            <w:pPr>
              <w:spacing w:after="0"/>
              <w:rPr>
                <w:sz w:val="2"/>
                <w:szCs w:val="2"/>
                <w:color w:val="auto"/>
              </w:rPr>
            </w:pPr>
          </w:p>
        </w:tc>
        <w:tc>
          <w:tcPr>
            <w:tcW w:w="1740" w:type="dxa"/>
            <w:vAlign w:val="bottom"/>
            <w:tcBorders>
              <w:bottom w:val="single" w:sz="8" w:color="AFAFAF"/>
              <w:right w:val="single" w:sz="8" w:color="AFAFAF"/>
            </w:tcBorders>
          </w:tcPr>
          <w:p>
            <w:pPr>
              <w:spacing w:after="0"/>
              <w:rPr>
                <w:sz w:val="2"/>
                <w:szCs w:val="2"/>
                <w:color w:val="auto"/>
              </w:rPr>
            </w:pPr>
          </w:p>
        </w:tc>
        <w:tc>
          <w:tcPr>
            <w:tcW w:w="1720" w:type="dxa"/>
            <w:vAlign w:val="bottom"/>
            <w:tcBorders>
              <w:bottom w:val="single" w:sz="8" w:color="AFAFAF"/>
            </w:tcBorders>
          </w:tcPr>
          <w:p>
            <w:pPr>
              <w:spacing w:after="0"/>
              <w:rPr>
                <w:sz w:val="2"/>
                <w:szCs w:val="2"/>
                <w:color w:val="auto"/>
              </w:rPr>
            </w:pPr>
          </w:p>
        </w:tc>
      </w:tr>
      <w:tr>
        <w:trPr>
          <w:trHeight w:val="233"/>
        </w:trPr>
        <w:tc>
          <w:tcPr>
            <w:tcW w:w="2440" w:type="dxa"/>
            <w:vAlign w:val="bottom"/>
            <w:tcBorders>
              <w:right w:val="single" w:sz="8" w:color="AFAFAF"/>
            </w:tcBorders>
          </w:tcPr>
          <w:p>
            <w:pPr>
              <w:jc w:val="right"/>
              <w:ind w:right="808"/>
              <w:spacing w:after="0"/>
              <w:rPr>
                <w:sz w:val="20"/>
                <w:szCs w:val="20"/>
                <w:color w:val="auto"/>
              </w:rPr>
            </w:pPr>
            <w:r>
              <w:rPr>
                <w:rFonts w:ascii="Arial" w:cs="Arial" w:eastAsia="Arial" w:hAnsi="Arial"/>
                <w:sz w:val="14"/>
                <w:szCs w:val="14"/>
                <w:b w:val="1"/>
                <w:bCs w:val="1"/>
                <w:color w:val="auto"/>
              </w:rPr>
              <w:t>2022-2024</w:t>
            </w:r>
          </w:p>
        </w:tc>
        <w:tc>
          <w:tcPr>
            <w:tcW w:w="50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50% PRSUs, 25% TRSUs, 25% stock options</w:t>
            </w:r>
          </w:p>
        </w:tc>
        <w:tc>
          <w:tcPr>
            <w:tcW w:w="1740" w:type="dxa"/>
            <w:vAlign w:val="bottom"/>
            <w:tcBorders>
              <w:right w:val="single" w:sz="8" w:color="AFAFAF"/>
            </w:tcBorders>
          </w:tcPr>
          <w:p>
            <w:pPr>
              <w:jc w:val="center"/>
              <w:ind w:left="107"/>
              <w:spacing w:after="0"/>
              <w:rPr>
                <w:sz w:val="20"/>
                <w:szCs w:val="20"/>
                <w:color w:val="auto"/>
              </w:rPr>
            </w:pPr>
            <w:r>
              <w:rPr>
                <w:rFonts w:ascii="Arial" w:cs="Arial" w:eastAsia="Arial" w:hAnsi="Arial"/>
                <w:sz w:val="14"/>
                <w:szCs w:val="14"/>
                <w:color w:val="auto"/>
              </w:rPr>
              <w:t>March 2025</w:t>
            </w:r>
          </w:p>
        </w:tc>
        <w:tc>
          <w:tcPr>
            <w:tcW w:w="1720" w:type="dxa"/>
            <w:vAlign w:val="bottom"/>
          </w:tcPr>
          <w:p>
            <w:pPr>
              <w:jc w:val="center"/>
              <w:ind w:left="127"/>
              <w:spacing w:after="0"/>
              <w:rPr>
                <w:sz w:val="20"/>
                <w:szCs w:val="20"/>
                <w:color w:val="auto"/>
              </w:rPr>
            </w:pPr>
            <w:r>
              <w:rPr>
                <w:rFonts w:ascii="Arial" w:cs="Arial" w:eastAsia="Arial" w:hAnsi="Arial"/>
                <w:sz w:val="14"/>
                <w:szCs w:val="14"/>
                <w:color w:val="auto"/>
              </w:rPr>
              <w:t>March 2032</w:t>
            </w:r>
          </w:p>
        </w:tc>
      </w:tr>
      <w:tr>
        <w:trPr>
          <w:trHeight w:val="28"/>
        </w:trPr>
        <w:tc>
          <w:tcPr>
            <w:tcW w:w="2440" w:type="dxa"/>
            <w:vAlign w:val="bottom"/>
            <w:tcBorders>
              <w:bottom w:val="single" w:sz="8" w:color="AFAFAF"/>
              <w:right w:val="single" w:sz="8" w:color="AFAFAF"/>
            </w:tcBorders>
          </w:tcPr>
          <w:p>
            <w:pPr>
              <w:spacing w:after="0"/>
              <w:rPr>
                <w:sz w:val="2"/>
                <w:szCs w:val="2"/>
                <w:color w:val="auto"/>
              </w:rPr>
            </w:pPr>
          </w:p>
        </w:tc>
        <w:tc>
          <w:tcPr>
            <w:tcW w:w="5020" w:type="dxa"/>
            <w:vAlign w:val="bottom"/>
            <w:tcBorders>
              <w:bottom w:val="single" w:sz="8" w:color="AFAFAF"/>
              <w:right w:val="single" w:sz="8" w:color="AFAFAF"/>
            </w:tcBorders>
          </w:tcPr>
          <w:p>
            <w:pPr>
              <w:spacing w:after="0"/>
              <w:rPr>
                <w:sz w:val="2"/>
                <w:szCs w:val="2"/>
                <w:color w:val="auto"/>
              </w:rPr>
            </w:pPr>
          </w:p>
        </w:tc>
        <w:tc>
          <w:tcPr>
            <w:tcW w:w="1740" w:type="dxa"/>
            <w:vAlign w:val="bottom"/>
            <w:tcBorders>
              <w:bottom w:val="single" w:sz="8" w:color="AFAFAF"/>
              <w:right w:val="single" w:sz="8" w:color="AFAFAF"/>
            </w:tcBorders>
          </w:tcPr>
          <w:p>
            <w:pPr>
              <w:spacing w:after="0"/>
              <w:rPr>
                <w:sz w:val="2"/>
                <w:szCs w:val="2"/>
                <w:color w:val="auto"/>
              </w:rPr>
            </w:pPr>
          </w:p>
        </w:tc>
        <w:tc>
          <w:tcPr>
            <w:tcW w:w="1720" w:type="dxa"/>
            <w:vAlign w:val="bottom"/>
            <w:tcBorders>
              <w:bottom w:val="single" w:sz="8" w:color="AFAFAF"/>
            </w:tcBorders>
          </w:tcPr>
          <w:p>
            <w:pPr>
              <w:spacing w:after="0"/>
              <w:rPr>
                <w:sz w:val="2"/>
                <w:szCs w:val="2"/>
                <w:color w:val="auto"/>
              </w:rPr>
            </w:pPr>
          </w:p>
        </w:tc>
      </w:tr>
      <w:tr>
        <w:trPr>
          <w:trHeight w:val="233"/>
        </w:trPr>
        <w:tc>
          <w:tcPr>
            <w:tcW w:w="2440" w:type="dxa"/>
            <w:vAlign w:val="bottom"/>
            <w:tcBorders>
              <w:right w:val="single" w:sz="8" w:color="AFAFAF"/>
            </w:tcBorders>
          </w:tcPr>
          <w:p>
            <w:pPr>
              <w:jc w:val="right"/>
              <w:ind w:right="808"/>
              <w:spacing w:after="0"/>
              <w:rPr>
                <w:sz w:val="20"/>
                <w:szCs w:val="20"/>
                <w:color w:val="auto"/>
              </w:rPr>
            </w:pPr>
            <w:r>
              <w:rPr>
                <w:rFonts w:ascii="Arial" w:cs="Arial" w:eastAsia="Arial" w:hAnsi="Arial"/>
                <w:sz w:val="14"/>
                <w:szCs w:val="14"/>
                <w:b w:val="1"/>
                <w:bCs w:val="1"/>
                <w:color w:val="auto"/>
              </w:rPr>
              <w:t>2023-2025</w:t>
            </w:r>
          </w:p>
        </w:tc>
        <w:tc>
          <w:tcPr>
            <w:tcW w:w="50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50% PRSUs, 25% TRSUs, 25% stock options</w:t>
            </w:r>
          </w:p>
        </w:tc>
        <w:tc>
          <w:tcPr>
            <w:tcW w:w="1740" w:type="dxa"/>
            <w:vAlign w:val="bottom"/>
            <w:tcBorders>
              <w:right w:val="single" w:sz="8" w:color="AFAFAF"/>
            </w:tcBorders>
          </w:tcPr>
          <w:p>
            <w:pPr>
              <w:jc w:val="center"/>
              <w:ind w:left="107"/>
              <w:spacing w:after="0"/>
              <w:rPr>
                <w:sz w:val="20"/>
                <w:szCs w:val="20"/>
                <w:color w:val="auto"/>
              </w:rPr>
            </w:pPr>
            <w:r>
              <w:rPr>
                <w:rFonts w:ascii="Arial" w:cs="Arial" w:eastAsia="Arial" w:hAnsi="Arial"/>
                <w:sz w:val="14"/>
                <w:szCs w:val="14"/>
                <w:color w:val="auto"/>
              </w:rPr>
              <w:t>March 2026</w:t>
            </w:r>
          </w:p>
        </w:tc>
        <w:tc>
          <w:tcPr>
            <w:tcW w:w="1720" w:type="dxa"/>
            <w:vAlign w:val="bottom"/>
          </w:tcPr>
          <w:p>
            <w:pPr>
              <w:jc w:val="center"/>
              <w:ind w:left="127"/>
              <w:spacing w:after="0"/>
              <w:rPr>
                <w:sz w:val="20"/>
                <w:szCs w:val="20"/>
                <w:color w:val="auto"/>
              </w:rPr>
            </w:pPr>
            <w:r>
              <w:rPr>
                <w:rFonts w:ascii="Arial" w:cs="Arial" w:eastAsia="Arial" w:hAnsi="Arial"/>
                <w:sz w:val="14"/>
                <w:szCs w:val="14"/>
                <w:color w:val="auto"/>
              </w:rPr>
              <w:t>March 2033</w:t>
            </w:r>
          </w:p>
        </w:tc>
      </w:tr>
      <w:tr>
        <w:trPr>
          <w:trHeight w:val="28"/>
        </w:trPr>
        <w:tc>
          <w:tcPr>
            <w:tcW w:w="2440" w:type="dxa"/>
            <w:vAlign w:val="bottom"/>
            <w:tcBorders>
              <w:bottom w:val="single" w:sz="8" w:color="AFAFAF"/>
              <w:right w:val="single" w:sz="8" w:color="AFAFAF"/>
            </w:tcBorders>
          </w:tcPr>
          <w:p>
            <w:pPr>
              <w:spacing w:after="0"/>
              <w:rPr>
                <w:sz w:val="2"/>
                <w:szCs w:val="2"/>
                <w:color w:val="auto"/>
              </w:rPr>
            </w:pPr>
          </w:p>
        </w:tc>
        <w:tc>
          <w:tcPr>
            <w:tcW w:w="5020" w:type="dxa"/>
            <w:vAlign w:val="bottom"/>
            <w:tcBorders>
              <w:bottom w:val="single" w:sz="8" w:color="AFAFAF"/>
              <w:right w:val="single" w:sz="8" w:color="AFAFAF"/>
            </w:tcBorders>
          </w:tcPr>
          <w:p>
            <w:pPr>
              <w:spacing w:after="0"/>
              <w:rPr>
                <w:sz w:val="2"/>
                <w:szCs w:val="2"/>
                <w:color w:val="auto"/>
              </w:rPr>
            </w:pPr>
          </w:p>
        </w:tc>
        <w:tc>
          <w:tcPr>
            <w:tcW w:w="1740" w:type="dxa"/>
            <w:vAlign w:val="bottom"/>
            <w:tcBorders>
              <w:bottom w:val="single" w:sz="8" w:color="AFAFAF"/>
              <w:right w:val="single" w:sz="8" w:color="AFAFAF"/>
            </w:tcBorders>
          </w:tcPr>
          <w:p>
            <w:pPr>
              <w:spacing w:after="0"/>
              <w:rPr>
                <w:sz w:val="2"/>
                <w:szCs w:val="2"/>
                <w:color w:val="auto"/>
              </w:rPr>
            </w:pPr>
          </w:p>
        </w:tc>
        <w:tc>
          <w:tcPr>
            <w:tcW w:w="1720" w:type="dxa"/>
            <w:vAlign w:val="bottom"/>
            <w:tcBorders>
              <w:bottom w:val="single" w:sz="8" w:color="AFAFAF"/>
            </w:tcBorders>
          </w:tcPr>
          <w:p>
            <w:pPr>
              <w:spacing w:after="0"/>
              <w:rPr>
                <w:sz w:val="2"/>
                <w:szCs w:val="2"/>
                <w:color w:val="auto"/>
              </w:rPr>
            </w:pPr>
          </w:p>
        </w:tc>
      </w:tr>
      <w:tr>
        <w:trPr>
          <w:trHeight w:val="233"/>
        </w:trPr>
        <w:tc>
          <w:tcPr>
            <w:tcW w:w="2440" w:type="dxa"/>
            <w:vAlign w:val="bottom"/>
            <w:tcBorders>
              <w:right w:val="single" w:sz="8" w:color="AFAFAF"/>
            </w:tcBorders>
          </w:tcPr>
          <w:p>
            <w:pPr>
              <w:jc w:val="right"/>
              <w:ind w:right="808"/>
              <w:spacing w:after="0"/>
              <w:rPr>
                <w:sz w:val="20"/>
                <w:szCs w:val="20"/>
                <w:color w:val="auto"/>
              </w:rPr>
            </w:pPr>
            <w:r>
              <w:rPr>
                <w:rFonts w:ascii="Arial" w:cs="Arial" w:eastAsia="Arial" w:hAnsi="Arial"/>
                <w:sz w:val="14"/>
                <w:szCs w:val="14"/>
                <w:b w:val="1"/>
                <w:bCs w:val="1"/>
                <w:color w:val="auto"/>
              </w:rPr>
              <w:t>2024-2026</w:t>
            </w:r>
          </w:p>
        </w:tc>
        <w:tc>
          <w:tcPr>
            <w:tcW w:w="502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50% PRSUs, 25% TRSUs, 25% stock options</w:t>
            </w:r>
          </w:p>
        </w:tc>
        <w:tc>
          <w:tcPr>
            <w:tcW w:w="1740" w:type="dxa"/>
            <w:vAlign w:val="bottom"/>
            <w:tcBorders>
              <w:right w:val="single" w:sz="8" w:color="AFAFAF"/>
            </w:tcBorders>
          </w:tcPr>
          <w:p>
            <w:pPr>
              <w:jc w:val="center"/>
              <w:ind w:left="107"/>
              <w:spacing w:after="0"/>
              <w:rPr>
                <w:sz w:val="20"/>
                <w:szCs w:val="20"/>
                <w:color w:val="auto"/>
              </w:rPr>
            </w:pPr>
            <w:r>
              <w:rPr>
                <w:rFonts w:ascii="Arial" w:cs="Arial" w:eastAsia="Arial" w:hAnsi="Arial"/>
                <w:sz w:val="14"/>
                <w:szCs w:val="14"/>
                <w:color w:val="auto"/>
              </w:rPr>
              <w:t>March 2027</w:t>
            </w:r>
          </w:p>
        </w:tc>
        <w:tc>
          <w:tcPr>
            <w:tcW w:w="1720" w:type="dxa"/>
            <w:vAlign w:val="bottom"/>
          </w:tcPr>
          <w:p>
            <w:pPr>
              <w:jc w:val="center"/>
              <w:ind w:left="127"/>
              <w:spacing w:after="0"/>
              <w:rPr>
                <w:sz w:val="20"/>
                <w:szCs w:val="20"/>
                <w:color w:val="auto"/>
              </w:rPr>
            </w:pPr>
            <w:r>
              <w:rPr>
                <w:rFonts w:ascii="Arial" w:cs="Arial" w:eastAsia="Arial" w:hAnsi="Arial"/>
                <w:sz w:val="14"/>
                <w:szCs w:val="14"/>
                <w:color w:val="auto"/>
              </w:rPr>
              <w:t>March 2034</w:t>
            </w:r>
          </w:p>
        </w:tc>
      </w:tr>
      <w:tr>
        <w:trPr>
          <w:trHeight w:val="28"/>
        </w:trPr>
        <w:tc>
          <w:tcPr>
            <w:tcW w:w="2440" w:type="dxa"/>
            <w:vAlign w:val="bottom"/>
            <w:tcBorders>
              <w:bottom w:val="single" w:sz="8" w:color="B94831"/>
              <w:right w:val="single" w:sz="8" w:color="AFAFAF"/>
            </w:tcBorders>
          </w:tcPr>
          <w:p>
            <w:pPr>
              <w:spacing w:after="0"/>
              <w:rPr>
                <w:sz w:val="2"/>
                <w:szCs w:val="2"/>
                <w:color w:val="auto"/>
              </w:rPr>
            </w:pPr>
          </w:p>
        </w:tc>
        <w:tc>
          <w:tcPr>
            <w:tcW w:w="5020" w:type="dxa"/>
            <w:vAlign w:val="bottom"/>
            <w:tcBorders>
              <w:bottom w:val="single" w:sz="8" w:color="B94831"/>
              <w:right w:val="single" w:sz="8" w:color="AFAFAF"/>
            </w:tcBorders>
          </w:tcPr>
          <w:p>
            <w:pPr>
              <w:spacing w:after="0"/>
              <w:rPr>
                <w:sz w:val="2"/>
                <w:szCs w:val="2"/>
                <w:color w:val="auto"/>
              </w:rPr>
            </w:pPr>
          </w:p>
        </w:tc>
        <w:tc>
          <w:tcPr>
            <w:tcW w:w="1740" w:type="dxa"/>
            <w:vAlign w:val="bottom"/>
            <w:tcBorders>
              <w:bottom w:val="single" w:sz="8" w:color="B94831"/>
              <w:right w:val="single" w:sz="8" w:color="AFAFAF"/>
            </w:tcBorders>
          </w:tcPr>
          <w:p>
            <w:pPr>
              <w:spacing w:after="0"/>
              <w:rPr>
                <w:sz w:val="2"/>
                <w:szCs w:val="2"/>
                <w:color w:val="auto"/>
              </w:rPr>
            </w:pPr>
          </w:p>
        </w:tc>
        <w:tc>
          <w:tcPr>
            <w:tcW w:w="1720" w:type="dxa"/>
            <w:vAlign w:val="bottom"/>
            <w:tcBorders>
              <w:bottom w:val="single" w:sz="8" w:color="B94831"/>
            </w:tcBorders>
          </w:tcPr>
          <w:p>
            <w:pPr>
              <w:spacing w:after="0"/>
              <w:rPr>
                <w:sz w:val="2"/>
                <w:szCs w:val="2"/>
                <w:color w:val="auto"/>
              </w:rPr>
            </w:pPr>
          </w:p>
        </w:tc>
      </w:tr>
    </w:tbl>
    <w:p>
      <w:pPr>
        <w:spacing w:after="0" w:line="8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In determining the size of PRSU, TRSU and stock option grants, the HR Committee initially established a total target compensation award opportunity for each named executive officer, along with the percentage of this amount to be reflected through long-term incentive awards. The HR Committee then determined the value of PRSUs, TRSUs and stock options to be granted to each named executive officer. In determining long-term incentive grants for our executive officers, the HR Committee generally takes into account the target compensation and other factors such as individual performance and contributions, an individual’s criticality to the company, and retention considerations. Key talent ratings and holding power are also considered to support decision making.</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PRSUs</w:t>
      </w:r>
    </w:p>
    <w:p>
      <w:pPr>
        <w:spacing w:after="0" w:line="51"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Our PRSUs reinforce our pay for performance philosophy and align with the interests of our shareholders. Because the payout for PRSUs is tied to operational results over a long-term period, these awards create a strong “line of sight” between controllable performance and realizable compensation, reinforce the importance of achieving specific multi-year financial results and mitigate the impact of stock price volatility on the retention power of the overall program. Costs associated with PRSUs are variable and are incurred only to the extent that the underlying performance goals are achieved. PRSUs thereby ensure a financially efficient outcome to our company by tying expense recognition to the achievement of specific financial goals.</w:t>
      </w:r>
    </w:p>
    <w:p>
      <w:pPr>
        <w:spacing w:after="0" w:line="74"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When long-term incentive awards include PRSUs, the HR Committee sets targets that align with realistic expected growth rates over the three-year performance period in our operating plan. Similar to annual incentive awards, in general, the HR Committee sets targets so that the relative difficulty of achieving them is consistent from year to year. The HR Committee also reviews past performance against similar targets to assess the effectiveness of targets. Target levels are intended to be challenging, yet realistic and achievable. For PRSUs granted for the 2023-2025 period, the HR Committee selected three-year average organic revenue growth and free cash flow per share as the performance metrics to focus participants on the key drivers of long-term shareholder value creation. The financial performance goals for PRSUs granted in 2023 were weighted 50% each as they were equally important to our long-term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2165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2165350"/>
                    </a:xfrm>
                    <a:prstGeom prst="rect">
                      <a:avLst/>
                    </a:prstGeom>
                    <a:noFill/>
                  </pic:spPr>
                </pic:pic>
              </a:graphicData>
            </a:graphic>
          </wp:anchor>
        </w:drawing>
      </w:r>
    </w:p>
    <w:p>
      <w:pPr>
        <w:spacing w:after="0" w:line="256" w:lineRule="exact"/>
        <w:rPr>
          <w:sz w:val="20"/>
          <w:szCs w:val="20"/>
          <w:color w:val="auto"/>
        </w:rPr>
      </w:pPr>
    </w:p>
    <w:p>
      <w:pPr>
        <w:ind w:left="7140"/>
        <w:spacing w:after="0"/>
        <w:rPr>
          <w:sz w:val="20"/>
          <w:szCs w:val="20"/>
          <w:color w:val="auto"/>
        </w:rPr>
      </w:pPr>
      <w:r>
        <w:rPr>
          <w:rFonts w:ascii="Arial" w:cs="Arial" w:eastAsia="Arial" w:hAnsi="Arial"/>
          <w:sz w:val="15"/>
          <w:szCs w:val="15"/>
          <w:b w:val="1"/>
          <w:bCs w:val="1"/>
          <w:color w:val="FFFFFF"/>
        </w:rPr>
        <w:t>Rationale for financial metric</w:t>
      </w:r>
    </w:p>
    <w:p>
      <w:pPr>
        <w:spacing w:after="0" w:line="116"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50% organic revenue growth</w:t>
      </w:r>
    </w:p>
    <w:p>
      <w:pPr>
        <w:spacing w:after="0" w:line="13" w:lineRule="exact"/>
        <w:rPr>
          <w:sz w:val="20"/>
          <w:szCs w:val="20"/>
          <w:color w:val="auto"/>
        </w:rPr>
      </w:pPr>
    </w:p>
    <w:p>
      <w:pPr>
        <w:ind w:left="5280" w:right="140"/>
        <w:spacing w:after="0" w:line="244" w:lineRule="auto"/>
        <w:rPr>
          <w:sz w:val="20"/>
          <w:szCs w:val="20"/>
          <w:color w:val="auto"/>
        </w:rPr>
      </w:pPr>
      <w:r>
        <w:rPr>
          <w:rFonts w:ascii="Arial" w:cs="Arial" w:eastAsia="Arial" w:hAnsi="Arial"/>
          <w:sz w:val="14"/>
          <w:szCs w:val="14"/>
          <w:color w:val="auto"/>
        </w:rPr>
        <w:t>We believe that measuring organic revenue growth over a multi-year period complements the same metric measured on an annual basis in the 2023 annual incentive awards and is aligned to the company’s strategic priorities. For more information about organic revenue growth and our rationale for including the financial metric in 2023 annual and long-term incentive awards, please see the “Annual Incentive Awards” discussion above.</w:t>
      </w:r>
    </w:p>
    <w:p>
      <w:pPr>
        <w:spacing w:after="0" w:line="200" w:lineRule="exact"/>
        <w:rPr>
          <w:sz w:val="20"/>
          <w:szCs w:val="20"/>
          <w:color w:val="auto"/>
        </w:r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50% free cash flow per share</w:t>
      </w:r>
    </w:p>
    <w:p>
      <w:pPr>
        <w:spacing w:after="0" w:line="13" w:lineRule="exact"/>
        <w:rPr>
          <w:sz w:val="20"/>
          <w:szCs w:val="20"/>
          <w:color w:val="auto"/>
        </w:rPr>
      </w:pPr>
    </w:p>
    <w:p>
      <w:pPr>
        <w:ind w:left="5280"/>
        <w:spacing w:after="0" w:line="243" w:lineRule="auto"/>
        <w:rPr>
          <w:sz w:val="20"/>
          <w:szCs w:val="20"/>
          <w:color w:val="auto"/>
        </w:rPr>
      </w:pPr>
      <w:r>
        <w:rPr>
          <w:rFonts w:ascii="Arial" w:cs="Arial" w:eastAsia="Arial" w:hAnsi="Arial"/>
          <w:sz w:val="14"/>
          <w:szCs w:val="14"/>
          <w:color w:val="auto"/>
        </w:rPr>
        <w:t>Free cash flow per share is a measure of our operating performance because it helps us assess our ability, over the long term, to create value for our shareholders as it represents cash available to repay debt, pay common share dividends and fund share repurchases and acquisitions. We define free cash flow as net cash provided by operating activities and other investing activities, less capital expenditures, payments of lease principal and dividends paid on our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437515</wp:posOffset>
            </wp:positionV>
            <wp:extent cx="6929755" cy="336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74 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color w:val="auto"/>
        </w:rPr>
        <w:t>The number of PRSUs granted to each executive was based on our closing share price on the NYSE on the business day before the grant. PRSUs had a vesting range of 0% to 200% after the end of the performance period, depending on the achievement of the performance goals.</w:t>
      </w:r>
    </w:p>
    <w:p>
      <w:pPr>
        <w:spacing w:after="0" w:line="65" w:lineRule="exact"/>
        <w:rPr>
          <w:sz w:val="20"/>
          <w:szCs w:val="20"/>
          <w:color w:val="auto"/>
        </w:rPr>
      </w:pPr>
    </w:p>
    <w:p>
      <w:pPr>
        <w:ind w:left="160" w:right="620"/>
        <w:spacing w:after="0" w:line="295" w:lineRule="auto"/>
        <w:rPr>
          <w:sz w:val="20"/>
          <w:szCs w:val="20"/>
          <w:color w:val="auto"/>
        </w:rPr>
      </w:pPr>
      <w:r>
        <w:rPr>
          <w:rFonts w:ascii="Arial" w:cs="Arial" w:eastAsia="Arial" w:hAnsi="Arial"/>
          <w:sz w:val="17"/>
          <w:szCs w:val="17"/>
          <w:color w:val="auto"/>
        </w:rPr>
        <w:t>PRSUs also accumulate additional units based on notional equivalents of dividends paid on our common shares. The accumulated dividends are subject to the same performance adjustment as the underlying award when the underlying shares are distributed.</w:t>
      </w:r>
    </w:p>
    <w:p>
      <w:pPr>
        <w:spacing w:after="0" w:line="28"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2023-2025 targets for organic revenue growth and free cash flow per share are based on three-year averages for each metric and contemplate increases each year for both metrics during the performance period. PRSU awards granted in 2023 included the expected impact of the Change Program, which created a direct link between our strategic priorities and our incentive award funding.</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part of the HR Committee’s design principles for PRSU awards, targets and actual results are evaluated on a constant currency basis.</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addition, in determining performance, guiding principles for long-term incentive awards contemplate adjustments for:</w:t>
      </w:r>
    </w:p>
    <w:p>
      <w:pPr>
        <w:spacing w:after="0" w:line="21" w:lineRule="exact"/>
        <w:rPr>
          <w:sz w:val="20"/>
          <w:szCs w:val="20"/>
          <w:color w:val="auto"/>
        </w:rPr>
      </w:pPr>
    </w:p>
    <w:p>
      <w:pPr>
        <w:ind w:left="700" w:hanging="319"/>
        <w:spacing w:after="0"/>
        <w:tabs>
          <w:tab w:leader="none" w:pos="700" w:val="left"/>
        </w:tabs>
        <w:numPr>
          <w:ilvl w:val="0"/>
          <w:numId w:val="38"/>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Acquisitions and disposals not in our company’s operating plan and resulting in adjustments greater than a specified amount;</w:t>
      </w:r>
    </w:p>
    <w:p>
      <w:pPr>
        <w:spacing w:after="0" w:line="117" w:lineRule="exact"/>
        <w:rPr>
          <w:rFonts w:ascii="Times New Roman" w:cs="Times New Roman" w:eastAsia="Times New Roman" w:hAnsi="Times New Roman"/>
          <w:sz w:val="27"/>
          <w:szCs w:val="27"/>
          <w:color w:val="auto"/>
          <w:vertAlign w:val="superscript"/>
        </w:rPr>
      </w:pPr>
    </w:p>
    <w:p>
      <w:pPr>
        <w:ind w:left="700" w:hanging="319"/>
        <w:spacing w:after="0" w:line="181" w:lineRule="auto"/>
        <w:tabs>
          <w:tab w:leader="none" w:pos="700" w:val="left"/>
        </w:tabs>
        <w:numPr>
          <w:ilvl w:val="0"/>
          <w:numId w:val="3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One-time charges that were not foreseen in the operating plan and where the related savings are outside of the plan period;</w:t>
      </w:r>
    </w:p>
    <w:p>
      <w:pPr>
        <w:spacing w:after="0" w:line="117" w:lineRule="exact"/>
        <w:rPr>
          <w:rFonts w:ascii="Times New Roman" w:cs="Times New Roman" w:eastAsia="Times New Roman" w:hAnsi="Times New Roman"/>
          <w:sz w:val="25"/>
          <w:szCs w:val="25"/>
          <w:color w:val="auto"/>
          <w:vertAlign w:val="superscript"/>
        </w:rPr>
      </w:pPr>
    </w:p>
    <w:p>
      <w:pPr>
        <w:ind w:left="700" w:hanging="319"/>
        <w:spacing w:after="0" w:line="181" w:lineRule="auto"/>
        <w:tabs>
          <w:tab w:leader="none" w:pos="700" w:val="left"/>
        </w:tabs>
        <w:numPr>
          <w:ilvl w:val="0"/>
          <w:numId w:val="3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The impact of any share repurchases that were in excess of buyback amounts reflected in the original operating plan;</w:t>
      </w:r>
    </w:p>
    <w:p>
      <w:pPr>
        <w:spacing w:after="0" w:line="117" w:lineRule="exact"/>
        <w:rPr>
          <w:rFonts w:ascii="Times New Roman" w:cs="Times New Roman" w:eastAsia="Times New Roman" w:hAnsi="Times New Roman"/>
          <w:sz w:val="25"/>
          <w:szCs w:val="25"/>
          <w:color w:val="auto"/>
          <w:vertAlign w:val="superscript"/>
        </w:rPr>
      </w:pPr>
    </w:p>
    <w:p>
      <w:pPr>
        <w:ind w:left="700" w:right="340" w:hanging="319"/>
        <w:spacing w:after="0" w:line="193" w:lineRule="auto"/>
        <w:tabs>
          <w:tab w:leader="none" w:pos="700" w:val="left"/>
        </w:tabs>
        <w:numPr>
          <w:ilvl w:val="0"/>
          <w:numId w:val="38"/>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Extraordinary events which were outside of management’s control to the extent that the actual impact differed from original plan assumptions (i.e., the regulatory/tax environment and significant one-time transactions);</w:t>
      </w:r>
    </w:p>
    <w:p>
      <w:pPr>
        <w:spacing w:after="0" w:line="12" w:lineRule="exact"/>
        <w:rPr>
          <w:rFonts w:ascii="Times New Roman" w:cs="Times New Roman" w:eastAsia="Times New Roman" w:hAnsi="Times New Roman"/>
          <w:sz w:val="27"/>
          <w:szCs w:val="27"/>
          <w:color w:val="auto"/>
          <w:vertAlign w:val="superscript"/>
        </w:rPr>
      </w:pPr>
    </w:p>
    <w:p>
      <w:pPr>
        <w:ind w:left="700" w:hanging="319"/>
        <w:spacing w:after="0"/>
        <w:tabs>
          <w:tab w:leader="none" w:pos="700" w:val="left"/>
        </w:tabs>
        <w:numPr>
          <w:ilvl w:val="0"/>
          <w:numId w:val="38"/>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The impact of foreign exchange on the PRSU payout in excess of 5%;</w:t>
      </w:r>
    </w:p>
    <w:p>
      <w:pPr>
        <w:spacing w:after="0" w:line="117" w:lineRule="exact"/>
        <w:rPr>
          <w:rFonts w:ascii="Times New Roman" w:cs="Times New Roman" w:eastAsia="Times New Roman" w:hAnsi="Times New Roman"/>
          <w:sz w:val="27"/>
          <w:szCs w:val="27"/>
          <w:color w:val="auto"/>
          <w:vertAlign w:val="superscript"/>
        </w:rPr>
      </w:pPr>
    </w:p>
    <w:p>
      <w:pPr>
        <w:ind w:left="700" w:hanging="319"/>
        <w:spacing w:after="0" w:line="181" w:lineRule="auto"/>
        <w:tabs>
          <w:tab w:leader="none" w:pos="700" w:val="left"/>
        </w:tabs>
        <w:numPr>
          <w:ilvl w:val="0"/>
          <w:numId w:val="3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Changes in accounting practices to make figures comparable to the original operating plan; and</w:t>
      </w:r>
    </w:p>
    <w:p>
      <w:pPr>
        <w:spacing w:after="0" w:line="117" w:lineRule="exact"/>
        <w:rPr>
          <w:rFonts w:ascii="Times New Roman" w:cs="Times New Roman" w:eastAsia="Times New Roman" w:hAnsi="Times New Roman"/>
          <w:sz w:val="25"/>
          <w:szCs w:val="25"/>
          <w:color w:val="auto"/>
          <w:vertAlign w:val="superscript"/>
        </w:rPr>
      </w:pPr>
    </w:p>
    <w:p>
      <w:pPr>
        <w:ind w:left="700" w:hanging="319"/>
        <w:spacing w:after="0" w:line="181" w:lineRule="auto"/>
        <w:tabs>
          <w:tab w:leader="none" w:pos="700" w:val="left"/>
        </w:tabs>
        <w:numPr>
          <w:ilvl w:val="0"/>
          <w:numId w:val="38"/>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Tax expense on adjusted earnings and cash tax differences in excess of 5% of targets (positive or negative).</w:t>
      </w:r>
    </w:p>
    <w:p>
      <w:pPr>
        <w:spacing w:after="0" w:line="104" w:lineRule="exact"/>
        <w:rPr>
          <w:sz w:val="20"/>
          <w:szCs w:val="20"/>
          <w:color w:val="auto"/>
        </w:rPr>
      </w:pPr>
    </w:p>
    <w:p>
      <w:pPr>
        <w:ind w:left="160" w:right="180"/>
        <w:spacing w:after="0" w:line="255" w:lineRule="auto"/>
        <w:rPr>
          <w:sz w:val="20"/>
          <w:szCs w:val="20"/>
          <w:color w:val="auto"/>
        </w:rPr>
      </w:pPr>
      <w:r>
        <w:rPr>
          <w:rFonts w:ascii="Arial" w:cs="Arial" w:eastAsia="Arial" w:hAnsi="Arial"/>
          <w:sz w:val="17"/>
          <w:szCs w:val="17"/>
          <w:color w:val="auto"/>
        </w:rPr>
        <w:t>In addition, as PRSU terms do not expressly account for abnormally high currency volatility, the HR Committee uses a constant currency methodology for all PRSU grants. Using this methodology, performance is measured at actual foreign currency rates within a specified performance range to hold management accountable for managing volatility. Constant currency rates are utilized outside of this range when high volatility is outside of management control. We believe this methodology best measures management performance.</w:t>
      </w:r>
    </w:p>
    <w:p>
      <w:pPr>
        <w:spacing w:after="0" w:line="61"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As previously mentioned, PRSUs for the 2021-2023 performance period had a payout of 169% of target. For plan purposes, organic revenue growth had an average annual growth rate of 5.8% during the performance period compared to a target of 4.5%. Free cash flow per share for plan purposes had an average of $2.95 during the performance period compared to a target of $2.80.</w:t>
      </w:r>
    </w:p>
    <w:p>
      <w:pPr>
        <w:spacing w:after="0" w:line="65"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The following table sets forth information regarding our minimum, target, maximum and actual performance for the two financial metrics reflected in PRSUs granted to our named executive officers in 2021 for the three-year performance period ended December 31, 2023. These PRSU awards utilized average performance for organic revenue growth and free cash flow per share for the three-year period. The 2021-2023 targets for organic revenue growth and free cash flow per share contemplated increases each year for both metrics during the performance period. The results below are not directly comparable to similar financial measures that we disclose in our 2023 annual report because they are based on our internal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67310</wp:posOffset>
            </wp:positionV>
            <wp:extent cx="5137785" cy="11125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37785"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Stock options</w:t>
      </w:r>
    </w:p>
    <w:p>
      <w:pPr>
        <w:spacing w:after="0" w:line="51"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All options granted in 2023 vest 25% per year over four years. The exercise prices for options granted were equal to the closing price of our shares on the NYSE on the trading day immediately preceding the date of the grant. The expiration date for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75</w:t>
      </w:r>
    </w:p>
    <w:p>
      <w:pPr>
        <w:sectPr>
          <w:pgSz w:w="11900" w:h="16838" w:orient="portrait"/>
          <w:cols w:equalWidth="0" w:num="1">
            <w:col w:w="11080"/>
          </w:cols>
          <w:pgMar w:left="320" w:top="454"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granted in 2023 is 10 years from the grant date. Options expire at the later of the expiration date or, if that date occurs during a blackout period or other period during which an insider is prohibited from trading in our securities by our insider trading policy, 10 business days after the period ends, subject to certain exceptions. Other than their alignment to our company’s share price, options do not contain additional performance goals.</w:t>
      </w:r>
    </w:p>
    <w:p>
      <w:pPr>
        <w:spacing w:after="0" w:line="71"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In determining the number of options to be granted to each named executive officer, the HR Committee initially determines a target economic value for the total award. For options granted in 2023, the HR Committee calculated the grant date fair values using common share prices and a Black-Scholes valuation (as described in more detail in the Summary Compensation Table contained in this circular). The HR Committee uses a Black-Scholes value in order to maintain year-to-year consistency in determining the number of options to be granted.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TRSUs</w:t>
      </w:r>
    </w:p>
    <w:p>
      <w:pPr>
        <w:spacing w:after="0" w:line="51"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2023 long-term incentive awards included a component of TRSUs to promote retention. These TRSUs are scheduled to vest in 2026, subject to award terms and conditions.</w:t>
      </w:r>
    </w:p>
    <w:p>
      <w:pPr>
        <w:spacing w:after="0" w:line="5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While TRSUs are not subject to performance conditions, we believe they are effective retention tools as their value is often seen as more tangible by recipients and they require longer-time service to be earned. The value of TRSUs is directly aligned with our share price and is consistent with our philosophy of paying competitive compensation.</w:t>
      </w:r>
    </w:p>
    <w:p>
      <w:pPr>
        <w:spacing w:after="0" w:line="65" w:lineRule="exact"/>
        <w:rPr>
          <w:sz w:val="20"/>
          <w:szCs w:val="20"/>
          <w:color w:val="auto"/>
        </w:rPr>
      </w:pPr>
    </w:p>
    <w:p>
      <w:pPr>
        <w:ind w:left="160" w:right="580"/>
        <w:spacing w:after="0" w:line="265" w:lineRule="auto"/>
        <w:rPr>
          <w:sz w:val="20"/>
          <w:szCs w:val="20"/>
          <w:color w:val="auto"/>
        </w:rPr>
      </w:pPr>
      <w:r>
        <w:rPr>
          <w:rFonts w:ascii="Arial" w:cs="Arial" w:eastAsia="Arial" w:hAnsi="Arial"/>
          <w:sz w:val="18"/>
          <w:szCs w:val="18"/>
          <w:color w:val="auto"/>
        </w:rPr>
        <w:t>In 2023, Laura Clayton McDonnell received a sign-on TRSU grant in connection with joining our company to replace compensation forfeited at her prior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76   Management Proxy Circular and Notice of Annual Meeting of Shareholders</w:t>
      </w:r>
    </w:p>
    <w:p>
      <w:pPr>
        <w:sectPr>
          <w:pgSz w:w="11900" w:h="16838" w:orient="portrait"/>
          <w:cols w:equalWidth="0" w:num="1">
            <w:col w:w="11040"/>
          </w:cols>
          <w:pgMar w:left="320" w:top="454" w:right="5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2023 Named Executive Officer Compensation and Key Accomplishments</w:t>
      </w:r>
    </w:p>
    <w:p>
      <w:pPr>
        <w:spacing w:after="0" w:line="119"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The following section provides information about 2023 performance and compensation for our named executive officers. The tables in this section help show how we pay for performance. In the tables below, compensation figures reflect target total direct compensation as at the end of 2023 as opposed to actual compensation received for 2023 (as described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0" w:lineRule="exact"/>
        <w:rPr>
          <w:sz w:val="20"/>
          <w:szCs w:val="20"/>
          <w:color w:val="auto"/>
        </w:rPr>
      </w:pPr>
    </w:p>
    <w:p>
      <w:pPr>
        <w:ind w:left="2020"/>
        <w:spacing w:after="0"/>
        <w:rPr>
          <w:sz w:val="20"/>
          <w:szCs w:val="20"/>
          <w:color w:val="auto"/>
        </w:rPr>
      </w:pPr>
      <w:r>
        <w:rPr>
          <w:rFonts w:ascii="Arial" w:cs="Arial" w:eastAsia="Arial" w:hAnsi="Arial"/>
          <w:sz w:val="25"/>
          <w:szCs w:val="25"/>
          <w:b w:val="1"/>
          <w:bCs w:val="1"/>
          <w:color w:val="B94831"/>
        </w:rPr>
        <w:t>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968375" cy="9683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13" w:lineRule="exact"/>
        <w:rPr>
          <w:sz w:val="20"/>
          <w:szCs w:val="20"/>
          <w:color w:val="auto"/>
        </w:rPr>
      </w:pPr>
    </w:p>
    <w:p>
      <w:pPr>
        <w:ind w:left="2020"/>
        <w:spacing w:after="0"/>
        <w:rPr>
          <w:sz w:val="20"/>
          <w:szCs w:val="20"/>
          <w:color w:val="auto"/>
        </w:rPr>
      </w:pPr>
      <w:r>
        <w:rPr>
          <w:rFonts w:ascii="Arial" w:cs="Arial" w:eastAsia="Arial" w:hAnsi="Arial"/>
          <w:sz w:val="25"/>
          <w:szCs w:val="25"/>
          <w:color w:val="B94831"/>
        </w:rPr>
        <w:t>President and Chief Executive Officer</w:t>
      </w:r>
    </w:p>
    <w:p>
      <w:pPr>
        <w:spacing w:after="0" w:line="107" w:lineRule="exact"/>
        <w:rPr>
          <w:sz w:val="20"/>
          <w:szCs w:val="20"/>
          <w:color w:val="auto"/>
        </w:rPr>
      </w:pPr>
    </w:p>
    <w:p>
      <w:pPr>
        <w:ind w:left="2020" w:right="40"/>
        <w:spacing w:after="0" w:line="235" w:lineRule="auto"/>
        <w:rPr>
          <w:sz w:val="20"/>
          <w:szCs w:val="20"/>
          <w:color w:val="auto"/>
        </w:rPr>
      </w:pPr>
      <w:r>
        <w:rPr>
          <w:rFonts w:ascii="Arial" w:cs="Arial" w:eastAsia="Arial" w:hAnsi="Arial"/>
          <w:sz w:val="18"/>
          <w:szCs w:val="18"/>
          <w:color w:val="auto"/>
        </w:rPr>
        <w:t>Steve Hasker has been President and Chief Executive Officer and a director of our company since March 2020. Prior to joining Thomson Reuters in February 2020, he was Senior Adviser to TPG Capital, a private equity firm, from August 2019 to February 2020. Prior to that, Steve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w:t>
      </w:r>
    </w:p>
    <w:p>
      <w:pPr>
        <w:spacing w:after="0" w:line="4" w:lineRule="exact"/>
        <w:rPr>
          <w:sz w:val="20"/>
          <w:szCs w:val="20"/>
          <w:color w:val="auto"/>
        </w:rPr>
      </w:pPr>
    </w:p>
    <w:p>
      <w:pPr>
        <w:ind w:left="2020" w:right="420"/>
        <w:spacing w:after="0" w:line="236" w:lineRule="auto"/>
        <w:rPr>
          <w:sz w:val="20"/>
          <w:szCs w:val="20"/>
          <w:color w:val="auto"/>
        </w:rPr>
      </w:pPr>
      <w:r>
        <w:rPr>
          <w:rFonts w:ascii="Arial" w:cs="Arial" w:eastAsia="Arial" w:hAnsi="Arial"/>
          <w:sz w:val="18"/>
          <w:szCs w:val="18"/>
          <w:color w:val="auto"/>
        </w:rPr>
        <w:t>2009. Before joining McKinsey, Steve spent five years in several financial roles in the United States and other countries. Steve started his career with PwC, where he qualified as a chartered accountant. Steve has an undergraduate economics degree from the University of Melbourne and received an MBA and master’s in international affairs from Columbia University. Steve is also a non-executive director of Appen Limited. He is a member of the Australia and New Zealand Institute of Chartered Accountants.</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Performance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Steve’s leadership in 2023:</w:t>
      </w:r>
    </w:p>
    <w:p>
      <w:pPr>
        <w:spacing w:after="0" w:line="114" w:lineRule="exact"/>
        <w:rPr>
          <w:sz w:val="20"/>
          <w:szCs w:val="20"/>
          <w:color w:val="auto"/>
        </w:rPr>
      </w:pPr>
    </w:p>
    <w:p>
      <w:pPr>
        <w:ind w:left="700" w:right="180" w:hanging="319"/>
        <w:spacing w:after="0" w:line="210" w:lineRule="auto"/>
        <w:tabs>
          <w:tab w:leader="none" w:pos="700" w:val="left"/>
        </w:tabs>
        <w:numPr>
          <w:ilvl w:val="0"/>
          <w:numId w:val="39"/>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In 2023, we made significant investments in AI-based initiatives, including generative AI. In November 2023, we announced a series of generative AI initiatives designed to transform the legal profession. Most notably, the commercial releases of AI-Assisted Research on Westlaw Precision and CoCounsel Core.</w:t>
      </w:r>
    </w:p>
    <w:p>
      <w:pPr>
        <w:spacing w:after="0" w:line="88" w:lineRule="exact"/>
        <w:rPr>
          <w:rFonts w:ascii="Times New Roman" w:cs="Times New Roman" w:eastAsia="Times New Roman" w:hAnsi="Times New Roman"/>
          <w:sz w:val="27"/>
          <w:szCs w:val="27"/>
          <w:color w:val="auto"/>
          <w:vertAlign w:val="superscript"/>
        </w:rPr>
      </w:pPr>
    </w:p>
    <w:p>
      <w:pPr>
        <w:ind w:left="700" w:right="180" w:hanging="319"/>
        <w:spacing w:after="0" w:line="215" w:lineRule="auto"/>
        <w:tabs>
          <w:tab w:leader="none" w:pos="700" w:val="left"/>
        </w:tabs>
        <w:numPr>
          <w:ilvl w:val="0"/>
          <w:numId w:val="39"/>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achieved all our 2023 key financial targets, including organic revenue growth, adjusted EBITDA margin and free cash flow, setting up the company to invest in its future. We delivered on our ‘build, partner, buy’ strategy with remarkable speed and decisiveness. This acceleration significantly strengthened our capability to offer top-tier solutions across our portfolio including the additional investment of over $100 million per year in AI.</w:t>
      </w:r>
    </w:p>
    <w:p>
      <w:pPr>
        <w:spacing w:after="0" w:line="88" w:lineRule="exact"/>
        <w:rPr>
          <w:rFonts w:ascii="Times New Roman" w:cs="Times New Roman" w:eastAsia="Times New Roman" w:hAnsi="Times New Roman"/>
          <w:sz w:val="27"/>
          <w:szCs w:val="27"/>
          <w:color w:val="auto"/>
          <w:vertAlign w:val="superscript"/>
        </w:rPr>
      </w:pPr>
    </w:p>
    <w:p>
      <w:pPr>
        <w:ind w:left="700" w:right="620" w:hanging="319"/>
        <w:spacing w:after="0" w:line="202" w:lineRule="auto"/>
        <w:tabs>
          <w:tab w:leader="none" w:pos="700" w:val="left"/>
        </w:tabs>
        <w:numPr>
          <w:ilvl w:val="0"/>
          <w:numId w:val="39"/>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In 2023, we further deepened our focus on content enabled technology with the acquisitions of SurePrep, LLC, Imagen Ltd., Casetext, Inc., and the remaining interest in Westlaw Japan.</w:t>
      </w:r>
    </w:p>
    <w:p>
      <w:pPr>
        <w:spacing w:after="0" w:line="86" w:lineRule="exact"/>
        <w:rPr>
          <w:rFonts w:ascii="Times New Roman" w:cs="Times New Roman" w:eastAsia="Times New Roman" w:hAnsi="Times New Roman"/>
          <w:sz w:val="27"/>
          <w:szCs w:val="27"/>
          <w:color w:val="auto"/>
          <w:vertAlign w:val="superscript"/>
        </w:rPr>
      </w:pPr>
    </w:p>
    <w:p>
      <w:pPr>
        <w:ind w:left="700" w:right="500" w:hanging="319"/>
        <w:spacing w:after="0" w:line="211" w:lineRule="auto"/>
        <w:tabs>
          <w:tab w:leader="none" w:pos="700" w:val="left"/>
        </w:tabs>
        <w:numPr>
          <w:ilvl w:val="0"/>
          <w:numId w:val="39"/>
        </w:numPr>
        <w:rPr>
          <w:rFonts w:ascii="Times New Roman" w:cs="Times New Roman" w:eastAsia="Times New Roman" w:hAnsi="Times New Roman"/>
          <w:sz w:val="26"/>
          <w:szCs w:val="26"/>
          <w:color w:val="auto"/>
          <w:vertAlign w:val="superscript"/>
        </w:rPr>
      </w:pPr>
      <w:r>
        <w:rPr>
          <w:rFonts w:ascii="Arial" w:cs="Arial" w:eastAsia="Arial" w:hAnsi="Arial"/>
          <w:sz w:val="17"/>
          <w:szCs w:val="17"/>
          <w:color w:val="auto"/>
        </w:rPr>
        <w:t>We achieved significant progress in enhancing shareholder value by successfully monetizing a $5.4 billion stake in LSEG and returning over $3 billion to our shareholders through our return of capital transaction and our share repurchase programs.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Target Compensation</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4"/>
        </w:trPr>
        <w:tc>
          <w:tcPr>
            <w:tcW w:w="3420" w:type="dxa"/>
            <w:vAlign w:val="bottom"/>
          </w:tcPr>
          <w:p>
            <w:pPr>
              <w:spacing w:after="0"/>
              <w:rPr>
                <w:sz w:val="24"/>
                <w:szCs w:val="24"/>
                <w:color w:val="auto"/>
              </w:rPr>
            </w:pPr>
          </w:p>
        </w:tc>
        <w:tc>
          <w:tcPr>
            <w:tcW w:w="1300" w:type="dxa"/>
            <w:vAlign w:val="bottom"/>
            <w:tcBorders>
              <w:right w:val="single" w:sz="8" w:color="AFAFAF"/>
            </w:tcBorders>
          </w:tcPr>
          <w:p>
            <w:pPr>
              <w:spacing w:after="0"/>
              <w:rPr>
                <w:sz w:val="24"/>
                <w:szCs w:val="24"/>
                <w:color w:val="auto"/>
              </w:rPr>
            </w:pPr>
          </w:p>
        </w:tc>
        <w:tc>
          <w:tcPr>
            <w:tcW w:w="3980" w:type="dxa"/>
            <w:vAlign w:val="bottom"/>
            <w:tcBorders>
              <w:top w:val="single" w:sz="8" w:color="B94831"/>
              <w:right w:val="single" w:sz="8" w:color="AFAFAF"/>
            </w:tcBorders>
            <w:gridSpan w:val="2"/>
          </w:tcPr>
          <w:p>
            <w:pPr>
              <w:jc w:val="right"/>
              <w:ind w:right="529"/>
              <w:spacing w:after="0"/>
              <w:rPr>
                <w:sz w:val="20"/>
                <w:szCs w:val="20"/>
                <w:color w:val="auto"/>
              </w:rPr>
            </w:pPr>
            <w:r>
              <w:rPr>
                <w:rFonts w:ascii="Arial" w:cs="Arial" w:eastAsia="Arial" w:hAnsi="Arial"/>
                <w:sz w:val="15"/>
                <w:szCs w:val="15"/>
                <w:b w:val="1"/>
                <w:bCs w:val="1"/>
                <w:color w:val="auto"/>
              </w:rPr>
              <w:t>Target Total Direct Compensation (2023)</w:t>
            </w:r>
          </w:p>
        </w:tc>
        <w:tc>
          <w:tcPr>
            <w:tcW w:w="1060" w:type="dxa"/>
            <w:vAlign w:val="bottom"/>
            <w:tcBorders>
              <w:top w:val="single" w:sz="8" w:color="B94831"/>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5"/>
                <w:szCs w:val="15"/>
                <w:b w:val="1"/>
                <w:bCs w:val="1"/>
                <w:color w:val="auto"/>
              </w:rPr>
              <w:t>Fixed</w:t>
            </w:r>
          </w:p>
        </w:tc>
        <w:tc>
          <w:tcPr>
            <w:tcW w:w="116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5"/>
                <w:szCs w:val="15"/>
                <w:b w:val="1"/>
                <w:bCs w:val="1"/>
                <w:color w:val="auto"/>
              </w:rPr>
              <w:t>Variable</w:t>
            </w:r>
          </w:p>
        </w:tc>
      </w:tr>
      <w:tr>
        <w:trPr>
          <w:trHeight w:val="301"/>
        </w:trPr>
        <w:tc>
          <w:tcPr>
            <w:tcW w:w="3420" w:type="dxa"/>
            <w:vAlign w:val="bottom"/>
          </w:tcPr>
          <w:p>
            <w:pPr>
              <w:spacing w:after="0"/>
              <w:rPr>
                <w:sz w:val="24"/>
                <w:szCs w:val="24"/>
                <w:color w:val="auto"/>
              </w:rPr>
            </w:pPr>
          </w:p>
        </w:tc>
        <w:tc>
          <w:tcPr>
            <w:tcW w:w="1300" w:type="dxa"/>
            <w:vAlign w:val="bottom"/>
            <w:tcBorders>
              <w:right w:val="single" w:sz="8" w:color="AFAFAF"/>
            </w:tcBorders>
          </w:tcPr>
          <w:p>
            <w:pPr>
              <w:jc w:val="right"/>
              <w:ind w:right="169"/>
              <w:spacing w:after="0"/>
              <w:rPr>
                <w:sz w:val="20"/>
                <w:szCs w:val="20"/>
                <w:color w:val="auto"/>
              </w:rPr>
            </w:pPr>
            <w:r>
              <w:rPr>
                <w:rFonts w:ascii="Arial" w:cs="Arial" w:eastAsia="Arial" w:hAnsi="Arial"/>
                <w:sz w:val="14"/>
                <w:szCs w:val="14"/>
                <w:b w:val="1"/>
                <w:bCs w:val="1"/>
                <w:color w:val="auto"/>
              </w:rPr>
              <w:t>C$</w:t>
            </w:r>
          </w:p>
        </w:tc>
        <w:tc>
          <w:tcPr>
            <w:tcW w:w="170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b w:val="1"/>
                <w:bCs w:val="1"/>
                <w:color w:val="auto"/>
              </w:rPr>
              <w:t>% of base salary</w:t>
            </w:r>
          </w:p>
        </w:tc>
        <w:tc>
          <w:tcPr>
            <w:tcW w:w="1060" w:type="dxa"/>
            <w:vAlign w:val="bottom"/>
            <w:tcBorders>
              <w:top w:val="single" w:sz="8" w:color="B94831"/>
              <w:bottom w:val="single" w:sz="8" w:color="BFBFBF"/>
              <w:right w:val="single" w:sz="8" w:color="AFAFAF"/>
            </w:tcBorders>
            <w:shd w:val="clear" w:color="auto" w:fill="BFBFBF"/>
          </w:tcPr>
          <w:p>
            <w:pPr>
              <w:spacing w:after="0"/>
              <w:rPr>
                <w:sz w:val="24"/>
                <w:szCs w:val="24"/>
                <w:color w:val="auto"/>
              </w:rPr>
            </w:pPr>
          </w:p>
        </w:tc>
        <w:tc>
          <w:tcPr>
            <w:tcW w:w="1160" w:type="dxa"/>
            <w:vAlign w:val="bottom"/>
            <w:tcBorders>
              <w:top w:val="single" w:sz="8" w:color="B94831"/>
              <w:bottom w:val="single" w:sz="8" w:color="BFBFBF"/>
            </w:tcBorders>
            <w:shd w:val="clear" w:color="auto" w:fill="BFBFBF"/>
          </w:tcPr>
          <w:p>
            <w:pPr>
              <w:spacing w:after="0"/>
              <w:rPr>
                <w:sz w:val="24"/>
                <w:szCs w:val="24"/>
                <w:color w:val="auto"/>
              </w:rPr>
            </w:pPr>
          </w:p>
        </w:tc>
      </w:tr>
      <w:tr>
        <w:trPr>
          <w:trHeight w:val="274"/>
        </w:trPr>
        <w:tc>
          <w:tcPr>
            <w:tcW w:w="342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 Base salary</w:t>
            </w:r>
          </w:p>
        </w:tc>
        <w:tc>
          <w:tcPr>
            <w:tcW w:w="1300" w:type="dxa"/>
            <w:vAlign w:val="bottom"/>
            <w:tcBorders>
              <w:top w:val="single" w:sz="8" w:color="B94831"/>
              <w:right w:val="single" w:sz="8" w:color="AFAFAF"/>
            </w:tcBorders>
          </w:tcPr>
          <w:p>
            <w:pPr>
              <w:jc w:val="right"/>
              <w:ind w:right="169"/>
              <w:spacing w:after="0"/>
              <w:rPr>
                <w:sz w:val="20"/>
                <w:szCs w:val="20"/>
                <w:color w:val="auto"/>
              </w:rPr>
            </w:pPr>
            <w:r>
              <w:rPr>
                <w:rFonts w:ascii="Arial" w:cs="Arial" w:eastAsia="Arial" w:hAnsi="Arial"/>
                <w:sz w:val="14"/>
                <w:szCs w:val="14"/>
                <w:color w:val="auto"/>
              </w:rPr>
              <w:t>1,495,000</w:t>
            </w:r>
          </w:p>
        </w:tc>
        <w:tc>
          <w:tcPr>
            <w:tcW w:w="170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1,109,576</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94831"/>
              <w:bottom w:val="single" w:sz="8" w:color="BFBFBF"/>
              <w:right w:val="single" w:sz="8" w:color="AFAFAF"/>
            </w:tcBorders>
            <w:shd w:val="clear" w:color="auto" w:fill="BFBFBF"/>
          </w:tcPr>
          <w:p>
            <w:pPr>
              <w:jc w:val="right"/>
              <w:ind w:right="148"/>
              <w:spacing w:after="0"/>
              <w:rPr>
                <w:sz w:val="20"/>
                <w:szCs w:val="20"/>
                <w:color w:val="auto"/>
              </w:rPr>
            </w:pPr>
            <w:r>
              <w:rPr>
                <w:rFonts w:ascii="Arial" w:cs="Arial" w:eastAsia="Arial" w:hAnsi="Arial"/>
                <w:sz w:val="14"/>
                <w:szCs w:val="14"/>
                <w:color w:val="auto"/>
              </w:rPr>
              <w:t>11%</w:t>
            </w:r>
          </w:p>
        </w:tc>
        <w:tc>
          <w:tcPr>
            <w:tcW w:w="1160" w:type="dxa"/>
            <w:vAlign w:val="bottom"/>
            <w:tcBorders>
              <w:top w:val="single" w:sz="8" w:color="B94831"/>
              <w:bottom w:val="single" w:sz="8" w:color="BFBFBF"/>
            </w:tcBorders>
            <w:shd w:val="clear" w:color="auto" w:fill="BFBFBF"/>
          </w:tcPr>
          <w:p>
            <w:pPr>
              <w:spacing w:after="0"/>
              <w:rPr>
                <w:sz w:val="23"/>
                <w:szCs w:val="23"/>
                <w:color w:val="auto"/>
              </w:rPr>
            </w:pPr>
          </w:p>
        </w:tc>
      </w:tr>
      <w:tr>
        <w:trPr>
          <w:trHeight w:val="274"/>
        </w:trPr>
        <w:tc>
          <w:tcPr>
            <w:tcW w:w="342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 Annual incentive award</w:t>
            </w:r>
          </w:p>
        </w:tc>
        <w:tc>
          <w:tcPr>
            <w:tcW w:w="1300" w:type="dxa"/>
            <w:vAlign w:val="bottom"/>
            <w:tcBorders>
              <w:top w:val="single" w:sz="8" w:color="AFAFAF"/>
              <w:right w:val="single" w:sz="8" w:color="AFAFAF"/>
            </w:tcBorders>
          </w:tcPr>
          <w:p>
            <w:pPr>
              <w:jc w:val="right"/>
              <w:ind w:right="169"/>
              <w:spacing w:after="0"/>
              <w:rPr>
                <w:sz w:val="20"/>
                <w:szCs w:val="20"/>
                <w:color w:val="auto"/>
              </w:rPr>
            </w:pPr>
            <w:r>
              <w:rPr>
                <w:rFonts w:ascii="Arial" w:cs="Arial" w:eastAsia="Arial" w:hAnsi="Arial"/>
                <w:sz w:val="14"/>
                <w:szCs w:val="14"/>
                <w:color w:val="auto"/>
              </w:rPr>
              <w:t>2,990,000</w:t>
            </w:r>
          </w:p>
        </w:tc>
        <w:tc>
          <w:tcPr>
            <w:tcW w:w="170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2,219,152</w:t>
            </w:r>
          </w:p>
        </w:tc>
        <w:tc>
          <w:tcPr>
            <w:tcW w:w="2280" w:type="dxa"/>
            <w:vAlign w:val="bottom"/>
            <w:tcBorders>
              <w:top w:val="single" w:sz="8" w:color="AFAFAF"/>
              <w:right w:val="single" w:sz="8" w:color="AFAFAF"/>
            </w:tcBorders>
          </w:tcPr>
          <w:p>
            <w:pPr>
              <w:jc w:val="right"/>
              <w:ind w:right="289"/>
              <w:spacing w:after="0"/>
              <w:rPr>
                <w:sz w:val="20"/>
                <w:szCs w:val="20"/>
                <w:color w:val="auto"/>
              </w:rPr>
            </w:pPr>
            <w:r>
              <w:rPr>
                <w:rFonts w:ascii="Arial" w:cs="Arial" w:eastAsia="Arial" w:hAnsi="Arial"/>
                <w:sz w:val="14"/>
                <w:szCs w:val="14"/>
                <w:color w:val="auto"/>
              </w:rPr>
              <w:t>200%</w:t>
            </w:r>
          </w:p>
        </w:tc>
        <w:tc>
          <w:tcPr>
            <w:tcW w:w="1060" w:type="dxa"/>
            <w:vAlign w:val="bottom"/>
            <w:tcBorders>
              <w:top w:val="single" w:sz="8" w:color="AFAFAF"/>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FAFAF"/>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22%</w:t>
            </w:r>
          </w:p>
        </w:tc>
      </w:tr>
      <w:tr>
        <w:trPr>
          <w:trHeight w:val="274"/>
        </w:trPr>
        <w:tc>
          <w:tcPr>
            <w:tcW w:w="342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 Long-term incentive awards</w:t>
            </w:r>
          </w:p>
        </w:tc>
        <w:tc>
          <w:tcPr>
            <w:tcW w:w="1300" w:type="dxa"/>
            <w:vAlign w:val="bottom"/>
            <w:tcBorders>
              <w:top w:val="single" w:sz="8" w:color="AFAFAF"/>
              <w:right w:val="single" w:sz="8" w:color="AFAFAF"/>
            </w:tcBorders>
          </w:tcPr>
          <w:p>
            <w:pPr>
              <w:jc w:val="right"/>
              <w:ind w:right="169"/>
              <w:spacing w:after="0"/>
              <w:rPr>
                <w:sz w:val="20"/>
                <w:szCs w:val="20"/>
                <w:color w:val="auto"/>
              </w:rPr>
            </w:pPr>
            <w:r>
              <w:rPr>
                <w:rFonts w:ascii="Arial" w:cs="Arial" w:eastAsia="Arial" w:hAnsi="Arial"/>
                <w:sz w:val="14"/>
                <w:szCs w:val="14"/>
                <w:color w:val="auto"/>
              </w:rPr>
              <w:t>8,970,000</w:t>
            </w:r>
          </w:p>
        </w:tc>
        <w:tc>
          <w:tcPr>
            <w:tcW w:w="170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6,657,456</w:t>
            </w:r>
          </w:p>
        </w:tc>
        <w:tc>
          <w:tcPr>
            <w:tcW w:w="2280" w:type="dxa"/>
            <w:vAlign w:val="bottom"/>
            <w:tcBorders>
              <w:top w:val="single" w:sz="8" w:color="AFAFAF"/>
              <w:right w:val="single" w:sz="8" w:color="AFAFAF"/>
            </w:tcBorders>
          </w:tcPr>
          <w:p>
            <w:pPr>
              <w:jc w:val="right"/>
              <w:ind w:right="289"/>
              <w:spacing w:after="0"/>
              <w:rPr>
                <w:sz w:val="20"/>
                <w:szCs w:val="20"/>
                <w:color w:val="auto"/>
              </w:rPr>
            </w:pPr>
            <w:r>
              <w:rPr>
                <w:rFonts w:ascii="Arial" w:cs="Arial" w:eastAsia="Arial" w:hAnsi="Arial"/>
                <w:sz w:val="14"/>
                <w:szCs w:val="14"/>
                <w:color w:val="auto"/>
              </w:rPr>
              <w:t>600%</w:t>
            </w:r>
          </w:p>
        </w:tc>
        <w:tc>
          <w:tcPr>
            <w:tcW w:w="1060" w:type="dxa"/>
            <w:vAlign w:val="bottom"/>
            <w:tcBorders>
              <w:top w:val="single" w:sz="8" w:color="AFAFAF"/>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FAFAF"/>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67%</w:t>
            </w:r>
          </w:p>
        </w:tc>
      </w:tr>
      <w:tr>
        <w:trPr>
          <w:trHeight w:val="254"/>
        </w:trPr>
        <w:tc>
          <w:tcPr>
            <w:tcW w:w="342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 Total</w:t>
            </w:r>
          </w:p>
        </w:tc>
        <w:tc>
          <w:tcPr>
            <w:tcW w:w="1300" w:type="dxa"/>
            <w:vAlign w:val="bottom"/>
            <w:tcBorders>
              <w:top w:val="single" w:sz="8" w:color="B94831"/>
              <w:right w:val="single" w:sz="8" w:color="AFAFAF"/>
            </w:tcBorders>
          </w:tcPr>
          <w:p>
            <w:pPr>
              <w:jc w:val="right"/>
              <w:ind w:right="169"/>
              <w:spacing w:after="0"/>
              <w:rPr>
                <w:sz w:val="20"/>
                <w:szCs w:val="20"/>
                <w:color w:val="auto"/>
              </w:rPr>
            </w:pPr>
            <w:r>
              <w:rPr>
                <w:rFonts w:ascii="Arial" w:cs="Arial" w:eastAsia="Arial" w:hAnsi="Arial"/>
                <w:sz w:val="14"/>
                <w:szCs w:val="14"/>
                <w:color w:val="auto"/>
              </w:rPr>
              <w:t>13,455,000</w:t>
            </w:r>
          </w:p>
        </w:tc>
        <w:tc>
          <w:tcPr>
            <w:tcW w:w="170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9,986,184</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94831"/>
              <w:bottom w:val="single" w:sz="8" w:color="BFBFBF"/>
              <w:right w:val="single" w:sz="8" w:color="AFAFAF"/>
            </w:tcBorders>
            <w:shd w:val="clear" w:color="auto" w:fill="BFBFBF"/>
          </w:tcPr>
          <w:p>
            <w:pPr>
              <w:jc w:val="right"/>
              <w:ind w:right="148"/>
              <w:spacing w:after="0"/>
              <w:rPr>
                <w:sz w:val="20"/>
                <w:szCs w:val="20"/>
                <w:color w:val="auto"/>
              </w:rPr>
            </w:pPr>
            <w:r>
              <w:rPr>
                <w:rFonts w:ascii="Arial" w:cs="Arial" w:eastAsia="Arial" w:hAnsi="Arial"/>
                <w:sz w:val="14"/>
                <w:szCs w:val="14"/>
                <w:color w:val="auto"/>
              </w:rPr>
              <w:t>11%</w:t>
            </w:r>
          </w:p>
        </w:tc>
        <w:tc>
          <w:tcPr>
            <w:tcW w:w="1160" w:type="dxa"/>
            <w:vAlign w:val="bottom"/>
            <w:tcBorders>
              <w:top w:val="single" w:sz="8" w:color="B94831"/>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89%</w:t>
            </w:r>
          </w:p>
        </w:tc>
      </w:tr>
      <w:tr>
        <w:trPr>
          <w:trHeight w:val="20"/>
        </w:trPr>
        <w:tc>
          <w:tcPr>
            <w:tcW w:w="3420" w:type="dxa"/>
            <w:vAlign w:val="bottom"/>
            <w:tcBorders>
              <w:right w:val="single" w:sz="8" w:color="AFAFAF"/>
            </w:tcBorders>
            <w:shd w:val="clear" w:color="auto" w:fill="B94831"/>
          </w:tcPr>
          <w:p>
            <w:pPr>
              <w:spacing w:after="0" w:line="20" w:lineRule="exact"/>
              <w:rPr>
                <w:sz w:val="1"/>
                <w:szCs w:val="1"/>
                <w:color w:val="auto"/>
              </w:rPr>
            </w:pPr>
          </w:p>
        </w:tc>
        <w:tc>
          <w:tcPr>
            <w:tcW w:w="1300" w:type="dxa"/>
            <w:vAlign w:val="bottom"/>
            <w:tcBorders>
              <w:right w:val="single" w:sz="8" w:color="AFAFAF"/>
            </w:tcBorders>
            <w:shd w:val="clear" w:color="auto" w:fill="B94831"/>
          </w:tcPr>
          <w:p>
            <w:pPr>
              <w:spacing w:after="0" w:line="20" w:lineRule="exact"/>
              <w:rPr>
                <w:sz w:val="1"/>
                <w:szCs w:val="1"/>
                <w:color w:val="auto"/>
              </w:rPr>
            </w:pPr>
          </w:p>
        </w:tc>
        <w:tc>
          <w:tcPr>
            <w:tcW w:w="1700" w:type="dxa"/>
            <w:vAlign w:val="bottom"/>
            <w:tcBorders>
              <w:right w:val="single" w:sz="8" w:color="AFAFAF"/>
            </w:tcBorders>
            <w:shd w:val="clear" w:color="auto" w:fill="B94831"/>
          </w:tcPr>
          <w:p>
            <w:pPr>
              <w:spacing w:after="0" w:line="20" w:lineRule="exact"/>
              <w:rPr>
                <w:sz w:val="1"/>
                <w:szCs w:val="1"/>
                <w:color w:val="auto"/>
              </w:rPr>
            </w:pPr>
          </w:p>
        </w:tc>
        <w:tc>
          <w:tcPr>
            <w:tcW w:w="2280" w:type="dxa"/>
            <w:vAlign w:val="bottom"/>
            <w:tcBorders>
              <w:right w:val="single" w:sz="8" w:color="AFAFAF"/>
            </w:tcBorders>
            <w:shd w:val="clear" w:color="auto" w:fill="B94831"/>
          </w:tcPr>
          <w:p>
            <w:pPr>
              <w:spacing w:after="0" w:line="20" w:lineRule="exact"/>
              <w:rPr>
                <w:sz w:val="1"/>
                <w:szCs w:val="1"/>
                <w:color w:val="auto"/>
              </w:rPr>
            </w:pPr>
          </w:p>
        </w:tc>
        <w:tc>
          <w:tcPr>
            <w:tcW w:w="1060" w:type="dxa"/>
            <w:vAlign w:val="bottom"/>
            <w:tcBorders>
              <w:right w:val="single" w:sz="8" w:color="AFAFAF"/>
            </w:tcBorders>
            <w:shd w:val="clear" w:color="auto" w:fill="B94831"/>
          </w:tcPr>
          <w:p>
            <w:pPr>
              <w:spacing w:after="0" w:line="20" w:lineRule="exact"/>
              <w:rPr>
                <w:sz w:val="1"/>
                <w:szCs w:val="1"/>
                <w:color w:val="auto"/>
              </w:rPr>
            </w:pPr>
          </w:p>
        </w:tc>
        <w:tc>
          <w:tcPr>
            <w:tcW w:w="1160" w:type="dxa"/>
            <w:vAlign w:val="bottom"/>
            <w:shd w:val="clear" w:color="auto" w:fill="B94831"/>
          </w:tcPr>
          <w:p>
            <w:pPr>
              <w:spacing w:after="0" w:line="20" w:lineRule="exact"/>
              <w:rPr>
                <w:sz w:val="1"/>
                <w:szCs w:val="1"/>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Steve’s base salary was unchanged in 2023.</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Steve’s 2023 annual incentive award had a payout of 98% of target based on financial performance.</w:t>
      </w:r>
    </w:p>
    <w:p>
      <w:pPr>
        <w:spacing w:after="0" w:line="101" w:lineRule="exact"/>
        <w:rPr>
          <w:sz w:val="20"/>
          <w:szCs w:val="20"/>
          <w:color w:val="auto"/>
        </w:rPr>
      </w:pPr>
    </w:p>
    <w:p>
      <w:pPr>
        <w:jc w:val="both"/>
        <w:ind w:left="160" w:right="60"/>
        <w:spacing w:after="0" w:line="249"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Steve’s long-term incentive award was increased from 550% to 600% of his base salary to better align his</w:t>
      </w:r>
      <w:r>
        <w:rPr>
          <w:rFonts w:ascii="Arial" w:cs="Arial" w:eastAsia="Arial" w:hAnsi="Arial"/>
          <w:sz w:val="18"/>
          <w:szCs w:val="18"/>
          <w:b w:val="1"/>
          <w:bCs w:val="1"/>
          <w:color w:val="auto"/>
        </w:rPr>
        <w:t xml:space="preserve"> </w:t>
      </w:r>
      <w:r>
        <w:rPr>
          <w:rFonts w:ascii="Arial" w:cs="Arial" w:eastAsia="Arial" w:hAnsi="Arial"/>
          <w:sz w:val="18"/>
          <w:szCs w:val="18"/>
          <w:color w:val="auto"/>
        </w:rPr>
        <w:t>pay with the market. Steve’s 2023 award grant (based on 2022 performance) was split between 50% PRSUs, 25% TRSUs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77</w:t>
      </w:r>
    </w:p>
    <w:p>
      <w:pPr>
        <w:sectPr>
          <w:pgSz w:w="11900" w:h="16838" w:orient="portrait"/>
          <w:cols w:equalWidth="0" w:num="1">
            <w:col w:w="11080"/>
          </w:cols>
          <w:pgMar w:left="320" w:top="454"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2020"/>
        <w:spacing w:after="0"/>
        <w:rPr>
          <w:sz w:val="20"/>
          <w:szCs w:val="20"/>
          <w:color w:val="auto"/>
        </w:rPr>
      </w:pPr>
      <w:r>
        <w:rPr>
          <w:rFonts w:ascii="Arial" w:cs="Arial" w:eastAsia="Arial" w:hAnsi="Arial"/>
          <w:sz w:val="25"/>
          <w:szCs w:val="25"/>
          <w:b w:val="1"/>
          <w:bCs w:val="1"/>
          <w:color w:val="B94831"/>
        </w:rPr>
        <w:t>Mike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968375" cy="9683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13" w:lineRule="exact"/>
        <w:rPr>
          <w:sz w:val="20"/>
          <w:szCs w:val="20"/>
          <w:color w:val="auto"/>
        </w:rPr>
      </w:pPr>
    </w:p>
    <w:p>
      <w:pPr>
        <w:ind w:left="2020"/>
        <w:spacing w:after="0"/>
        <w:rPr>
          <w:sz w:val="20"/>
          <w:szCs w:val="20"/>
          <w:color w:val="auto"/>
        </w:rPr>
      </w:pPr>
      <w:r>
        <w:rPr>
          <w:rFonts w:ascii="Arial" w:cs="Arial" w:eastAsia="Arial" w:hAnsi="Arial"/>
          <w:sz w:val="25"/>
          <w:szCs w:val="25"/>
          <w:color w:val="B94831"/>
        </w:rPr>
        <w:t>Chief Financial Officer</w:t>
      </w:r>
    </w:p>
    <w:p>
      <w:pPr>
        <w:spacing w:after="0" w:line="107" w:lineRule="exact"/>
        <w:rPr>
          <w:sz w:val="20"/>
          <w:szCs w:val="20"/>
          <w:color w:val="auto"/>
        </w:rPr>
      </w:pPr>
    </w:p>
    <w:p>
      <w:pPr>
        <w:ind w:left="2020" w:right="80"/>
        <w:spacing w:after="0" w:line="239" w:lineRule="auto"/>
        <w:rPr>
          <w:sz w:val="20"/>
          <w:szCs w:val="20"/>
          <w:color w:val="auto"/>
        </w:rPr>
      </w:pPr>
      <w:r>
        <w:rPr>
          <w:rFonts w:ascii="Arial" w:cs="Arial" w:eastAsia="Arial" w:hAnsi="Arial"/>
          <w:sz w:val="18"/>
          <w:szCs w:val="18"/>
          <w:color w:val="auto"/>
        </w:rPr>
        <w:t>Mike Eastwood has been Chief Financial Officer of Thomson Reuters since March 2020. Mike joined Thomson in 1998 and has had several senior finance roles. Mike was previously Senior Vice President and Head of Corporate Finance from January 2016 to March 2020. Prior to that, he was Chief Operations Officer for Thomson Reuters Latin America from April 2014 to December 2015. Mike was also previously Chief Financial Officer of the company’s former Intellectual Property &amp; Science business (which was sold in 2016). Mike received a BSA in Accounting from East Carolina University and an MBA from the University of North Carolina.</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Performance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Mike’s leadership in 2023:</w:t>
      </w:r>
    </w:p>
    <w:p>
      <w:pPr>
        <w:spacing w:after="0" w:line="114" w:lineRule="exact"/>
        <w:rPr>
          <w:sz w:val="20"/>
          <w:szCs w:val="20"/>
          <w:color w:val="auto"/>
        </w:rPr>
      </w:pPr>
    </w:p>
    <w:p>
      <w:pPr>
        <w:ind w:left="700" w:right="100" w:hanging="319"/>
        <w:spacing w:after="0" w:line="218" w:lineRule="auto"/>
        <w:tabs>
          <w:tab w:leader="none" w:pos="700" w:val="left"/>
        </w:tabs>
        <w:numPr>
          <w:ilvl w:val="0"/>
          <w:numId w:val="40"/>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exceeded nearly all the financial performance metrics in our business outlook, which we confirmed in November 2023. While the loss of revenues from divested businesses mitigated total revenue growth to 3%, we reported organic revenue growth of 6% driven by increases in recurring and transactions revenues in our “Big 3” segments. Adjusted EBITDA margin increased to 39.3% from 35.1% in the prior year, benefiting from higher revenues and lower costs, which reflected Change Program investments made in the prior year.</w:t>
      </w:r>
    </w:p>
    <w:p>
      <w:pPr>
        <w:spacing w:after="0" w:line="89" w:lineRule="exact"/>
        <w:rPr>
          <w:rFonts w:ascii="Times New Roman" w:cs="Times New Roman" w:eastAsia="Times New Roman" w:hAnsi="Times New Roman"/>
          <w:sz w:val="27"/>
          <w:szCs w:val="27"/>
          <w:color w:val="auto"/>
          <w:vertAlign w:val="superscript"/>
        </w:rPr>
      </w:pPr>
    </w:p>
    <w:p>
      <w:pPr>
        <w:ind w:left="700" w:right="220" w:hanging="319"/>
        <w:spacing w:after="0" w:line="210" w:lineRule="auto"/>
        <w:tabs>
          <w:tab w:leader="none" w:pos="700" w:val="left"/>
        </w:tabs>
        <w:numPr>
          <w:ilvl w:val="0"/>
          <w:numId w:val="40"/>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In 2023, we further deepened our focus on content enabled technology with the acquisitions of SurePrep, LLC, Imagen Ltd., Casetext, Inc., and the remaining interest in Westlaw Japan. These acquisitions use automation, AI and machine learning to both improve workflows of our customers and improve the quality and growth prospects of our portfolio.</w:t>
      </w:r>
    </w:p>
    <w:p>
      <w:pPr>
        <w:spacing w:after="0" w:line="88" w:lineRule="exact"/>
        <w:rPr>
          <w:rFonts w:ascii="Times New Roman" w:cs="Times New Roman" w:eastAsia="Times New Roman" w:hAnsi="Times New Roman"/>
          <w:sz w:val="27"/>
          <w:szCs w:val="27"/>
          <w:color w:val="auto"/>
          <w:vertAlign w:val="superscript"/>
        </w:rPr>
      </w:pPr>
    </w:p>
    <w:p>
      <w:pPr>
        <w:ind w:left="700" w:right="20" w:hanging="319"/>
        <w:spacing w:after="0" w:line="215" w:lineRule="auto"/>
        <w:tabs>
          <w:tab w:leader="none" w:pos="700" w:val="left"/>
        </w:tabs>
        <w:numPr>
          <w:ilvl w:val="0"/>
          <w:numId w:val="40"/>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In 2023, we monetized $5.4 billion of our investment in LSEG and returned $3.1 billion to shareholders through our return of capital transaction and share repurchases. In February 2024, we announced a 10% or $0.20 per share annualized increase in our dividend to $2.16 per common share. This represents our 31st consecutive annual dividend increase, and the third consecutive year we increased our annual dividend by 10%.</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Target Compensation</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4"/>
        </w:trPr>
        <w:tc>
          <w:tcPr>
            <w:tcW w:w="3500" w:type="dxa"/>
            <w:vAlign w:val="bottom"/>
          </w:tcPr>
          <w:p>
            <w:pPr>
              <w:spacing w:after="0"/>
              <w:rPr>
                <w:sz w:val="24"/>
                <w:szCs w:val="24"/>
                <w:color w:val="auto"/>
              </w:rPr>
            </w:pPr>
          </w:p>
        </w:tc>
        <w:tc>
          <w:tcPr>
            <w:tcW w:w="1200" w:type="dxa"/>
            <w:vAlign w:val="bottom"/>
            <w:tcBorders>
              <w:right w:val="single" w:sz="8" w:color="AFAFAF"/>
            </w:tcBorders>
          </w:tcPr>
          <w:p>
            <w:pPr>
              <w:spacing w:after="0"/>
              <w:rPr>
                <w:sz w:val="24"/>
                <w:szCs w:val="24"/>
                <w:color w:val="auto"/>
              </w:rPr>
            </w:pPr>
          </w:p>
        </w:tc>
        <w:tc>
          <w:tcPr>
            <w:tcW w:w="4000" w:type="dxa"/>
            <w:vAlign w:val="bottom"/>
            <w:tcBorders>
              <w:top w:val="single" w:sz="8" w:color="B94831"/>
              <w:right w:val="single" w:sz="8" w:color="AFAFAF"/>
            </w:tcBorders>
            <w:gridSpan w:val="2"/>
          </w:tcPr>
          <w:p>
            <w:pPr>
              <w:jc w:val="right"/>
              <w:ind w:right="529"/>
              <w:spacing w:after="0"/>
              <w:rPr>
                <w:sz w:val="20"/>
                <w:szCs w:val="20"/>
                <w:color w:val="auto"/>
              </w:rPr>
            </w:pPr>
            <w:r>
              <w:rPr>
                <w:rFonts w:ascii="Arial" w:cs="Arial" w:eastAsia="Arial" w:hAnsi="Arial"/>
                <w:sz w:val="15"/>
                <w:szCs w:val="15"/>
                <w:b w:val="1"/>
                <w:bCs w:val="1"/>
                <w:color w:val="auto"/>
              </w:rPr>
              <w:t>Target Total Direct Compensation (2023)</w:t>
            </w:r>
          </w:p>
        </w:tc>
        <w:tc>
          <w:tcPr>
            <w:tcW w:w="1060" w:type="dxa"/>
            <w:vAlign w:val="bottom"/>
            <w:tcBorders>
              <w:top w:val="single" w:sz="8" w:color="B94831"/>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5"/>
                <w:szCs w:val="15"/>
                <w:b w:val="1"/>
                <w:bCs w:val="1"/>
                <w:color w:val="auto"/>
              </w:rPr>
              <w:t>Fixed</w:t>
            </w:r>
          </w:p>
        </w:tc>
        <w:tc>
          <w:tcPr>
            <w:tcW w:w="116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5"/>
                <w:szCs w:val="15"/>
                <w:b w:val="1"/>
                <w:bCs w:val="1"/>
                <w:color w:val="auto"/>
              </w:rPr>
              <w:t>Variable</w:t>
            </w:r>
          </w:p>
        </w:tc>
      </w:tr>
      <w:tr>
        <w:trPr>
          <w:trHeight w:val="274"/>
        </w:trPr>
        <w:tc>
          <w:tcPr>
            <w:tcW w:w="3500" w:type="dxa"/>
            <w:vAlign w:val="bottom"/>
          </w:tcPr>
          <w:p>
            <w:pPr>
              <w:spacing w:after="0"/>
              <w:rPr>
                <w:sz w:val="23"/>
                <w:szCs w:val="23"/>
                <w:color w:val="auto"/>
              </w:rPr>
            </w:pPr>
          </w:p>
        </w:tc>
        <w:tc>
          <w:tcPr>
            <w:tcW w:w="1200" w:type="dxa"/>
            <w:vAlign w:val="bottom"/>
            <w:tcBorders>
              <w:right w:val="single" w:sz="8" w:color="AFAFAF"/>
            </w:tcBorders>
          </w:tcPr>
          <w:p>
            <w:pPr>
              <w:jc w:val="right"/>
              <w:ind w:right="169"/>
              <w:spacing w:after="0"/>
              <w:rPr>
                <w:sz w:val="20"/>
                <w:szCs w:val="20"/>
                <w:color w:val="auto"/>
              </w:rPr>
            </w:pPr>
            <w:r>
              <w:rPr>
                <w:rFonts w:ascii="Arial" w:cs="Arial" w:eastAsia="Arial" w:hAnsi="Arial"/>
                <w:sz w:val="14"/>
                <w:szCs w:val="14"/>
                <w:b w:val="1"/>
                <w:bCs w:val="1"/>
                <w:color w:val="auto"/>
              </w:rPr>
              <w:t>C$</w:t>
            </w:r>
          </w:p>
        </w:tc>
        <w:tc>
          <w:tcPr>
            <w:tcW w:w="172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b w:val="1"/>
                <w:bCs w:val="1"/>
                <w:color w:val="auto"/>
              </w:rPr>
              <w:t>% of base salary</w:t>
            </w:r>
          </w:p>
        </w:tc>
        <w:tc>
          <w:tcPr>
            <w:tcW w:w="1060" w:type="dxa"/>
            <w:vAlign w:val="bottom"/>
            <w:tcBorders>
              <w:top w:val="single" w:sz="8" w:color="B94831"/>
              <w:bottom w:val="single" w:sz="8" w:color="BFBFBF"/>
              <w:right w:val="single" w:sz="8" w:color="AFAFAF"/>
            </w:tcBorders>
            <w:shd w:val="clear" w:color="auto" w:fill="BFBFBF"/>
          </w:tcPr>
          <w:p>
            <w:pPr>
              <w:spacing w:after="0"/>
              <w:rPr>
                <w:sz w:val="23"/>
                <w:szCs w:val="23"/>
                <w:color w:val="auto"/>
              </w:rPr>
            </w:pPr>
          </w:p>
        </w:tc>
        <w:tc>
          <w:tcPr>
            <w:tcW w:w="1160" w:type="dxa"/>
            <w:vAlign w:val="bottom"/>
            <w:tcBorders>
              <w:top w:val="single" w:sz="8" w:color="B94831"/>
              <w:bottom w:val="single" w:sz="8" w:color="BFBFBF"/>
            </w:tcBorders>
            <w:shd w:val="clear" w:color="auto" w:fill="BFBFBF"/>
          </w:tcPr>
          <w:p>
            <w:pPr>
              <w:spacing w:after="0"/>
              <w:rPr>
                <w:sz w:val="23"/>
                <w:szCs w:val="23"/>
                <w:color w:val="auto"/>
              </w:rPr>
            </w:pPr>
          </w:p>
        </w:tc>
      </w:tr>
      <w:tr>
        <w:trPr>
          <w:trHeight w:val="274"/>
        </w:trPr>
        <w:tc>
          <w:tcPr>
            <w:tcW w:w="350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 Base salary</w:t>
            </w:r>
          </w:p>
        </w:tc>
        <w:tc>
          <w:tcPr>
            <w:tcW w:w="1200" w:type="dxa"/>
            <w:vAlign w:val="bottom"/>
            <w:tcBorders>
              <w:top w:val="single" w:sz="8" w:color="B94831"/>
              <w:right w:val="single" w:sz="8" w:color="AFAFAF"/>
            </w:tcBorders>
          </w:tcPr>
          <w:p>
            <w:pPr>
              <w:jc w:val="right"/>
              <w:ind w:right="169"/>
              <w:spacing w:after="0"/>
              <w:rPr>
                <w:sz w:val="20"/>
                <w:szCs w:val="20"/>
                <w:color w:val="auto"/>
              </w:rPr>
            </w:pPr>
            <w:r>
              <w:rPr>
                <w:rFonts w:ascii="Arial" w:cs="Arial" w:eastAsia="Arial" w:hAnsi="Arial"/>
                <w:sz w:val="14"/>
                <w:szCs w:val="14"/>
                <w:color w:val="auto"/>
              </w:rPr>
              <w:t>950,000</w:t>
            </w:r>
          </w:p>
        </w:tc>
        <w:tc>
          <w:tcPr>
            <w:tcW w:w="172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705,082</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94831"/>
              <w:bottom w:val="single" w:sz="8" w:color="BFBFBF"/>
              <w:right w:val="single" w:sz="8" w:color="AFAFAF"/>
            </w:tcBorders>
            <w:shd w:val="clear" w:color="auto" w:fill="BFBFBF"/>
          </w:tcPr>
          <w:p>
            <w:pPr>
              <w:jc w:val="right"/>
              <w:ind w:right="148"/>
              <w:spacing w:after="0"/>
              <w:rPr>
                <w:sz w:val="20"/>
                <w:szCs w:val="20"/>
                <w:color w:val="auto"/>
              </w:rPr>
            </w:pPr>
            <w:r>
              <w:rPr>
                <w:rFonts w:ascii="Arial" w:cs="Arial" w:eastAsia="Arial" w:hAnsi="Arial"/>
                <w:sz w:val="14"/>
                <w:szCs w:val="14"/>
                <w:color w:val="auto"/>
              </w:rPr>
              <w:t>21%</w:t>
            </w:r>
          </w:p>
        </w:tc>
        <w:tc>
          <w:tcPr>
            <w:tcW w:w="116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4"/>
                <w:szCs w:val="14"/>
                <w:color w:val="auto"/>
              </w:rPr>
              <w:t>–</w:t>
            </w:r>
          </w:p>
        </w:tc>
      </w:tr>
      <w:tr>
        <w:trPr>
          <w:trHeight w:val="274"/>
        </w:trPr>
        <w:tc>
          <w:tcPr>
            <w:tcW w:w="350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 Annual incentive award</w:t>
            </w:r>
          </w:p>
        </w:tc>
        <w:tc>
          <w:tcPr>
            <w:tcW w:w="1200" w:type="dxa"/>
            <w:vAlign w:val="bottom"/>
            <w:tcBorders>
              <w:top w:val="single" w:sz="8" w:color="AFAFAF"/>
              <w:right w:val="single" w:sz="8" w:color="AFAFAF"/>
            </w:tcBorders>
          </w:tcPr>
          <w:p>
            <w:pPr>
              <w:jc w:val="right"/>
              <w:ind w:right="169"/>
              <w:spacing w:after="0"/>
              <w:rPr>
                <w:sz w:val="20"/>
                <w:szCs w:val="20"/>
                <w:color w:val="auto"/>
              </w:rPr>
            </w:pPr>
            <w:r>
              <w:rPr>
                <w:rFonts w:ascii="Arial" w:cs="Arial" w:eastAsia="Arial" w:hAnsi="Arial"/>
                <w:sz w:val="14"/>
                <w:szCs w:val="14"/>
                <w:color w:val="auto"/>
              </w:rPr>
              <w:t>1,187,500</w:t>
            </w:r>
          </w:p>
        </w:tc>
        <w:tc>
          <w:tcPr>
            <w:tcW w:w="172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881,352</w:t>
            </w:r>
          </w:p>
        </w:tc>
        <w:tc>
          <w:tcPr>
            <w:tcW w:w="2280" w:type="dxa"/>
            <w:vAlign w:val="bottom"/>
            <w:tcBorders>
              <w:top w:val="single" w:sz="8" w:color="AFAFAF"/>
              <w:right w:val="single" w:sz="8" w:color="AFAFAF"/>
            </w:tcBorders>
          </w:tcPr>
          <w:p>
            <w:pPr>
              <w:jc w:val="right"/>
              <w:ind w:right="289"/>
              <w:spacing w:after="0"/>
              <w:rPr>
                <w:sz w:val="20"/>
                <w:szCs w:val="20"/>
                <w:color w:val="auto"/>
              </w:rPr>
            </w:pPr>
            <w:r>
              <w:rPr>
                <w:rFonts w:ascii="Arial" w:cs="Arial" w:eastAsia="Arial" w:hAnsi="Arial"/>
                <w:sz w:val="14"/>
                <w:szCs w:val="14"/>
                <w:color w:val="auto"/>
              </w:rPr>
              <w:t>125%</w:t>
            </w:r>
          </w:p>
        </w:tc>
        <w:tc>
          <w:tcPr>
            <w:tcW w:w="1060" w:type="dxa"/>
            <w:vAlign w:val="bottom"/>
            <w:tcBorders>
              <w:top w:val="single" w:sz="8" w:color="AFAFAF"/>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FAFAF"/>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26%</w:t>
            </w:r>
          </w:p>
        </w:tc>
      </w:tr>
      <w:tr>
        <w:trPr>
          <w:trHeight w:val="274"/>
        </w:trPr>
        <w:tc>
          <w:tcPr>
            <w:tcW w:w="350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 Long-term incentive awards</w:t>
            </w:r>
          </w:p>
        </w:tc>
        <w:tc>
          <w:tcPr>
            <w:tcW w:w="1200" w:type="dxa"/>
            <w:vAlign w:val="bottom"/>
            <w:tcBorders>
              <w:top w:val="single" w:sz="8" w:color="AFAFAF"/>
              <w:right w:val="single" w:sz="8" w:color="AFAFAF"/>
            </w:tcBorders>
          </w:tcPr>
          <w:p>
            <w:pPr>
              <w:jc w:val="right"/>
              <w:ind w:right="169"/>
              <w:spacing w:after="0"/>
              <w:rPr>
                <w:sz w:val="20"/>
                <w:szCs w:val="20"/>
                <w:color w:val="auto"/>
              </w:rPr>
            </w:pPr>
            <w:r>
              <w:rPr>
                <w:rFonts w:ascii="Arial" w:cs="Arial" w:eastAsia="Arial" w:hAnsi="Arial"/>
                <w:sz w:val="14"/>
                <w:szCs w:val="14"/>
                <w:color w:val="auto"/>
              </w:rPr>
              <w:t>2,375,000</w:t>
            </w:r>
          </w:p>
        </w:tc>
        <w:tc>
          <w:tcPr>
            <w:tcW w:w="172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1,762,704</w:t>
            </w:r>
          </w:p>
        </w:tc>
        <w:tc>
          <w:tcPr>
            <w:tcW w:w="2280" w:type="dxa"/>
            <w:vAlign w:val="bottom"/>
            <w:tcBorders>
              <w:top w:val="single" w:sz="8" w:color="AFAFAF"/>
              <w:right w:val="single" w:sz="8" w:color="AFAFAF"/>
            </w:tcBorders>
          </w:tcPr>
          <w:p>
            <w:pPr>
              <w:jc w:val="right"/>
              <w:ind w:right="289"/>
              <w:spacing w:after="0"/>
              <w:rPr>
                <w:sz w:val="20"/>
                <w:szCs w:val="20"/>
                <w:color w:val="auto"/>
              </w:rPr>
            </w:pPr>
            <w:r>
              <w:rPr>
                <w:rFonts w:ascii="Arial" w:cs="Arial" w:eastAsia="Arial" w:hAnsi="Arial"/>
                <w:sz w:val="14"/>
                <w:szCs w:val="14"/>
                <w:color w:val="auto"/>
              </w:rPr>
              <w:t>250%</w:t>
            </w:r>
          </w:p>
        </w:tc>
        <w:tc>
          <w:tcPr>
            <w:tcW w:w="1060" w:type="dxa"/>
            <w:vAlign w:val="bottom"/>
            <w:tcBorders>
              <w:top w:val="single" w:sz="8" w:color="AFAFAF"/>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FAFAF"/>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53%</w:t>
            </w:r>
          </w:p>
        </w:tc>
      </w:tr>
      <w:tr>
        <w:trPr>
          <w:trHeight w:val="254"/>
        </w:trPr>
        <w:tc>
          <w:tcPr>
            <w:tcW w:w="350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 Total</w:t>
            </w:r>
          </w:p>
        </w:tc>
        <w:tc>
          <w:tcPr>
            <w:tcW w:w="1200" w:type="dxa"/>
            <w:vAlign w:val="bottom"/>
            <w:tcBorders>
              <w:top w:val="single" w:sz="8" w:color="B94831"/>
              <w:right w:val="single" w:sz="8" w:color="AFAFAF"/>
            </w:tcBorders>
          </w:tcPr>
          <w:p>
            <w:pPr>
              <w:jc w:val="right"/>
              <w:ind w:right="169"/>
              <w:spacing w:after="0"/>
              <w:rPr>
                <w:sz w:val="20"/>
                <w:szCs w:val="20"/>
                <w:color w:val="auto"/>
              </w:rPr>
            </w:pPr>
            <w:r>
              <w:rPr>
                <w:rFonts w:ascii="Arial" w:cs="Arial" w:eastAsia="Arial" w:hAnsi="Arial"/>
                <w:sz w:val="14"/>
                <w:szCs w:val="14"/>
                <w:color w:val="auto"/>
              </w:rPr>
              <w:t>4,512,500</w:t>
            </w:r>
          </w:p>
        </w:tc>
        <w:tc>
          <w:tcPr>
            <w:tcW w:w="172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3,349,138</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94831"/>
              <w:bottom w:val="single" w:sz="8" w:color="BFBFBF"/>
              <w:right w:val="single" w:sz="8" w:color="AFAFAF"/>
            </w:tcBorders>
            <w:shd w:val="clear" w:color="auto" w:fill="BFBFBF"/>
          </w:tcPr>
          <w:p>
            <w:pPr>
              <w:jc w:val="right"/>
              <w:ind w:right="148"/>
              <w:spacing w:after="0"/>
              <w:rPr>
                <w:sz w:val="20"/>
                <w:szCs w:val="20"/>
                <w:color w:val="auto"/>
              </w:rPr>
            </w:pPr>
            <w:r>
              <w:rPr>
                <w:rFonts w:ascii="Arial" w:cs="Arial" w:eastAsia="Arial" w:hAnsi="Arial"/>
                <w:sz w:val="14"/>
                <w:szCs w:val="14"/>
                <w:color w:val="auto"/>
              </w:rPr>
              <w:t>21%</w:t>
            </w:r>
          </w:p>
        </w:tc>
        <w:tc>
          <w:tcPr>
            <w:tcW w:w="1160" w:type="dxa"/>
            <w:vAlign w:val="bottom"/>
            <w:tcBorders>
              <w:top w:val="single" w:sz="8" w:color="B94831"/>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79%</w:t>
            </w:r>
          </w:p>
        </w:tc>
      </w:tr>
      <w:tr>
        <w:trPr>
          <w:trHeight w:val="20"/>
        </w:trPr>
        <w:tc>
          <w:tcPr>
            <w:tcW w:w="3500" w:type="dxa"/>
            <w:vAlign w:val="bottom"/>
            <w:tcBorders>
              <w:right w:val="single" w:sz="8" w:color="AFAFAF"/>
            </w:tcBorders>
            <w:shd w:val="clear" w:color="auto" w:fill="B94831"/>
          </w:tcPr>
          <w:p>
            <w:pPr>
              <w:spacing w:after="0" w:line="20" w:lineRule="exact"/>
              <w:rPr>
                <w:sz w:val="1"/>
                <w:szCs w:val="1"/>
                <w:color w:val="auto"/>
              </w:rPr>
            </w:pPr>
          </w:p>
        </w:tc>
        <w:tc>
          <w:tcPr>
            <w:tcW w:w="1200" w:type="dxa"/>
            <w:vAlign w:val="bottom"/>
            <w:tcBorders>
              <w:right w:val="single" w:sz="8" w:color="AFAFAF"/>
            </w:tcBorders>
            <w:shd w:val="clear" w:color="auto" w:fill="B94831"/>
          </w:tcPr>
          <w:p>
            <w:pPr>
              <w:spacing w:after="0" w:line="20" w:lineRule="exact"/>
              <w:rPr>
                <w:sz w:val="1"/>
                <w:szCs w:val="1"/>
                <w:color w:val="auto"/>
              </w:rPr>
            </w:pPr>
          </w:p>
        </w:tc>
        <w:tc>
          <w:tcPr>
            <w:tcW w:w="1720" w:type="dxa"/>
            <w:vAlign w:val="bottom"/>
            <w:tcBorders>
              <w:right w:val="single" w:sz="8" w:color="AFAFAF"/>
            </w:tcBorders>
            <w:shd w:val="clear" w:color="auto" w:fill="B94831"/>
          </w:tcPr>
          <w:p>
            <w:pPr>
              <w:spacing w:after="0" w:line="20" w:lineRule="exact"/>
              <w:rPr>
                <w:sz w:val="1"/>
                <w:szCs w:val="1"/>
                <w:color w:val="auto"/>
              </w:rPr>
            </w:pPr>
          </w:p>
        </w:tc>
        <w:tc>
          <w:tcPr>
            <w:tcW w:w="2280" w:type="dxa"/>
            <w:vAlign w:val="bottom"/>
            <w:tcBorders>
              <w:right w:val="single" w:sz="8" w:color="AFAFAF"/>
            </w:tcBorders>
            <w:shd w:val="clear" w:color="auto" w:fill="B94831"/>
          </w:tcPr>
          <w:p>
            <w:pPr>
              <w:spacing w:after="0" w:line="20" w:lineRule="exact"/>
              <w:rPr>
                <w:sz w:val="1"/>
                <w:szCs w:val="1"/>
                <w:color w:val="auto"/>
              </w:rPr>
            </w:pPr>
          </w:p>
        </w:tc>
        <w:tc>
          <w:tcPr>
            <w:tcW w:w="1060" w:type="dxa"/>
            <w:vAlign w:val="bottom"/>
            <w:tcBorders>
              <w:right w:val="single" w:sz="8" w:color="AFAFAF"/>
            </w:tcBorders>
            <w:shd w:val="clear" w:color="auto" w:fill="B94831"/>
          </w:tcPr>
          <w:p>
            <w:pPr>
              <w:spacing w:after="0" w:line="20" w:lineRule="exact"/>
              <w:rPr>
                <w:sz w:val="1"/>
                <w:szCs w:val="1"/>
                <w:color w:val="auto"/>
              </w:rPr>
            </w:pPr>
          </w:p>
        </w:tc>
        <w:tc>
          <w:tcPr>
            <w:tcW w:w="1160" w:type="dxa"/>
            <w:vAlign w:val="bottom"/>
            <w:shd w:val="clear" w:color="auto" w:fill="B94831"/>
          </w:tcPr>
          <w:p>
            <w:pPr>
              <w:spacing w:after="0" w:line="20" w:lineRule="exact"/>
              <w:rPr>
                <w:sz w:val="1"/>
                <w:szCs w:val="1"/>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Mike’s base salary was increased by 3% in 2023 to better align with the market.</w:t>
      </w:r>
    </w:p>
    <w:p>
      <w:pPr>
        <w:spacing w:after="0" w:line="101" w:lineRule="exact"/>
        <w:rPr>
          <w:sz w:val="20"/>
          <w:szCs w:val="20"/>
          <w:color w:val="auto"/>
        </w:rPr>
      </w:pPr>
    </w:p>
    <w:p>
      <w:pPr>
        <w:ind w:left="160" w:right="980"/>
        <w:spacing w:after="0" w:line="265"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Mike’s 2023 annual incentive award had a payout of 98% of target based on financial and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w:t>
      </w:r>
    </w:p>
    <w:p>
      <w:pPr>
        <w:spacing w:after="0" w:line="51"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Mike’s long-term incentive award was increased from 225% to 250% of his base salary to better align his</w:t>
      </w:r>
      <w:r>
        <w:rPr>
          <w:rFonts w:ascii="Arial" w:cs="Arial" w:eastAsia="Arial" w:hAnsi="Arial"/>
          <w:sz w:val="18"/>
          <w:szCs w:val="18"/>
          <w:b w:val="1"/>
          <w:bCs w:val="1"/>
          <w:color w:val="auto"/>
        </w:rPr>
        <w:t xml:space="preserve"> </w:t>
      </w:r>
      <w:r>
        <w:rPr>
          <w:rFonts w:ascii="Arial" w:cs="Arial" w:eastAsia="Arial" w:hAnsi="Arial"/>
          <w:sz w:val="18"/>
          <w:szCs w:val="18"/>
          <w:color w:val="auto"/>
        </w:rPr>
        <w:t>pay with the market. Mike’s 2023 award grant (based on 2022 performance) was increased from 225% to 250% of his base salary and split between 50% PRSUs, 25% TRSUs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336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78 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2040" w:right="860"/>
        <w:spacing w:after="0" w:line="314" w:lineRule="auto"/>
        <w:rPr>
          <w:sz w:val="20"/>
          <w:szCs w:val="20"/>
          <w:color w:val="auto"/>
        </w:rPr>
      </w:pPr>
      <w:r>
        <w:rPr>
          <w:rFonts w:ascii="Arial" w:cs="Arial" w:eastAsia="Arial" w:hAnsi="Arial"/>
          <w:sz w:val="25"/>
          <w:szCs w:val="25"/>
          <w:b w:val="1"/>
          <w:bCs w:val="1"/>
          <w:color w:val="B94831"/>
        </w:rPr>
        <w:t xml:space="preserve">Laura A. Clayton (professionally known as Laura Clayton McDonnell) </w:t>
      </w:r>
      <w:r>
        <w:rPr>
          <w:rFonts w:ascii="Arial" w:cs="Arial" w:eastAsia="Arial" w:hAnsi="Arial"/>
          <w:sz w:val="25"/>
          <w:szCs w:val="25"/>
          <w:color w:val="B94831"/>
        </w:rPr>
        <w:t>President, Corporates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-461645</wp:posOffset>
            </wp:positionV>
            <wp:extent cx="968375" cy="9683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ind w:left="2040"/>
        <w:spacing w:after="0" w:line="235" w:lineRule="auto"/>
        <w:rPr>
          <w:sz w:val="20"/>
          <w:szCs w:val="20"/>
          <w:color w:val="auto"/>
        </w:rPr>
      </w:pPr>
      <w:r>
        <w:rPr>
          <w:rFonts w:ascii="Arial" w:cs="Arial" w:eastAsia="Arial" w:hAnsi="Arial"/>
          <w:sz w:val="18"/>
          <w:szCs w:val="18"/>
          <w:color w:val="auto"/>
        </w:rPr>
        <w:t>Laura Clayton McDonnell has been President, Corporates since March 2023. Prior to joining Thomson Reuters in March 2023, Laura was Senior Vice President, Sales – East, Canada and Latin America from January 2019 through February 2023 at ServiceNow, Inc., a cloud computing platform that helps companies manage digital workflows for enterprise operations. From November 2015 through December 2018, Laura was a Vice President at Microsoft Corporation, leading a team of industry sales, technical and business professionals in the New York area. Prior to that, she was Senior Vice President, North America Sales at Aspect Software from May 2014 through October 2015. From 2003 through 2014, Laura served in a number of positions at IBM, with her last role as Vice President, Strategic Services. She currently serves on the public board of directors of Zuora, Inc. a cloud-based subscription management platform provider. Laura holds a bachelor’s degree with honors in international business from San Jose State University and a JD and MBA in international business and finance from the University of California at Berkeley. She is licensed to practice law in the State of California and the District of Columbia.</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Performance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Laura’s leadership in 2023:</w:t>
      </w:r>
    </w:p>
    <w:p>
      <w:pPr>
        <w:spacing w:after="0" w:line="114" w:lineRule="exact"/>
        <w:rPr>
          <w:sz w:val="20"/>
          <w:szCs w:val="20"/>
          <w:color w:val="auto"/>
        </w:rPr>
      </w:pPr>
    </w:p>
    <w:p>
      <w:pPr>
        <w:ind w:left="700" w:right="180" w:hanging="319"/>
        <w:spacing w:after="0" w:line="215" w:lineRule="auto"/>
        <w:tabs>
          <w:tab w:leader="none" w:pos="700" w:val="left"/>
        </w:tabs>
        <w:numPr>
          <w:ilvl w:val="0"/>
          <w:numId w:val="41"/>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Revenues grew 7% organically due to growth in both recurring (85% of the Corporates segment) and transactions revenues (15% of the Corporates segment). Recurring revenue growth was driven by Practical Law, Indirect Tax, HighQ, CLEAR, and the segment’s businesses in Latin America. The increase in transactions revenues was driven by the Confirmation and Trust businesses.</w:t>
      </w:r>
    </w:p>
    <w:p>
      <w:pPr>
        <w:spacing w:after="0" w:line="88" w:lineRule="exact"/>
        <w:rPr>
          <w:rFonts w:ascii="Times New Roman" w:cs="Times New Roman" w:eastAsia="Times New Roman" w:hAnsi="Times New Roman"/>
          <w:sz w:val="27"/>
          <w:szCs w:val="27"/>
          <w:color w:val="auto"/>
          <w:vertAlign w:val="superscript"/>
        </w:rPr>
      </w:pPr>
    </w:p>
    <w:p>
      <w:pPr>
        <w:ind w:left="700" w:right="360" w:hanging="319"/>
        <w:spacing w:after="0" w:line="202" w:lineRule="auto"/>
        <w:tabs>
          <w:tab w:leader="none" w:pos="700" w:val="left"/>
        </w:tabs>
        <w:numPr>
          <w:ilvl w:val="0"/>
          <w:numId w:val="41"/>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implemented a new Corporates segment strategy, repositioning Thomson Reuters as the go-to-source for Corporate clients looking to enhance their growth, customer loyalty, and operational efficiency.</w:t>
      </w:r>
    </w:p>
    <w:p>
      <w:pPr>
        <w:spacing w:after="0" w:line="86" w:lineRule="exact"/>
        <w:rPr>
          <w:rFonts w:ascii="Times New Roman" w:cs="Times New Roman" w:eastAsia="Times New Roman" w:hAnsi="Times New Roman"/>
          <w:sz w:val="27"/>
          <w:szCs w:val="27"/>
          <w:color w:val="auto"/>
          <w:vertAlign w:val="superscript"/>
        </w:rPr>
      </w:pPr>
    </w:p>
    <w:p>
      <w:pPr>
        <w:ind w:left="700" w:right="100" w:hanging="319"/>
        <w:spacing w:after="0" w:line="210" w:lineRule="auto"/>
        <w:tabs>
          <w:tab w:leader="none" w:pos="700" w:val="left"/>
        </w:tabs>
        <w:numPr>
          <w:ilvl w:val="0"/>
          <w:numId w:val="41"/>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focused on customer-centric initiatives resulting in a year-over-year improvement of our Net Promoter Score from 20 to 26. Additionally, we introduced an accounts management approach to customers (Global Accounts Management) which is designed to reinforce our commitment to truly being customer centric.</w:t>
      </w:r>
    </w:p>
    <w:p>
      <w:pPr>
        <w:spacing w:after="0" w:line="88" w:lineRule="exact"/>
        <w:rPr>
          <w:rFonts w:ascii="Times New Roman" w:cs="Times New Roman" w:eastAsia="Times New Roman" w:hAnsi="Times New Roman"/>
          <w:sz w:val="27"/>
          <w:szCs w:val="27"/>
          <w:color w:val="auto"/>
          <w:vertAlign w:val="superscript"/>
        </w:rPr>
      </w:pPr>
    </w:p>
    <w:p>
      <w:pPr>
        <w:ind w:left="700" w:right="380" w:hanging="319"/>
        <w:spacing w:after="0" w:line="202" w:lineRule="auto"/>
        <w:tabs>
          <w:tab w:leader="none" w:pos="700" w:val="left"/>
        </w:tabs>
        <w:numPr>
          <w:ilvl w:val="0"/>
          <w:numId w:val="41"/>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successfully launched more than five new reseller partnerships in 2023, expanding our reach and strengthening our market presence.</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Target Compensation</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4"/>
        </w:trPr>
        <w:tc>
          <w:tcPr>
            <w:tcW w:w="4480" w:type="dxa"/>
            <w:vAlign w:val="bottom"/>
            <w:tcBorders>
              <w:right w:val="single" w:sz="8" w:color="AFAFAF"/>
            </w:tcBorders>
          </w:tcPr>
          <w:p>
            <w:pPr>
              <w:spacing w:after="0"/>
              <w:rPr>
                <w:sz w:val="24"/>
                <w:szCs w:val="24"/>
                <w:color w:val="auto"/>
              </w:rPr>
            </w:pPr>
          </w:p>
        </w:tc>
        <w:tc>
          <w:tcPr>
            <w:tcW w:w="4060" w:type="dxa"/>
            <w:vAlign w:val="bottom"/>
            <w:tcBorders>
              <w:top w:val="single" w:sz="8" w:color="B94831"/>
              <w:right w:val="single" w:sz="8" w:color="AFAFAF"/>
            </w:tcBorders>
            <w:gridSpan w:val="2"/>
          </w:tcPr>
          <w:p>
            <w:pPr>
              <w:jc w:val="right"/>
              <w:ind w:right="669"/>
              <w:spacing w:after="0"/>
              <w:rPr>
                <w:sz w:val="20"/>
                <w:szCs w:val="20"/>
                <w:color w:val="auto"/>
              </w:rPr>
            </w:pPr>
            <w:r>
              <w:rPr>
                <w:rFonts w:ascii="Arial" w:cs="Arial" w:eastAsia="Arial" w:hAnsi="Arial"/>
                <w:sz w:val="15"/>
                <w:szCs w:val="15"/>
                <w:b w:val="1"/>
                <w:bCs w:val="1"/>
                <w:color w:val="auto"/>
              </w:rPr>
              <w:t>Target Total Direct Compensation (2023)</w:t>
            </w:r>
          </w:p>
        </w:tc>
        <w:tc>
          <w:tcPr>
            <w:tcW w:w="1140" w:type="dxa"/>
            <w:vAlign w:val="bottom"/>
            <w:tcBorders>
              <w:top w:val="single" w:sz="8" w:color="B94831"/>
              <w:bottom w:val="single" w:sz="8" w:color="BFBFBF"/>
              <w:right w:val="single" w:sz="8" w:color="AFAFAF"/>
            </w:tcBorders>
            <w:shd w:val="clear" w:color="auto" w:fill="BFBFBF"/>
          </w:tcPr>
          <w:p>
            <w:pPr>
              <w:jc w:val="right"/>
              <w:ind w:right="368"/>
              <w:spacing w:after="0"/>
              <w:rPr>
                <w:sz w:val="20"/>
                <w:szCs w:val="20"/>
                <w:color w:val="auto"/>
              </w:rPr>
            </w:pPr>
            <w:r>
              <w:rPr>
                <w:rFonts w:ascii="Arial" w:cs="Arial" w:eastAsia="Arial" w:hAnsi="Arial"/>
                <w:sz w:val="15"/>
                <w:szCs w:val="15"/>
                <w:b w:val="1"/>
                <w:bCs w:val="1"/>
                <w:color w:val="auto"/>
              </w:rPr>
              <w:t>Fixed</w:t>
            </w:r>
          </w:p>
        </w:tc>
        <w:tc>
          <w:tcPr>
            <w:tcW w:w="1240" w:type="dxa"/>
            <w:vAlign w:val="bottom"/>
            <w:tcBorders>
              <w:top w:val="single" w:sz="8" w:color="B94831"/>
              <w:bottom w:val="single" w:sz="8" w:color="BFBFBF"/>
            </w:tcBorders>
            <w:shd w:val="clear" w:color="auto" w:fill="BFBFBF"/>
          </w:tcPr>
          <w:p>
            <w:pPr>
              <w:jc w:val="right"/>
              <w:ind w:right="288"/>
              <w:spacing w:after="0"/>
              <w:rPr>
                <w:sz w:val="20"/>
                <w:szCs w:val="20"/>
                <w:color w:val="auto"/>
              </w:rPr>
            </w:pPr>
            <w:r>
              <w:rPr>
                <w:rFonts w:ascii="Arial" w:cs="Arial" w:eastAsia="Arial" w:hAnsi="Arial"/>
                <w:sz w:val="15"/>
                <w:szCs w:val="15"/>
                <w:b w:val="1"/>
                <w:bCs w:val="1"/>
                <w:color w:val="auto"/>
              </w:rPr>
              <w:t>Variable</w:t>
            </w:r>
          </w:p>
        </w:tc>
      </w:tr>
      <w:tr>
        <w:trPr>
          <w:trHeight w:val="274"/>
        </w:trPr>
        <w:tc>
          <w:tcPr>
            <w:tcW w:w="4480" w:type="dxa"/>
            <w:vAlign w:val="bottom"/>
            <w:tcBorders>
              <w:right w:val="single" w:sz="8" w:color="AFAFAF"/>
            </w:tcBorders>
          </w:tcPr>
          <w:p>
            <w:pPr>
              <w:spacing w:after="0"/>
              <w:rPr>
                <w:sz w:val="23"/>
                <w:szCs w:val="23"/>
                <w:color w:val="auto"/>
              </w:rPr>
            </w:pPr>
          </w:p>
        </w:tc>
        <w:tc>
          <w:tcPr>
            <w:tcW w:w="166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2400" w:type="dxa"/>
            <w:vAlign w:val="bottom"/>
            <w:tcBorders>
              <w:top w:val="single" w:sz="8" w:color="B94831"/>
              <w:right w:val="single" w:sz="8" w:color="AFAFAF"/>
            </w:tcBorders>
          </w:tcPr>
          <w:p>
            <w:pPr>
              <w:jc w:val="right"/>
              <w:ind w:right="529"/>
              <w:spacing w:after="0"/>
              <w:rPr>
                <w:sz w:val="20"/>
                <w:szCs w:val="20"/>
                <w:color w:val="auto"/>
              </w:rPr>
            </w:pPr>
            <w:r>
              <w:rPr>
                <w:rFonts w:ascii="Arial" w:cs="Arial" w:eastAsia="Arial" w:hAnsi="Arial"/>
                <w:sz w:val="14"/>
                <w:szCs w:val="14"/>
                <w:b w:val="1"/>
                <w:bCs w:val="1"/>
                <w:color w:val="auto"/>
              </w:rPr>
              <w:t>% of base salary</w:t>
            </w:r>
          </w:p>
        </w:tc>
        <w:tc>
          <w:tcPr>
            <w:tcW w:w="1140" w:type="dxa"/>
            <w:vAlign w:val="bottom"/>
            <w:tcBorders>
              <w:top w:val="single" w:sz="8" w:color="B94831"/>
              <w:bottom w:val="single" w:sz="8" w:color="BFBFBF"/>
              <w:right w:val="single" w:sz="8" w:color="AFAFAF"/>
            </w:tcBorders>
            <w:shd w:val="clear" w:color="auto" w:fill="BFBFBF"/>
          </w:tcPr>
          <w:p>
            <w:pPr>
              <w:spacing w:after="0"/>
              <w:rPr>
                <w:sz w:val="23"/>
                <w:szCs w:val="23"/>
                <w:color w:val="auto"/>
              </w:rPr>
            </w:pPr>
          </w:p>
        </w:tc>
        <w:tc>
          <w:tcPr>
            <w:tcW w:w="1240" w:type="dxa"/>
            <w:vAlign w:val="bottom"/>
            <w:tcBorders>
              <w:top w:val="single" w:sz="8" w:color="B94831"/>
              <w:bottom w:val="single" w:sz="8" w:color="BFBFBF"/>
            </w:tcBorders>
            <w:shd w:val="clear" w:color="auto" w:fill="BFBFBF"/>
          </w:tcPr>
          <w:p>
            <w:pPr>
              <w:spacing w:after="0"/>
              <w:rPr>
                <w:sz w:val="23"/>
                <w:szCs w:val="23"/>
                <w:color w:val="auto"/>
              </w:rPr>
            </w:pPr>
          </w:p>
        </w:tc>
      </w:tr>
      <w:tr>
        <w:trPr>
          <w:trHeight w:val="274"/>
        </w:trPr>
        <w:tc>
          <w:tcPr>
            <w:tcW w:w="448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 Base salary</w:t>
            </w:r>
          </w:p>
        </w:tc>
        <w:tc>
          <w:tcPr>
            <w:tcW w:w="166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530,000</w:t>
            </w:r>
          </w:p>
        </w:tc>
        <w:tc>
          <w:tcPr>
            <w:tcW w:w="2400" w:type="dxa"/>
            <w:vAlign w:val="bottom"/>
            <w:tcBorders>
              <w:top w:val="single" w:sz="8" w:color="B94831"/>
              <w:right w:val="single" w:sz="8" w:color="AFAFAF"/>
            </w:tcBorders>
          </w:tcPr>
          <w:p>
            <w:pPr>
              <w:jc w:val="right"/>
              <w:ind w:right="5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94831"/>
              <w:bottom w:val="single" w:sz="8" w:color="BFBFBF"/>
              <w:right w:val="single" w:sz="8" w:color="AFAFAF"/>
            </w:tcBorders>
            <w:shd w:val="clear" w:color="auto" w:fill="BFBFBF"/>
          </w:tcPr>
          <w:p>
            <w:pPr>
              <w:jc w:val="right"/>
              <w:ind w:right="248"/>
              <w:spacing w:after="0"/>
              <w:rPr>
                <w:sz w:val="20"/>
                <w:szCs w:val="20"/>
                <w:color w:val="auto"/>
              </w:rPr>
            </w:pPr>
            <w:r>
              <w:rPr>
                <w:rFonts w:ascii="Arial" w:cs="Arial" w:eastAsia="Arial" w:hAnsi="Arial"/>
                <w:sz w:val="14"/>
                <w:szCs w:val="14"/>
                <w:color w:val="auto"/>
              </w:rPr>
              <w:t>21%</w:t>
            </w:r>
          </w:p>
        </w:tc>
        <w:tc>
          <w:tcPr>
            <w:tcW w:w="124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4"/>
                <w:szCs w:val="14"/>
                <w:color w:val="auto"/>
              </w:rPr>
              <w:t>–</w:t>
            </w:r>
          </w:p>
        </w:tc>
      </w:tr>
      <w:tr>
        <w:trPr>
          <w:trHeight w:val="274"/>
        </w:trPr>
        <w:tc>
          <w:tcPr>
            <w:tcW w:w="448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 Annual incentive award</w:t>
            </w:r>
          </w:p>
        </w:tc>
        <w:tc>
          <w:tcPr>
            <w:tcW w:w="166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662,500</w:t>
            </w:r>
          </w:p>
        </w:tc>
        <w:tc>
          <w:tcPr>
            <w:tcW w:w="2400" w:type="dxa"/>
            <w:vAlign w:val="bottom"/>
            <w:tcBorders>
              <w:top w:val="single" w:sz="8" w:color="AFAFAF"/>
              <w:right w:val="single" w:sz="8" w:color="AFAFAF"/>
            </w:tcBorders>
          </w:tcPr>
          <w:p>
            <w:pPr>
              <w:jc w:val="right"/>
              <w:ind w:right="409"/>
              <w:spacing w:after="0"/>
              <w:rPr>
                <w:sz w:val="20"/>
                <w:szCs w:val="20"/>
                <w:color w:val="auto"/>
              </w:rPr>
            </w:pPr>
            <w:r>
              <w:rPr>
                <w:rFonts w:ascii="Arial" w:cs="Arial" w:eastAsia="Arial" w:hAnsi="Arial"/>
                <w:sz w:val="14"/>
                <w:szCs w:val="14"/>
                <w:color w:val="auto"/>
              </w:rPr>
              <w:t>125%</w:t>
            </w:r>
          </w:p>
        </w:tc>
        <w:tc>
          <w:tcPr>
            <w:tcW w:w="1140" w:type="dxa"/>
            <w:vAlign w:val="bottom"/>
            <w:tcBorders>
              <w:top w:val="single" w:sz="8" w:color="AFAFAF"/>
              <w:bottom w:val="single" w:sz="8" w:color="BFBFBF"/>
              <w:right w:val="single" w:sz="8" w:color="AFAFAF"/>
            </w:tcBorders>
            <w:shd w:val="clear" w:color="auto" w:fill="BFBFBF"/>
          </w:tcPr>
          <w:p>
            <w:pPr>
              <w:jc w:val="right"/>
              <w:ind w:right="3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FAFAF"/>
              <w:bottom w:val="single" w:sz="8" w:color="BFBFBF"/>
            </w:tcBorders>
            <w:shd w:val="clear" w:color="auto" w:fill="BFBFBF"/>
          </w:tcPr>
          <w:p>
            <w:pPr>
              <w:jc w:val="right"/>
              <w:ind w:right="148"/>
              <w:spacing w:after="0"/>
              <w:rPr>
                <w:sz w:val="20"/>
                <w:szCs w:val="20"/>
                <w:color w:val="auto"/>
              </w:rPr>
            </w:pPr>
            <w:r>
              <w:rPr>
                <w:rFonts w:ascii="Arial" w:cs="Arial" w:eastAsia="Arial" w:hAnsi="Arial"/>
                <w:sz w:val="14"/>
                <w:szCs w:val="14"/>
                <w:color w:val="auto"/>
              </w:rPr>
              <w:t>26%</w:t>
            </w:r>
          </w:p>
        </w:tc>
      </w:tr>
      <w:tr>
        <w:trPr>
          <w:trHeight w:val="274"/>
        </w:trPr>
        <w:tc>
          <w:tcPr>
            <w:tcW w:w="448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 Long-term incentive awards</w:t>
            </w:r>
          </w:p>
        </w:tc>
        <w:tc>
          <w:tcPr>
            <w:tcW w:w="166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1,325,000</w:t>
            </w:r>
          </w:p>
        </w:tc>
        <w:tc>
          <w:tcPr>
            <w:tcW w:w="2400" w:type="dxa"/>
            <w:vAlign w:val="bottom"/>
            <w:tcBorders>
              <w:top w:val="single" w:sz="8" w:color="AFAFAF"/>
              <w:right w:val="single" w:sz="8" w:color="AFAFAF"/>
            </w:tcBorders>
          </w:tcPr>
          <w:p>
            <w:pPr>
              <w:jc w:val="right"/>
              <w:ind w:right="409"/>
              <w:spacing w:after="0"/>
              <w:rPr>
                <w:sz w:val="20"/>
                <w:szCs w:val="20"/>
                <w:color w:val="auto"/>
              </w:rPr>
            </w:pPr>
            <w:r>
              <w:rPr>
                <w:rFonts w:ascii="Arial" w:cs="Arial" w:eastAsia="Arial" w:hAnsi="Arial"/>
                <w:sz w:val="14"/>
                <w:szCs w:val="14"/>
                <w:color w:val="auto"/>
              </w:rPr>
              <w:t>250%</w:t>
            </w:r>
          </w:p>
        </w:tc>
        <w:tc>
          <w:tcPr>
            <w:tcW w:w="1140" w:type="dxa"/>
            <w:vAlign w:val="bottom"/>
            <w:tcBorders>
              <w:top w:val="single" w:sz="8" w:color="AFAFAF"/>
              <w:bottom w:val="single" w:sz="8" w:color="BFBFBF"/>
              <w:right w:val="single" w:sz="8" w:color="AFAFAF"/>
            </w:tcBorders>
            <w:shd w:val="clear" w:color="auto" w:fill="BFBFBF"/>
          </w:tcPr>
          <w:p>
            <w:pPr>
              <w:jc w:val="right"/>
              <w:ind w:right="3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FAFAF"/>
              <w:bottom w:val="single" w:sz="8" w:color="BFBFBF"/>
            </w:tcBorders>
            <w:shd w:val="clear" w:color="auto" w:fill="BFBFBF"/>
          </w:tcPr>
          <w:p>
            <w:pPr>
              <w:jc w:val="right"/>
              <w:ind w:right="148"/>
              <w:spacing w:after="0"/>
              <w:rPr>
                <w:sz w:val="20"/>
                <w:szCs w:val="20"/>
                <w:color w:val="auto"/>
              </w:rPr>
            </w:pPr>
            <w:r>
              <w:rPr>
                <w:rFonts w:ascii="Arial" w:cs="Arial" w:eastAsia="Arial" w:hAnsi="Arial"/>
                <w:sz w:val="14"/>
                <w:szCs w:val="14"/>
                <w:color w:val="auto"/>
              </w:rPr>
              <w:t>53%</w:t>
            </w:r>
          </w:p>
        </w:tc>
      </w:tr>
      <w:tr>
        <w:trPr>
          <w:trHeight w:val="254"/>
        </w:trPr>
        <w:tc>
          <w:tcPr>
            <w:tcW w:w="448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 Total</w:t>
            </w:r>
          </w:p>
        </w:tc>
        <w:tc>
          <w:tcPr>
            <w:tcW w:w="166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2,517,500</w:t>
            </w:r>
          </w:p>
        </w:tc>
        <w:tc>
          <w:tcPr>
            <w:tcW w:w="2400" w:type="dxa"/>
            <w:vAlign w:val="bottom"/>
            <w:tcBorders>
              <w:top w:val="single" w:sz="8" w:color="B94831"/>
              <w:right w:val="single" w:sz="8" w:color="AFAFAF"/>
            </w:tcBorders>
          </w:tcPr>
          <w:p>
            <w:pPr>
              <w:jc w:val="right"/>
              <w:ind w:right="5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94831"/>
              <w:bottom w:val="single" w:sz="8" w:color="BFBFBF"/>
              <w:right w:val="single" w:sz="8" w:color="AFAFAF"/>
            </w:tcBorders>
            <w:shd w:val="clear" w:color="auto" w:fill="BFBFBF"/>
          </w:tcPr>
          <w:p>
            <w:pPr>
              <w:jc w:val="right"/>
              <w:ind w:right="248"/>
              <w:spacing w:after="0"/>
              <w:rPr>
                <w:sz w:val="20"/>
                <w:szCs w:val="20"/>
                <w:color w:val="auto"/>
              </w:rPr>
            </w:pPr>
            <w:r>
              <w:rPr>
                <w:rFonts w:ascii="Arial" w:cs="Arial" w:eastAsia="Arial" w:hAnsi="Arial"/>
                <w:sz w:val="14"/>
                <w:szCs w:val="14"/>
                <w:color w:val="auto"/>
              </w:rPr>
              <w:t>21%</w:t>
            </w:r>
          </w:p>
        </w:tc>
        <w:tc>
          <w:tcPr>
            <w:tcW w:w="1240" w:type="dxa"/>
            <w:vAlign w:val="bottom"/>
            <w:tcBorders>
              <w:top w:val="single" w:sz="8" w:color="B94831"/>
              <w:bottom w:val="single" w:sz="8" w:color="BFBFBF"/>
            </w:tcBorders>
            <w:shd w:val="clear" w:color="auto" w:fill="BFBFBF"/>
          </w:tcPr>
          <w:p>
            <w:pPr>
              <w:jc w:val="right"/>
              <w:ind w:right="148"/>
              <w:spacing w:after="0"/>
              <w:rPr>
                <w:sz w:val="20"/>
                <w:szCs w:val="20"/>
                <w:color w:val="auto"/>
              </w:rPr>
            </w:pPr>
            <w:r>
              <w:rPr>
                <w:rFonts w:ascii="Arial" w:cs="Arial" w:eastAsia="Arial" w:hAnsi="Arial"/>
                <w:sz w:val="14"/>
                <w:szCs w:val="14"/>
                <w:color w:val="auto"/>
              </w:rPr>
              <w:t>79%</w:t>
            </w:r>
          </w:p>
        </w:tc>
      </w:tr>
      <w:tr>
        <w:trPr>
          <w:trHeight w:val="20"/>
        </w:trPr>
        <w:tc>
          <w:tcPr>
            <w:tcW w:w="4480" w:type="dxa"/>
            <w:vAlign w:val="bottom"/>
            <w:tcBorders>
              <w:right w:val="single" w:sz="8" w:color="AFAFAF"/>
            </w:tcBorders>
            <w:shd w:val="clear" w:color="auto" w:fill="B94831"/>
          </w:tcPr>
          <w:p>
            <w:pPr>
              <w:spacing w:after="0" w:line="20" w:lineRule="exact"/>
              <w:rPr>
                <w:sz w:val="1"/>
                <w:szCs w:val="1"/>
                <w:color w:val="auto"/>
              </w:rPr>
            </w:pPr>
          </w:p>
        </w:tc>
        <w:tc>
          <w:tcPr>
            <w:tcW w:w="1660" w:type="dxa"/>
            <w:vAlign w:val="bottom"/>
            <w:tcBorders>
              <w:right w:val="single" w:sz="8" w:color="AFAFAF"/>
            </w:tcBorders>
            <w:shd w:val="clear" w:color="auto" w:fill="B94831"/>
          </w:tcPr>
          <w:p>
            <w:pPr>
              <w:spacing w:after="0" w:line="20" w:lineRule="exact"/>
              <w:rPr>
                <w:sz w:val="1"/>
                <w:szCs w:val="1"/>
                <w:color w:val="auto"/>
              </w:rPr>
            </w:pPr>
          </w:p>
        </w:tc>
        <w:tc>
          <w:tcPr>
            <w:tcW w:w="2400" w:type="dxa"/>
            <w:vAlign w:val="bottom"/>
            <w:tcBorders>
              <w:right w:val="single" w:sz="8" w:color="AFAFAF"/>
            </w:tcBorders>
            <w:shd w:val="clear" w:color="auto" w:fill="B94831"/>
          </w:tcPr>
          <w:p>
            <w:pPr>
              <w:spacing w:after="0" w:line="20" w:lineRule="exact"/>
              <w:rPr>
                <w:sz w:val="1"/>
                <w:szCs w:val="1"/>
                <w:color w:val="auto"/>
              </w:rPr>
            </w:pPr>
          </w:p>
        </w:tc>
        <w:tc>
          <w:tcPr>
            <w:tcW w:w="1140" w:type="dxa"/>
            <w:vAlign w:val="bottom"/>
            <w:tcBorders>
              <w:right w:val="single" w:sz="8" w:color="AFAFAF"/>
            </w:tcBorders>
            <w:shd w:val="clear" w:color="auto" w:fill="B94831"/>
          </w:tcPr>
          <w:p>
            <w:pPr>
              <w:spacing w:after="0" w:line="20" w:lineRule="exact"/>
              <w:rPr>
                <w:sz w:val="1"/>
                <w:szCs w:val="1"/>
                <w:color w:val="auto"/>
              </w:rPr>
            </w:pPr>
          </w:p>
        </w:tc>
        <w:tc>
          <w:tcPr>
            <w:tcW w:w="1240" w:type="dxa"/>
            <w:vAlign w:val="bottom"/>
            <w:shd w:val="clear" w:color="auto" w:fill="B94831"/>
          </w:tcPr>
          <w:p>
            <w:pPr>
              <w:spacing w:after="0" w:line="20" w:lineRule="exact"/>
              <w:rPr>
                <w:sz w:val="1"/>
                <w:szCs w:val="1"/>
                <w:color w:val="auto"/>
              </w:rPr>
            </w:pPr>
          </w:p>
        </w:tc>
      </w:tr>
    </w:tbl>
    <w:p>
      <w:pPr>
        <w:spacing w:after="0" w:line="88"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Laura joined our company with a base salary of $530,000 and she received a pro-rated amount during the time she worked</w:t>
      </w:r>
      <w:r>
        <w:rPr>
          <w:rFonts w:ascii="Arial" w:cs="Arial" w:eastAsia="Arial" w:hAnsi="Arial"/>
          <w:sz w:val="18"/>
          <w:szCs w:val="18"/>
          <w:b w:val="1"/>
          <w:bCs w:val="1"/>
          <w:color w:val="auto"/>
        </w:rPr>
        <w:t xml:space="preserve"> </w:t>
      </w:r>
      <w:r>
        <w:rPr>
          <w:rFonts w:ascii="Arial" w:cs="Arial" w:eastAsia="Arial" w:hAnsi="Arial"/>
          <w:sz w:val="18"/>
          <w:szCs w:val="18"/>
          <w:color w:val="auto"/>
        </w:rPr>
        <w:t>at Thomson Reuters in 2023.</w:t>
      </w:r>
    </w:p>
    <w:p>
      <w:pPr>
        <w:spacing w:after="0" w:line="51"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Laura’s 2023 annual incentive award had a payout of 98% of target based on financial and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w:t>
      </w:r>
    </w:p>
    <w:p>
      <w:pPr>
        <w:spacing w:after="0" w:line="51"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Laura’s 2023 award grant was split between 50% PRSUs, 25% TRSUs and 25% stock options.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Laura was hired in March, her annual award was granted in May in accordance with the company’s equity grant policy.</w:t>
      </w:r>
    </w:p>
    <w:p>
      <w:pPr>
        <w:spacing w:after="0" w:line="51" w:lineRule="exact"/>
        <w:rPr>
          <w:sz w:val="20"/>
          <w:szCs w:val="20"/>
          <w:color w:val="auto"/>
        </w:rPr>
      </w:pPr>
    </w:p>
    <w:p>
      <w:pPr>
        <w:ind w:left="160" w:right="160"/>
        <w:spacing w:after="0"/>
        <w:rPr>
          <w:sz w:val="20"/>
          <w:szCs w:val="20"/>
          <w:color w:val="auto"/>
        </w:rPr>
      </w:pPr>
      <w:r>
        <w:rPr>
          <w:rFonts w:ascii="Arial" w:cs="Arial" w:eastAsia="Arial" w:hAnsi="Arial"/>
          <w:sz w:val="18"/>
          <w:szCs w:val="18"/>
          <w:b w:val="1"/>
          <w:bCs w:val="1"/>
          <w:color w:val="auto"/>
        </w:rPr>
        <w:t xml:space="preserve">New hire sign-on awards: </w:t>
      </w:r>
      <w:r>
        <w:rPr>
          <w:rFonts w:ascii="Arial" w:cs="Arial" w:eastAsia="Arial" w:hAnsi="Arial"/>
          <w:sz w:val="18"/>
          <w:szCs w:val="18"/>
          <w:color w:val="auto"/>
        </w:rPr>
        <w:t>In 2023, we granted Laura 6,484 TRSUs (for a grant date value of $575,000) when she joined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these TRSUs are not part of Laura’s regular annual compensation, they are not reflected in the table above. Laura’s TRSUs ratably vest over two years on each anniversary of the grant date. We also provided Laura with a $ 575,000 cash sign-on bonus, which would be forfeited and repaid if she were to leave the company or be terminated for cause within her first 12 months. Both of these awards were to replace compensation forfeited at her prior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79</w:t>
      </w:r>
    </w:p>
    <w:p>
      <w:pPr>
        <w:sectPr>
          <w:pgSz w:w="11900" w:h="16838" w:orient="portrait"/>
          <w:cols w:equalWidth="0" w:num="1">
            <w:col w:w="11080"/>
          </w:cols>
          <w:pgMar w:left="320" w:top="454"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2020"/>
        <w:spacing w:after="0"/>
        <w:rPr>
          <w:sz w:val="20"/>
          <w:szCs w:val="20"/>
          <w:color w:val="auto"/>
        </w:rPr>
      </w:pPr>
      <w:r>
        <w:rPr>
          <w:rFonts w:ascii="Arial" w:cs="Arial" w:eastAsia="Arial" w:hAnsi="Arial"/>
          <w:sz w:val="25"/>
          <w:szCs w:val="25"/>
          <w:b w:val="1"/>
          <w:bCs w:val="1"/>
          <w:color w:val="B94831"/>
        </w:rPr>
        <w:t>Kirsty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-166370</wp:posOffset>
            </wp:positionV>
            <wp:extent cx="968375" cy="9683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13" w:lineRule="exact"/>
        <w:rPr>
          <w:sz w:val="20"/>
          <w:szCs w:val="20"/>
          <w:color w:val="auto"/>
        </w:rPr>
      </w:pPr>
    </w:p>
    <w:p>
      <w:pPr>
        <w:ind w:left="2020"/>
        <w:spacing w:after="0"/>
        <w:rPr>
          <w:sz w:val="20"/>
          <w:szCs w:val="20"/>
          <w:color w:val="auto"/>
        </w:rPr>
      </w:pPr>
      <w:r>
        <w:rPr>
          <w:rFonts w:ascii="Arial" w:cs="Arial" w:eastAsia="Arial" w:hAnsi="Arial"/>
          <w:sz w:val="25"/>
          <w:szCs w:val="25"/>
          <w:color w:val="B94831"/>
        </w:rPr>
        <w:t>Chief Operations and Technology Officer</w:t>
      </w:r>
    </w:p>
    <w:p>
      <w:pPr>
        <w:spacing w:after="0" w:line="107" w:lineRule="exact"/>
        <w:rPr>
          <w:sz w:val="20"/>
          <w:szCs w:val="20"/>
          <w:color w:val="auto"/>
        </w:rPr>
      </w:pPr>
    </w:p>
    <w:p>
      <w:pPr>
        <w:ind w:left="2020" w:right="40"/>
        <w:spacing w:after="0"/>
        <w:rPr>
          <w:sz w:val="20"/>
          <w:szCs w:val="20"/>
          <w:color w:val="auto"/>
        </w:rPr>
      </w:pPr>
      <w:r>
        <w:rPr>
          <w:rFonts w:ascii="Arial" w:cs="Arial" w:eastAsia="Arial" w:hAnsi="Arial"/>
          <w:sz w:val="18"/>
          <w:szCs w:val="18"/>
          <w:color w:val="auto"/>
        </w:rPr>
        <w:t>Kirsty Roth has been Chief Operations and Technology Officer since August 2020. Prior to joining Thomson Reuters, Kirsty was Global Head of Operations and a Group General Manager for HSBC from May 2016 to August 2020. Before that, Kirsty was Chief Operating Officer for Finance, Operations and IT at Credit Suisse from 2011 to 2016 and a Consulting Partner with Deloitte from 2001 to 2011. Kirsty received a bachelor’s degree in Chemistry from the University of Bristol.</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Performance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Kirsty’s leadership in 2023:</w:t>
      </w:r>
    </w:p>
    <w:p>
      <w:pPr>
        <w:spacing w:after="0" w:line="114" w:lineRule="exact"/>
        <w:rPr>
          <w:sz w:val="20"/>
          <w:szCs w:val="20"/>
          <w:color w:val="auto"/>
        </w:rPr>
      </w:pPr>
    </w:p>
    <w:p>
      <w:pPr>
        <w:ind w:left="700" w:right="300" w:hanging="319"/>
        <w:spacing w:after="0" w:line="210" w:lineRule="auto"/>
        <w:tabs>
          <w:tab w:leader="none" w:pos="700" w:val="left"/>
        </w:tabs>
        <w:numPr>
          <w:ilvl w:val="0"/>
          <w:numId w:val="42"/>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accomplished several product and feature releases, unveiling a total of 13 new AI features within our strategic product suite. This achievement was made possible through our generative AI Platform, enabling the safe and efficient deployment of new AI skills into our products with speed and quality.</w:t>
      </w:r>
    </w:p>
    <w:p>
      <w:pPr>
        <w:spacing w:after="0" w:line="88" w:lineRule="exact"/>
        <w:rPr>
          <w:rFonts w:ascii="Times New Roman" w:cs="Times New Roman" w:eastAsia="Times New Roman" w:hAnsi="Times New Roman"/>
          <w:sz w:val="27"/>
          <w:szCs w:val="27"/>
          <w:color w:val="auto"/>
          <w:vertAlign w:val="superscript"/>
        </w:rPr>
      </w:pPr>
    </w:p>
    <w:p>
      <w:pPr>
        <w:ind w:left="700" w:right="260" w:hanging="319"/>
        <w:spacing w:after="0" w:line="215" w:lineRule="auto"/>
        <w:tabs>
          <w:tab w:leader="none" w:pos="700" w:val="left"/>
        </w:tabs>
        <w:numPr>
          <w:ilvl w:val="0"/>
          <w:numId w:val="42"/>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remained dedicated to enhancing our customers’ experience through several key initiatives including an improvement in the performance and stability of our strategic products as well as a faster average speed of answer and first call resolution in our call centers. Additionally, we expanded customer service capabilities by enabling more clients to access self-help resources via our Customer Success Platform.</w:t>
      </w:r>
    </w:p>
    <w:p>
      <w:pPr>
        <w:spacing w:after="0" w:line="88" w:lineRule="exact"/>
        <w:rPr>
          <w:rFonts w:ascii="Times New Roman" w:cs="Times New Roman" w:eastAsia="Times New Roman" w:hAnsi="Times New Roman"/>
          <w:sz w:val="27"/>
          <w:szCs w:val="27"/>
          <w:color w:val="auto"/>
          <w:vertAlign w:val="superscript"/>
        </w:rPr>
      </w:pPr>
    </w:p>
    <w:p>
      <w:pPr>
        <w:ind w:left="700" w:right="20" w:hanging="319"/>
        <w:spacing w:after="0" w:line="210" w:lineRule="auto"/>
        <w:tabs>
          <w:tab w:leader="none" w:pos="700" w:val="left"/>
        </w:tabs>
        <w:numPr>
          <w:ilvl w:val="0"/>
          <w:numId w:val="42"/>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successfully evolved our digital offering, achieving a milestone of over $300 million in digital sales and renewals. This represents an increase of over 50% compared to the previous year, highlighting the impactful growth and effectiveness of our digital strategy.</w:t>
      </w:r>
    </w:p>
    <w:p>
      <w:pPr>
        <w:spacing w:after="0" w:line="88" w:lineRule="exact"/>
        <w:rPr>
          <w:rFonts w:ascii="Times New Roman" w:cs="Times New Roman" w:eastAsia="Times New Roman" w:hAnsi="Times New Roman"/>
          <w:sz w:val="27"/>
          <w:szCs w:val="27"/>
          <w:color w:val="auto"/>
          <w:vertAlign w:val="superscript"/>
        </w:rPr>
      </w:pPr>
    </w:p>
    <w:p>
      <w:pPr>
        <w:ind w:left="700" w:right="360" w:hanging="319"/>
        <w:spacing w:after="0" w:line="210" w:lineRule="auto"/>
        <w:tabs>
          <w:tab w:leader="none" w:pos="700" w:val="left"/>
        </w:tabs>
        <w:numPr>
          <w:ilvl w:val="0"/>
          <w:numId w:val="42"/>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We achieved significant strides in technology. Approximately 90% of our revenues are now accessible through a cloud solution, reinforcing our commitment to cloud-based services. We have also heightened the cybersecurity of our product portfolio and substantially expanded TR Labs capacity to support our growth.</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Target Compensation</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4"/>
        </w:trPr>
        <w:tc>
          <w:tcPr>
            <w:tcW w:w="3500" w:type="dxa"/>
            <w:vAlign w:val="bottom"/>
          </w:tcPr>
          <w:p>
            <w:pPr>
              <w:spacing w:after="0"/>
              <w:rPr>
                <w:sz w:val="24"/>
                <w:szCs w:val="24"/>
                <w:color w:val="auto"/>
              </w:rPr>
            </w:pPr>
          </w:p>
        </w:tc>
        <w:tc>
          <w:tcPr>
            <w:tcW w:w="1200" w:type="dxa"/>
            <w:vAlign w:val="bottom"/>
            <w:tcBorders>
              <w:right w:val="single" w:sz="8" w:color="AFAFAF"/>
            </w:tcBorders>
          </w:tcPr>
          <w:p>
            <w:pPr>
              <w:spacing w:after="0"/>
              <w:rPr>
                <w:sz w:val="24"/>
                <w:szCs w:val="24"/>
                <w:color w:val="auto"/>
              </w:rPr>
            </w:pPr>
          </w:p>
        </w:tc>
        <w:tc>
          <w:tcPr>
            <w:tcW w:w="4000" w:type="dxa"/>
            <w:vAlign w:val="bottom"/>
            <w:tcBorders>
              <w:top w:val="single" w:sz="8" w:color="B94831"/>
              <w:right w:val="single" w:sz="8" w:color="AFAFAF"/>
            </w:tcBorders>
            <w:gridSpan w:val="2"/>
          </w:tcPr>
          <w:p>
            <w:pPr>
              <w:jc w:val="right"/>
              <w:ind w:right="529"/>
              <w:spacing w:after="0"/>
              <w:rPr>
                <w:sz w:val="20"/>
                <w:szCs w:val="20"/>
                <w:color w:val="auto"/>
              </w:rPr>
            </w:pPr>
            <w:r>
              <w:rPr>
                <w:rFonts w:ascii="Arial" w:cs="Arial" w:eastAsia="Arial" w:hAnsi="Arial"/>
                <w:sz w:val="15"/>
                <w:szCs w:val="15"/>
                <w:b w:val="1"/>
                <w:bCs w:val="1"/>
                <w:color w:val="auto"/>
              </w:rPr>
              <w:t>Target Total Direct Compensation (2023)</w:t>
            </w:r>
          </w:p>
        </w:tc>
        <w:tc>
          <w:tcPr>
            <w:tcW w:w="1060" w:type="dxa"/>
            <w:vAlign w:val="bottom"/>
            <w:tcBorders>
              <w:top w:val="single" w:sz="8" w:color="B94831"/>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5"/>
                <w:szCs w:val="15"/>
                <w:b w:val="1"/>
                <w:bCs w:val="1"/>
                <w:color w:val="auto"/>
              </w:rPr>
              <w:t>Fixed</w:t>
            </w:r>
          </w:p>
        </w:tc>
        <w:tc>
          <w:tcPr>
            <w:tcW w:w="116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5"/>
                <w:szCs w:val="15"/>
                <w:b w:val="1"/>
                <w:bCs w:val="1"/>
                <w:color w:val="auto"/>
              </w:rPr>
              <w:t>Variable</w:t>
            </w:r>
          </w:p>
        </w:tc>
      </w:tr>
      <w:tr>
        <w:trPr>
          <w:trHeight w:val="274"/>
        </w:trPr>
        <w:tc>
          <w:tcPr>
            <w:tcW w:w="3500" w:type="dxa"/>
            <w:vAlign w:val="bottom"/>
          </w:tcPr>
          <w:p>
            <w:pPr>
              <w:spacing w:after="0"/>
              <w:rPr>
                <w:sz w:val="23"/>
                <w:szCs w:val="23"/>
                <w:color w:val="auto"/>
              </w:rPr>
            </w:pPr>
          </w:p>
        </w:tc>
        <w:tc>
          <w:tcPr>
            <w:tcW w:w="1200" w:type="dxa"/>
            <w:vAlign w:val="bottom"/>
            <w:tcBorders>
              <w:right w:val="single" w:sz="8" w:color="AFAFAF"/>
            </w:tcBorders>
          </w:tcPr>
          <w:p>
            <w:pPr>
              <w:jc w:val="right"/>
              <w:ind w:right="169"/>
              <w:spacing w:after="0"/>
              <w:rPr>
                <w:sz w:val="20"/>
                <w:szCs w:val="20"/>
                <w:color w:val="auto"/>
              </w:rPr>
            </w:pPr>
            <w:r>
              <w:rPr>
                <w:rFonts w:ascii="Arial" w:cs="Arial" w:eastAsia="Arial" w:hAnsi="Arial"/>
                <w:sz w:val="14"/>
                <w:szCs w:val="14"/>
                <w:b w:val="1"/>
                <w:bCs w:val="1"/>
                <w:color w:val="auto"/>
              </w:rPr>
              <w:t>CHF</w:t>
            </w:r>
          </w:p>
        </w:tc>
        <w:tc>
          <w:tcPr>
            <w:tcW w:w="172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b w:val="1"/>
                <w:bCs w:val="1"/>
                <w:color w:val="auto"/>
              </w:rPr>
              <w:t>% of base salary</w:t>
            </w:r>
          </w:p>
        </w:tc>
        <w:tc>
          <w:tcPr>
            <w:tcW w:w="1060" w:type="dxa"/>
            <w:vAlign w:val="bottom"/>
            <w:tcBorders>
              <w:top w:val="single" w:sz="8" w:color="B94831"/>
              <w:bottom w:val="single" w:sz="8" w:color="BFBFBF"/>
              <w:right w:val="single" w:sz="8" w:color="AFAFAF"/>
            </w:tcBorders>
            <w:shd w:val="clear" w:color="auto" w:fill="BFBFBF"/>
          </w:tcPr>
          <w:p>
            <w:pPr>
              <w:spacing w:after="0"/>
              <w:rPr>
                <w:sz w:val="23"/>
                <w:szCs w:val="23"/>
                <w:color w:val="auto"/>
              </w:rPr>
            </w:pPr>
          </w:p>
        </w:tc>
        <w:tc>
          <w:tcPr>
            <w:tcW w:w="1160" w:type="dxa"/>
            <w:vAlign w:val="bottom"/>
            <w:tcBorders>
              <w:top w:val="single" w:sz="8" w:color="B94831"/>
              <w:bottom w:val="single" w:sz="8" w:color="BFBFBF"/>
            </w:tcBorders>
            <w:shd w:val="clear" w:color="auto" w:fill="BFBFBF"/>
          </w:tcPr>
          <w:p>
            <w:pPr>
              <w:spacing w:after="0"/>
              <w:rPr>
                <w:sz w:val="23"/>
                <w:szCs w:val="23"/>
                <w:color w:val="auto"/>
              </w:rPr>
            </w:pPr>
          </w:p>
        </w:tc>
      </w:tr>
      <w:tr>
        <w:trPr>
          <w:trHeight w:val="274"/>
        </w:trPr>
        <w:tc>
          <w:tcPr>
            <w:tcW w:w="350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 Base salary</w:t>
            </w:r>
          </w:p>
        </w:tc>
        <w:tc>
          <w:tcPr>
            <w:tcW w:w="1200" w:type="dxa"/>
            <w:vAlign w:val="bottom"/>
            <w:tcBorders>
              <w:top w:val="single" w:sz="8" w:color="B94831"/>
              <w:right w:val="single" w:sz="8" w:color="AFAFAF"/>
            </w:tcBorders>
          </w:tcPr>
          <w:p>
            <w:pPr>
              <w:jc w:val="right"/>
              <w:ind w:right="169"/>
              <w:spacing w:after="0"/>
              <w:rPr>
                <w:sz w:val="20"/>
                <w:szCs w:val="20"/>
                <w:color w:val="auto"/>
              </w:rPr>
            </w:pPr>
            <w:r>
              <w:rPr>
                <w:rFonts w:ascii="Arial" w:cs="Arial" w:eastAsia="Arial" w:hAnsi="Arial"/>
                <w:sz w:val="14"/>
                <w:szCs w:val="14"/>
                <w:color w:val="auto"/>
              </w:rPr>
              <w:t>685,000</w:t>
            </w:r>
          </w:p>
        </w:tc>
        <w:tc>
          <w:tcPr>
            <w:tcW w:w="172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764,982</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94831"/>
              <w:bottom w:val="single" w:sz="8" w:color="BFBFBF"/>
              <w:right w:val="single" w:sz="8" w:color="AFAFAF"/>
            </w:tcBorders>
            <w:shd w:val="clear" w:color="auto" w:fill="BFBFBF"/>
          </w:tcPr>
          <w:p>
            <w:pPr>
              <w:jc w:val="right"/>
              <w:ind w:right="148"/>
              <w:spacing w:after="0"/>
              <w:rPr>
                <w:sz w:val="20"/>
                <w:szCs w:val="20"/>
                <w:color w:val="auto"/>
              </w:rPr>
            </w:pPr>
            <w:r>
              <w:rPr>
                <w:rFonts w:ascii="Arial" w:cs="Arial" w:eastAsia="Arial" w:hAnsi="Arial"/>
                <w:sz w:val="14"/>
                <w:szCs w:val="14"/>
                <w:color w:val="auto"/>
              </w:rPr>
              <w:t>21%</w:t>
            </w:r>
          </w:p>
        </w:tc>
        <w:tc>
          <w:tcPr>
            <w:tcW w:w="116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4"/>
                <w:szCs w:val="14"/>
                <w:color w:val="auto"/>
              </w:rPr>
              <w:t>–</w:t>
            </w:r>
          </w:p>
        </w:tc>
      </w:tr>
      <w:tr>
        <w:trPr>
          <w:trHeight w:val="274"/>
        </w:trPr>
        <w:tc>
          <w:tcPr>
            <w:tcW w:w="350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 Annual incentive award</w:t>
            </w:r>
          </w:p>
        </w:tc>
        <w:tc>
          <w:tcPr>
            <w:tcW w:w="1200" w:type="dxa"/>
            <w:vAlign w:val="bottom"/>
            <w:tcBorders>
              <w:top w:val="single" w:sz="8" w:color="AFAFAF"/>
              <w:right w:val="single" w:sz="8" w:color="AFAFAF"/>
            </w:tcBorders>
          </w:tcPr>
          <w:p>
            <w:pPr>
              <w:jc w:val="right"/>
              <w:ind w:right="169"/>
              <w:spacing w:after="0"/>
              <w:rPr>
                <w:sz w:val="20"/>
                <w:szCs w:val="20"/>
                <w:color w:val="auto"/>
              </w:rPr>
            </w:pPr>
            <w:r>
              <w:rPr>
                <w:rFonts w:ascii="Arial" w:cs="Arial" w:eastAsia="Arial" w:hAnsi="Arial"/>
                <w:sz w:val="14"/>
                <w:szCs w:val="14"/>
                <w:color w:val="auto"/>
              </w:rPr>
              <w:t>856,250</w:t>
            </w:r>
          </w:p>
        </w:tc>
        <w:tc>
          <w:tcPr>
            <w:tcW w:w="172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956,227</w:t>
            </w:r>
          </w:p>
        </w:tc>
        <w:tc>
          <w:tcPr>
            <w:tcW w:w="2280" w:type="dxa"/>
            <w:vAlign w:val="bottom"/>
            <w:tcBorders>
              <w:top w:val="single" w:sz="8" w:color="AFAFAF"/>
              <w:right w:val="single" w:sz="8" w:color="AFAFAF"/>
            </w:tcBorders>
          </w:tcPr>
          <w:p>
            <w:pPr>
              <w:jc w:val="right"/>
              <w:ind w:right="289"/>
              <w:spacing w:after="0"/>
              <w:rPr>
                <w:sz w:val="20"/>
                <w:szCs w:val="20"/>
                <w:color w:val="auto"/>
              </w:rPr>
            </w:pPr>
            <w:r>
              <w:rPr>
                <w:rFonts w:ascii="Arial" w:cs="Arial" w:eastAsia="Arial" w:hAnsi="Arial"/>
                <w:sz w:val="14"/>
                <w:szCs w:val="14"/>
                <w:color w:val="auto"/>
              </w:rPr>
              <w:t>125%</w:t>
            </w:r>
          </w:p>
        </w:tc>
        <w:tc>
          <w:tcPr>
            <w:tcW w:w="1060" w:type="dxa"/>
            <w:vAlign w:val="bottom"/>
            <w:tcBorders>
              <w:top w:val="single" w:sz="8" w:color="AFAFAF"/>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FAFAF"/>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26%</w:t>
            </w:r>
          </w:p>
        </w:tc>
      </w:tr>
      <w:tr>
        <w:trPr>
          <w:trHeight w:val="274"/>
        </w:trPr>
        <w:tc>
          <w:tcPr>
            <w:tcW w:w="350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 Long-term incentive awards</w:t>
            </w:r>
          </w:p>
        </w:tc>
        <w:tc>
          <w:tcPr>
            <w:tcW w:w="1200" w:type="dxa"/>
            <w:vAlign w:val="bottom"/>
            <w:tcBorders>
              <w:top w:val="single" w:sz="8" w:color="AFAFAF"/>
              <w:right w:val="single" w:sz="8" w:color="AFAFAF"/>
            </w:tcBorders>
          </w:tcPr>
          <w:p>
            <w:pPr>
              <w:jc w:val="right"/>
              <w:ind w:right="169"/>
              <w:spacing w:after="0"/>
              <w:rPr>
                <w:sz w:val="20"/>
                <w:szCs w:val="20"/>
                <w:color w:val="auto"/>
              </w:rPr>
            </w:pPr>
            <w:r>
              <w:rPr>
                <w:rFonts w:ascii="Arial" w:cs="Arial" w:eastAsia="Arial" w:hAnsi="Arial"/>
                <w:sz w:val="14"/>
                <w:szCs w:val="14"/>
                <w:color w:val="auto"/>
              </w:rPr>
              <w:t>1,712,500</w:t>
            </w:r>
          </w:p>
        </w:tc>
        <w:tc>
          <w:tcPr>
            <w:tcW w:w="172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1,912,454</w:t>
            </w:r>
          </w:p>
        </w:tc>
        <w:tc>
          <w:tcPr>
            <w:tcW w:w="2280" w:type="dxa"/>
            <w:vAlign w:val="bottom"/>
            <w:tcBorders>
              <w:top w:val="single" w:sz="8" w:color="AFAFAF"/>
              <w:right w:val="single" w:sz="8" w:color="AFAFAF"/>
            </w:tcBorders>
          </w:tcPr>
          <w:p>
            <w:pPr>
              <w:jc w:val="right"/>
              <w:ind w:right="289"/>
              <w:spacing w:after="0"/>
              <w:rPr>
                <w:sz w:val="20"/>
                <w:szCs w:val="20"/>
                <w:color w:val="auto"/>
              </w:rPr>
            </w:pPr>
            <w:r>
              <w:rPr>
                <w:rFonts w:ascii="Arial" w:cs="Arial" w:eastAsia="Arial" w:hAnsi="Arial"/>
                <w:sz w:val="14"/>
                <w:szCs w:val="14"/>
                <w:color w:val="auto"/>
              </w:rPr>
              <w:t>250%</w:t>
            </w:r>
          </w:p>
        </w:tc>
        <w:tc>
          <w:tcPr>
            <w:tcW w:w="1060" w:type="dxa"/>
            <w:vAlign w:val="bottom"/>
            <w:tcBorders>
              <w:top w:val="single" w:sz="8" w:color="AFAFAF"/>
              <w:bottom w:val="single" w:sz="8" w:color="BFBFBF"/>
              <w:right w:val="single" w:sz="8" w:color="AFAFAF"/>
            </w:tcBorders>
            <w:shd w:val="clear" w:color="auto" w:fill="BFBFBF"/>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FAFAF"/>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53%</w:t>
            </w:r>
          </w:p>
        </w:tc>
      </w:tr>
      <w:tr>
        <w:trPr>
          <w:trHeight w:val="254"/>
        </w:trPr>
        <w:tc>
          <w:tcPr>
            <w:tcW w:w="350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 Total</w:t>
            </w:r>
          </w:p>
        </w:tc>
        <w:tc>
          <w:tcPr>
            <w:tcW w:w="1200" w:type="dxa"/>
            <w:vAlign w:val="bottom"/>
            <w:tcBorders>
              <w:top w:val="single" w:sz="8" w:color="B94831"/>
              <w:right w:val="single" w:sz="8" w:color="AFAFAF"/>
            </w:tcBorders>
          </w:tcPr>
          <w:p>
            <w:pPr>
              <w:jc w:val="right"/>
              <w:ind w:right="169"/>
              <w:spacing w:after="0"/>
              <w:rPr>
                <w:sz w:val="20"/>
                <w:szCs w:val="20"/>
                <w:color w:val="auto"/>
              </w:rPr>
            </w:pPr>
            <w:r>
              <w:rPr>
                <w:rFonts w:ascii="Arial" w:cs="Arial" w:eastAsia="Arial" w:hAnsi="Arial"/>
                <w:sz w:val="14"/>
                <w:szCs w:val="14"/>
                <w:color w:val="auto"/>
              </w:rPr>
              <w:t>3,253,750</w:t>
            </w:r>
          </w:p>
        </w:tc>
        <w:tc>
          <w:tcPr>
            <w:tcW w:w="172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3,633,663</w:t>
            </w:r>
          </w:p>
        </w:tc>
        <w:tc>
          <w:tcPr>
            <w:tcW w:w="2280" w:type="dxa"/>
            <w:vAlign w:val="bottom"/>
            <w:tcBorders>
              <w:top w:val="single" w:sz="8" w:color="B94831"/>
              <w:right w:val="single" w:sz="8" w:color="AFAFAF"/>
            </w:tcBorders>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94831"/>
              <w:bottom w:val="single" w:sz="8" w:color="BFBFBF"/>
              <w:right w:val="single" w:sz="8" w:color="AFAFAF"/>
            </w:tcBorders>
            <w:shd w:val="clear" w:color="auto" w:fill="BFBFBF"/>
          </w:tcPr>
          <w:p>
            <w:pPr>
              <w:jc w:val="right"/>
              <w:ind w:right="148"/>
              <w:spacing w:after="0"/>
              <w:rPr>
                <w:sz w:val="20"/>
                <w:szCs w:val="20"/>
                <w:color w:val="auto"/>
              </w:rPr>
            </w:pPr>
            <w:r>
              <w:rPr>
                <w:rFonts w:ascii="Arial" w:cs="Arial" w:eastAsia="Arial" w:hAnsi="Arial"/>
                <w:sz w:val="14"/>
                <w:szCs w:val="14"/>
                <w:color w:val="auto"/>
              </w:rPr>
              <w:t>21%</w:t>
            </w:r>
          </w:p>
        </w:tc>
        <w:tc>
          <w:tcPr>
            <w:tcW w:w="1160" w:type="dxa"/>
            <w:vAlign w:val="bottom"/>
            <w:tcBorders>
              <w:top w:val="single" w:sz="8" w:color="B94831"/>
              <w:bottom w:val="single" w:sz="8" w:color="BFBFBF"/>
            </w:tcBorders>
            <w:shd w:val="clear" w:color="auto" w:fill="BFBFBF"/>
          </w:tcPr>
          <w:p>
            <w:pPr>
              <w:jc w:val="right"/>
              <w:ind w:right="128"/>
              <w:spacing w:after="0"/>
              <w:rPr>
                <w:sz w:val="20"/>
                <w:szCs w:val="20"/>
                <w:color w:val="auto"/>
              </w:rPr>
            </w:pPr>
            <w:r>
              <w:rPr>
                <w:rFonts w:ascii="Arial" w:cs="Arial" w:eastAsia="Arial" w:hAnsi="Arial"/>
                <w:sz w:val="14"/>
                <w:szCs w:val="14"/>
                <w:color w:val="auto"/>
              </w:rPr>
              <w:t>79%</w:t>
            </w:r>
          </w:p>
        </w:tc>
      </w:tr>
      <w:tr>
        <w:trPr>
          <w:trHeight w:val="20"/>
        </w:trPr>
        <w:tc>
          <w:tcPr>
            <w:tcW w:w="3500" w:type="dxa"/>
            <w:vAlign w:val="bottom"/>
            <w:tcBorders>
              <w:right w:val="single" w:sz="8" w:color="AFAFAF"/>
            </w:tcBorders>
            <w:shd w:val="clear" w:color="auto" w:fill="B94831"/>
          </w:tcPr>
          <w:p>
            <w:pPr>
              <w:spacing w:after="0" w:line="20" w:lineRule="exact"/>
              <w:rPr>
                <w:sz w:val="1"/>
                <w:szCs w:val="1"/>
                <w:color w:val="auto"/>
              </w:rPr>
            </w:pPr>
          </w:p>
        </w:tc>
        <w:tc>
          <w:tcPr>
            <w:tcW w:w="1200" w:type="dxa"/>
            <w:vAlign w:val="bottom"/>
            <w:tcBorders>
              <w:right w:val="single" w:sz="8" w:color="AFAFAF"/>
            </w:tcBorders>
            <w:shd w:val="clear" w:color="auto" w:fill="B94831"/>
          </w:tcPr>
          <w:p>
            <w:pPr>
              <w:spacing w:after="0" w:line="20" w:lineRule="exact"/>
              <w:rPr>
                <w:sz w:val="1"/>
                <w:szCs w:val="1"/>
                <w:color w:val="auto"/>
              </w:rPr>
            </w:pPr>
          </w:p>
        </w:tc>
        <w:tc>
          <w:tcPr>
            <w:tcW w:w="1720" w:type="dxa"/>
            <w:vAlign w:val="bottom"/>
            <w:tcBorders>
              <w:right w:val="single" w:sz="8" w:color="AFAFAF"/>
            </w:tcBorders>
            <w:shd w:val="clear" w:color="auto" w:fill="B94831"/>
          </w:tcPr>
          <w:p>
            <w:pPr>
              <w:spacing w:after="0" w:line="20" w:lineRule="exact"/>
              <w:rPr>
                <w:sz w:val="1"/>
                <w:szCs w:val="1"/>
                <w:color w:val="auto"/>
              </w:rPr>
            </w:pPr>
          </w:p>
        </w:tc>
        <w:tc>
          <w:tcPr>
            <w:tcW w:w="2280" w:type="dxa"/>
            <w:vAlign w:val="bottom"/>
            <w:tcBorders>
              <w:right w:val="single" w:sz="8" w:color="AFAFAF"/>
            </w:tcBorders>
            <w:shd w:val="clear" w:color="auto" w:fill="B94831"/>
          </w:tcPr>
          <w:p>
            <w:pPr>
              <w:spacing w:after="0" w:line="20" w:lineRule="exact"/>
              <w:rPr>
                <w:sz w:val="1"/>
                <w:szCs w:val="1"/>
                <w:color w:val="auto"/>
              </w:rPr>
            </w:pPr>
          </w:p>
        </w:tc>
        <w:tc>
          <w:tcPr>
            <w:tcW w:w="1060" w:type="dxa"/>
            <w:vAlign w:val="bottom"/>
            <w:tcBorders>
              <w:right w:val="single" w:sz="8" w:color="AFAFAF"/>
            </w:tcBorders>
            <w:shd w:val="clear" w:color="auto" w:fill="B94831"/>
          </w:tcPr>
          <w:p>
            <w:pPr>
              <w:spacing w:after="0" w:line="20" w:lineRule="exact"/>
              <w:rPr>
                <w:sz w:val="1"/>
                <w:szCs w:val="1"/>
                <w:color w:val="auto"/>
              </w:rPr>
            </w:pPr>
          </w:p>
        </w:tc>
        <w:tc>
          <w:tcPr>
            <w:tcW w:w="1160" w:type="dxa"/>
            <w:vAlign w:val="bottom"/>
            <w:shd w:val="clear" w:color="auto" w:fill="B94831"/>
          </w:tcPr>
          <w:p>
            <w:pPr>
              <w:spacing w:after="0" w:line="20" w:lineRule="exact"/>
              <w:rPr>
                <w:sz w:val="1"/>
                <w:szCs w:val="1"/>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Kirsty’s base salary was unchanged in 2023.</w:t>
      </w:r>
    </w:p>
    <w:p>
      <w:pPr>
        <w:spacing w:after="0" w:line="101"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Kirsty’s 2023 annual incentive award had a payout of 98% of target based on financial and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w:t>
      </w:r>
    </w:p>
    <w:p>
      <w:pPr>
        <w:spacing w:after="0" w:line="5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Kirsty’s 2023 award grant (based on 2022 performance) was split between 50% PRSUs, 25% TRSUs and</w:t>
      </w:r>
      <w:r>
        <w:rPr>
          <w:rFonts w:ascii="Arial" w:cs="Arial" w:eastAsia="Arial" w:hAnsi="Arial"/>
          <w:sz w:val="18"/>
          <w:szCs w:val="18"/>
          <w:b w:val="1"/>
          <w:bCs w:val="1"/>
          <w:color w:val="auto"/>
        </w:rPr>
        <w:t xml:space="preserve"> </w:t>
      </w:r>
      <w:r>
        <w:rPr>
          <w:rFonts w:ascii="Arial" w:cs="Arial" w:eastAsia="Arial" w:hAnsi="Arial"/>
          <w:sz w:val="18"/>
          <w:szCs w:val="18"/>
          <w:color w:val="auto"/>
        </w:rPr>
        <w:t>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80 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2020"/>
        <w:spacing w:after="0"/>
        <w:rPr>
          <w:sz w:val="20"/>
          <w:szCs w:val="20"/>
          <w:color w:val="auto"/>
        </w:rPr>
      </w:pPr>
      <w:r>
        <w:rPr>
          <w:rFonts w:ascii="Arial" w:cs="Arial" w:eastAsia="Arial" w:hAnsi="Arial"/>
          <w:sz w:val="25"/>
          <w:szCs w:val="25"/>
          <w:b w:val="1"/>
          <w:bCs w:val="1"/>
          <w:color w:val="B94831"/>
        </w:rPr>
        <w:t>Paul Bascobert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-166370</wp:posOffset>
            </wp:positionV>
            <wp:extent cx="968375" cy="9683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13" w:lineRule="exact"/>
        <w:rPr>
          <w:sz w:val="20"/>
          <w:szCs w:val="20"/>
          <w:color w:val="auto"/>
        </w:rPr>
      </w:pPr>
    </w:p>
    <w:p>
      <w:pPr>
        <w:ind w:left="2020"/>
        <w:spacing w:after="0"/>
        <w:rPr>
          <w:sz w:val="20"/>
          <w:szCs w:val="20"/>
          <w:color w:val="auto"/>
        </w:rPr>
      </w:pPr>
      <w:r>
        <w:rPr>
          <w:rFonts w:ascii="Arial" w:cs="Arial" w:eastAsia="Arial" w:hAnsi="Arial"/>
          <w:sz w:val="25"/>
          <w:szCs w:val="25"/>
          <w:color w:val="B94831"/>
        </w:rPr>
        <w:t>President, Reuters News</w:t>
      </w:r>
    </w:p>
    <w:p>
      <w:pPr>
        <w:spacing w:after="0" w:line="107" w:lineRule="exact"/>
        <w:rPr>
          <w:sz w:val="20"/>
          <w:szCs w:val="20"/>
          <w:color w:val="auto"/>
        </w:rPr>
      </w:pPr>
    </w:p>
    <w:p>
      <w:pPr>
        <w:ind w:left="2020" w:right="20"/>
        <w:spacing w:after="0" w:line="251" w:lineRule="auto"/>
        <w:rPr>
          <w:sz w:val="20"/>
          <w:szCs w:val="20"/>
          <w:color w:val="auto"/>
        </w:rPr>
      </w:pPr>
      <w:r>
        <w:rPr>
          <w:rFonts w:ascii="Arial" w:cs="Arial" w:eastAsia="Arial" w:hAnsi="Arial"/>
          <w:sz w:val="17"/>
          <w:szCs w:val="17"/>
          <w:color w:val="auto"/>
        </w:rPr>
        <w:t>Paul Bascobert has been President of Reuters News since September 2022. Prior to joining Thomson Reuters in September 2022, he was the CEO of Blue Ocean Acquisition Corp, a special purpose acquisition company focused on media, marketplace and tech platform businesses from April 2021 to September 2022. Prior to that, he was CEO of Gannett Co., Inc from August 2019 to July 2020. Paul served as President of XO Group, a U.S. based media and technology company from September 2016 to May 2019 and prior to that served as President of Yodle Inc. from May 2014 to September 2016. Paul also served as President of Bloomberg Businessweek and Head of Business Operations for the newly created Bloomberg Media Group from December 2009 to May 2014, as well as Senior Vice President of Operations and then Chief Marketing Officer at Dow Jones from January 2006 to December 2009. Paul has a degree in electrical engineering from Kettering University and an M.B.A. in Finance from the Wharton School of the University of Pennsylvania and is a member of the Council on Foreign Relations.</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Performance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Paul’s leadership in 2023:</w:t>
      </w:r>
    </w:p>
    <w:p>
      <w:pPr>
        <w:spacing w:after="0" w:line="114" w:lineRule="exact"/>
        <w:rPr>
          <w:sz w:val="20"/>
          <w:szCs w:val="20"/>
          <w:color w:val="auto"/>
        </w:rPr>
      </w:pPr>
    </w:p>
    <w:p>
      <w:pPr>
        <w:ind w:left="700" w:right="180" w:hanging="319"/>
        <w:spacing w:after="0" w:line="202" w:lineRule="auto"/>
        <w:tabs>
          <w:tab w:leader="none" w:pos="700" w:val="left"/>
        </w:tabs>
        <w:numPr>
          <w:ilvl w:val="0"/>
          <w:numId w:val="43"/>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Reuters News closed the year with revenues at $769 million, representing 4% organic growth compared to 2022 and the segment exceeded EBITDA targets.</w:t>
      </w:r>
    </w:p>
    <w:p>
      <w:pPr>
        <w:spacing w:after="0" w:line="86" w:lineRule="exact"/>
        <w:rPr>
          <w:rFonts w:ascii="Times New Roman" w:cs="Times New Roman" w:eastAsia="Times New Roman" w:hAnsi="Times New Roman"/>
          <w:sz w:val="27"/>
          <w:szCs w:val="27"/>
          <w:color w:val="auto"/>
          <w:vertAlign w:val="superscript"/>
        </w:rPr>
      </w:pPr>
    </w:p>
    <w:p>
      <w:pPr>
        <w:ind w:left="700" w:right="100" w:hanging="319"/>
        <w:spacing w:after="0" w:line="202" w:lineRule="auto"/>
        <w:tabs>
          <w:tab w:leader="none" w:pos="700" w:val="left"/>
        </w:tabs>
        <w:numPr>
          <w:ilvl w:val="0"/>
          <w:numId w:val="43"/>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Signed new AI licensing deals with major technology development partners and launched Avista, an AI powered video tagging and translation tool for Agency clients.</w:t>
      </w:r>
    </w:p>
    <w:p>
      <w:pPr>
        <w:spacing w:after="0" w:line="10" w:lineRule="exact"/>
        <w:rPr>
          <w:rFonts w:ascii="Times New Roman" w:cs="Times New Roman" w:eastAsia="Times New Roman" w:hAnsi="Times New Roman"/>
          <w:sz w:val="27"/>
          <w:szCs w:val="27"/>
          <w:color w:val="auto"/>
          <w:vertAlign w:val="superscript"/>
        </w:rPr>
      </w:pPr>
    </w:p>
    <w:p>
      <w:pPr>
        <w:ind w:left="700" w:hanging="319"/>
        <w:spacing w:after="0"/>
        <w:tabs>
          <w:tab w:leader="none" w:pos="700" w:val="left"/>
        </w:tabs>
        <w:numPr>
          <w:ilvl w:val="0"/>
          <w:numId w:val="43"/>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Acquired Imagen Ltd. and the business exceeded revenue and profitability goals for the year.</w:t>
      </w:r>
    </w:p>
    <w:p>
      <w:pPr>
        <w:spacing w:after="0" w:line="117" w:lineRule="exact"/>
        <w:rPr>
          <w:rFonts w:ascii="Times New Roman" w:cs="Times New Roman" w:eastAsia="Times New Roman" w:hAnsi="Times New Roman"/>
          <w:sz w:val="27"/>
          <w:szCs w:val="27"/>
          <w:color w:val="auto"/>
          <w:vertAlign w:val="superscript"/>
        </w:rPr>
      </w:pPr>
    </w:p>
    <w:p>
      <w:pPr>
        <w:ind w:left="700" w:hanging="319"/>
        <w:spacing w:after="0" w:line="181" w:lineRule="auto"/>
        <w:tabs>
          <w:tab w:leader="none" w:pos="700" w:val="left"/>
        </w:tabs>
        <w:numPr>
          <w:ilvl w:val="0"/>
          <w:numId w:val="43"/>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Increased automated company news coverage fourfold.</w:t>
      </w:r>
    </w:p>
    <w:p>
      <w:pPr>
        <w:spacing w:after="0" w:line="117" w:lineRule="exact"/>
        <w:rPr>
          <w:rFonts w:ascii="Times New Roman" w:cs="Times New Roman" w:eastAsia="Times New Roman" w:hAnsi="Times New Roman"/>
          <w:sz w:val="25"/>
          <w:szCs w:val="25"/>
          <w:color w:val="auto"/>
          <w:vertAlign w:val="superscript"/>
        </w:rPr>
      </w:pPr>
    </w:p>
    <w:p>
      <w:pPr>
        <w:ind w:left="700" w:hanging="319"/>
        <w:spacing w:after="0" w:line="181" w:lineRule="auto"/>
        <w:tabs>
          <w:tab w:leader="none" w:pos="700" w:val="left"/>
        </w:tabs>
        <w:numPr>
          <w:ilvl w:val="0"/>
          <w:numId w:val="43"/>
        </w:numPr>
        <w:rPr>
          <w:rFonts w:ascii="Times New Roman" w:cs="Times New Roman" w:eastAsia="Times New Roman" w:hAnsi="Times New Roman"/>
          <w:sz w:val="25"/>
          <w:szCs w:val="25"/>
          <w:color w:val="auto"/>
          <w:vertAlign w:val="superscript"/>
        </w:rPr>
      </w:pPr>
      <w:r>
        <w:rPr>
          <w:rFonts w:ascii="Arial" w:cs="Arial" w:eastAsia="Arial" w:hAnsi="Arial"/>
          <w:sz w:val="17"/>
          <w:szCs w:val="17"/>
          <w:color w:val="auto"/>
        </w:rPr>
        <w:t>The Agency business of Reuters News ended the year at near all-time highs of revenue retention and an NPS.</w:t>
      </w:r>
    </w:p>
    <w:p>
      <w:pPr>
        <w:spacing w:after="0" w:line="117" w:lineRule="exact"/>
        <w:rPr>
          <w:rFonts w:ascii="Times New Roman" w:cs="Times New Roman" w:eastAsia="Times New Roman" w:hAnsi="Times New Roman"/>
          <w:sz w:val="25"/>
          <w:szCs w:val="25"/>
          <w:color w:val="auto"/>
          <w:vertAlign w:val="superscript"/>
        </w:rPr>
      </w:pPr>
    </w:p>
    <w:p>
      <w:pPr>
        <w:ind w:left="700" w:right="160" w:hanging="319"/>
        <w:spacing w:after="0" w:line="193" w:lineRule="auto"/>
        <w:tabs>
          <w:tab w:leader="none" w:pos="700" w:val="left"/>
        </w:tabs>
        <w:numPr>
          <w:ilvl w:val="0"/>
          <w:numId w:val="43"/>
        </w:numPr>
        <w:rPr>
          <w:rFonts w:ascii="Times New Roman" w:cs="Times New Roman" w:eastAsia="Times New Roman" w:hAnsi="Times New Roman"/>
          <w:sz w:val="27"/>
          <w:szCs w:val="27"/>
          <w:color w:val="auto"/>
          <w:vertAlign w:val="superscript"/>
        </w:rPr>
      </w:pPr>
      <w:r>
        <w:rPr>
          <w:rFonts w:ascii="Arial" w:cs="Arial" w:eastAsia="Arial" w:hAnsi="Arial"/>
          <w:sz w:val="18"/>
          <w:szCs w:val="18"/>
          <w:color w:val="auto"/>
        </w:rPr>
        <w:t>Received 150 journalism award honors, including two Pulitzer Prize finalists, a George Polk Award, four Loeb Award recognitions, 69 Best of Digital Design Awards and two World Press Photo Awards.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2023 Target Compensation</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4"/>
        </w:trPr>
        <w:tc>
          <w:tcPr>
            <w:tcW w:w="4480" w:type="dxa"/>
            <w:vAlign w:val="bottom"/>
            <w:tcBorders>
              <w:right w:val="single" w:sz="8" w:color="AFAFAF"/>
            </w:tcBorders>
          </w:tcPr>
          <w:p>
            <w:pPr>
              <w:spacing w:after="0"/>
              <w:rPr>
                <w:sz w:val="24"/>
                <w:szCs w:val="24"/>
                <w:color w:val="auto"/>
              </w:rPr>
            </w:pPr>
          </w:p>
        </w:tc>
        <w:tc>
          <w:tcPr>
            <w:tcW w:w="4060" w:type="dxa"/>
            <w:vAlign w:val="bottom"/>
            <w:tcBorders>
              <w:top w:val="single" w:sz="8" w:color="B94831"/>
              <w:right w:val="single" w:sz="8" w:color="AFAFAF"/>
            </w:tcBorders>
            <w:gridSpan w:val="2"/>
          </w:tcPr>
          <w:p>
            <w:pPr>
              <w:jc w:val="right"/>
              <w:ind w:right="669"/>
              <w:spacing w:after="0"/>
              <w:rPr>
                <w:sz w:val="20"/>
                <w:szCs w:val="20"/>
                <w:color w:val="auto"/>
              </w:rPr>
            </w:pPr>
            <w:r>
              <w:rPr>
                <w:rFonts w:ascii="Arial" w:cs="Arial" w:eastAsia="Arial" w:hAnsi="Arial"/>
                <w:sz w:val="15"/>
                <w:szCs w:val="15"/>
                <w:b w:val="1"/>
                <w:bCs w:val="1"/>
                <w:color w:val="auto"/>
              </w:rPr>
              <w:t>Target Total Direct Compensation (2023)</w:t>
            </w:r>
          </w:p>
        </w:tc>
        <w:tc>
          <w:tcPr>
            <w:tcW w:w="1140" w:type="dxa"/>
            <w:vAlign w:val="bottom"/>
            <w:tcBorders>
              <w:top w:val="single" w:sz="8" w:color="B94831"/>
              <w:bottom w:val="single" w:sz="8" w:color="BFBFBF"/>
              <w:right w:val="single" w:sz="8" w:color="AFAFAF"/>
            </w:tcBorders>
            <w:shd w:val="clear" w:color="auto" w:fill="BFBFBF"/>
          </w:tcPr>
          <w:p>
            <w:pPr>
              <w:jc w:val="right"/>
              <w:ind w:right="368"/>
              <w:spacing w:after="0"/>
              <w:rPr>
                <w:sz w:val="20"/>
                <w:szCs w:val="20"/>
                <w:color w:val="auto"/>
              </w:rPr>
            </w:pPr>
            <w:r>
              <w:rPr>
                <w:rFonts w:ascii="Arial" w:cs="Arial" w:eastAsia="Arial" w:hAnsi="Arial"/>
                <w:sz w:val="15"/>
                <w:szCs w:val="15"/>
                <w:b w:val="1"/>
                <w:bCs w:val="1"/>
                <w:color w:val="auto"/>
              </w:rPr>
              <w:t>Fixed</w:t>
            </w:r>
          </w:p>
        </w:tc>
        <w:tc>
          <w:tcPr>
            <w:tcW w:w="1240" w:type="dxa"/>
            <w:vAlign w:val="bottom"/>
            <w:tcBorders>
              <w:top w:val="single" w:sz="8" w:color="B94831"/>
              <w:bottom w:val="single" w:sz="8" w:color="BFBFBF"/>
            </w:tcBorders>
            <w:shd w:val="clear" w:color="auto" w:fill="BFBFBF"/>
          </w:tcPr>
          <w:p>
            <w:pPr>
              <w:jc w:val="right"/>
              <w:ind w:right="288"/>
              <w:spacing w:after="0"/>
              <w:rPr>
                <w:sz w:val="20"/>
                <w:szCs w:val="20"/>
                <w:color w:val="auto"/>
              </w:rPr>
            </w:pPr>
            <w:r>
              <w:rPr>
                <w:rFonts w:ascii="Arial" w:cs="Arial" w:eastAsia="Arial" w:hAnsi="Arial"/>
                <w:sz w:val="15"/>
                <w:szCs w:val="15"/>
                <w:b w:val="1"/>
                <w:bCs w:val="1"/>
                <w:color w:val="auto"/>
              </w:rPr>
              <w:t>Variable</w:t>
            </w:r>
          </w:p>
        </w:tc>
      </w:tr>
      <w:tr>
        <w:trPr>
          <w:trHeight w:val="274"/>
        </w:trPr>
        <w:tc>
          <w:tcPr>
            <w:tcW w:w="4480" w:type="dxa"/>
            <w:vAlign w:val="bottom"/>
            <w:tcBorders>
              <w:right w:val="single" w:sz="8" w:color="AFAFAF"/>
            </w:tcBorders>
          </w:tcPr>
          <w:p>
            <w:pPr>
              <w:spacing w:after="0"/>
              <w:rPr>
                <w:sz w:val="23"/>
                <w:szCs w:val="23"/>
                <w:color w:val="auto"/>
              </w:rPr>
            </w:pPr>
          </w:p>
        </w:tc>
        <w:tc>
          <w:tcPr>
            <w:tcW w:w="166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b w:val="1"/>
                <w:bCs w:val="1"/>
                <w:color w:val="auto"/>
              </w:rPr>
              <w:t>US$</w:t>
            </w:r>
          </w:p>
        </w:tc>
        <w:tc>
          <w:tcPr>
            <w:tcW w:w="2400" w:type="dxa"/>
            <w:vAlign w:val="bottom"/>
            <w:tcBorders>
              <w:top w:val="single" w:sz="8" w:color="B94831"/>
              <w:right w:val="single" w:sz="8" w:color="AFAFAF"/>
            </w:tcBorders>
          </w:tcPr>
          <w:p>
            <w:pPr>
              <w:jc w:val="right"/>
              <w:ind w:right="529"/>
              <w:spacing w:after="0"/>
              <w:rPr>
                <w:sz w:val="20"/>
                <w:szCs w:val="20"/>
                <w:color w:val="auto"/>
              </w:rPr>
            </w:pPr>
            <w:r>
              <w:rPr>
                <w:rFonts w:ascii="Arial" w:cs="Arial" w:eastAsia="Arial" w:hAnsi="Arial"/>
                <w:sz w:val="14"/>
                <w:szCs w:val="14"/>
                <w:b w:val="1"/>
                <w:bCs w:val="1"/>
                <w:color w:val="auto"/>
              </w:rPr>
              <w:t>% of base salary</w:t>
            </w:r>
          </w:p>
        </w:tc>
        <w:tc>
          <w:tcPr>
            <w:tcW w:w="1140" w:type="dxa"/>
            <w:vAlign w:val="bottom"/>
            <w:tcBorders>
              <w:top w:val="single" w:sz="8" w:color="B94831"/>
              <w:bottom w:val="single" w:sz="8" w:color="BFBFBF"/>
              <w:right w:val="single" w:sz="8" w:color="AFAFAF"/>
            </w:tcBorders>
            <w:shd w:val="clear" w:color="auto" w:fill="BFBFBF"/>
          </w:tcPr>
          <w:p>
            <w:pPr>
              <w:spacing w:after="0"/>
              <w:rPr>
                <w:sz w:val="23"/>
                <w:szCs w:val="23"/>
                <w:color w:val="auto"/>
              </w:rPr>
            </w:pPr>
          </w:p>
        </w:tc>
        <w:tc>
          <w:tcPr>
            <w:tcW w:w="1240" w:type="dxa"/>
            <w:vAlign w:val="bottom"/>
            <w:tcBorders>
              <w:top w:val="single" w:sz="8" w:color="B94831"/>
              <w:bottom w:val="single" w:sz="8" w:color="BFBFBF"/>
            </w:tcBorders>
            <w:shd w:val="clear" w:color="auto" w:fill="BFBFBF"/>
          </w:tcPr>
          <w:p>
            <w:pPr>
              <w:spacing w:after="0"/>
              <w:rPr>
                <w:sz w:val="23"/>
                <w:szCs w:val="23"/>
                <w:color w:val="auto"/>
              </w:rPr>
            </w:pPr>
          </w:p>
        </w:tc>
      </w:tr>
      <w:tr>
        <w:trPr>
          <w:trHeight w:val="274"/>
        </w:trPr>
        <w:tc>
          <w:tcPr>
            <w:tcW w:w="448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 Base salary</w:t>
            </w:r>
          </w:p>
        </w:tc>
        <w:tc>
          <w:tcPr>
            <w:tcW w:w="166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750,000</w:t>
            </w:r>
          </w:p>
        </w:tc>
        <w:tc>
          <w:tcPr>
            <w:tcW w:w="2400" w:type="dxa"/>
            <w:vAlign w:val="bottom"/>
            <w:tcBorders>
              <w:top w:val="single" w:sz="8" w:color="B94831"/>
              <w:right w:val="single" w:sz="8" w:color="AFAFAF"/>
            </w:tcBorders>
          </w:tcPr>
          <w:p>
            <w:pPr>
              <w:jc w:val="right"/>
              <w:ind w:right="5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94831"/>
              <w:bottom w:val="single" w:sz="8" w:color="BFBFBF"/>
              <w:right w:val="single" w:sz="8" w:color="AFAFAF"/>
            </w:tcBorders>
            <w:shd w:val="clear" w:color="auto" w:fill="BFBFBF"/>
          </w:tcPr>
          <w:p>
            <w:pPr>
              <w:jc w:val="right"/>
              <w:ind w:right="248"/>
              <w:spacing w:after="0"/>
              <w:rPr>
                <w:sz w:val="20"/>
                <w:szCs w:val="20"/>
                <w:color w:val="auto"/>
              </w:rPr>
            </w:pPr>
            <w:r>
              <w:rPr>
                <w:rFonts w:ascii="Arial" w:cs="Arial" w:eastAsia="Arial" w:hAnsi="Arial"/>
                <w:sz w:val="14"/>
                <w:szCs w:val="14"/>
                <w:color w:val="auto"/>
              </w:rPr>
              <w:t>24%</w:t>
            </w:r>
          </w:p>
        </w:tc>
        <w:tc>
          <w:tcPr>
            <w:tcW w:w="1240" w:type="dxa"/>
            <w:vAlign w:val="bottom"/>
            <w:tcBorders>
              <w:top w:val="single" w:sz="8" w:color="B94831"/>
              <w:bottom w:val="single" w:sz="8" w:color="BFBFBF"/>
            </w:tcBorders>
            <w:shd w:val="clear" w:color="auto" w:fill="BFBFBF"/>
          </w:tcPr>
          <w:p>
            <w:pPr>
              <w:jc w:val="right"/>
              <w:ind w:right="268"/>
              <w:spacing w:after="0"/>
              <w:rPr>
                <w:sz w:val="20"/>
                <w:szCs w:val="20"/>
                <w:color w:val="auto"/>
              </w:rPr>
            </w:pPr>
            <w:r>
              <w:rPr>
                <w:rFonts w:ascii="Arial" w:cs="Arial" w:eastAsia="Arial" w:hAnsi="Arial"/>
                <w:sz w:val="14"/>
                <w:szCs w:val="14"/>
                <w:color w:val="auto"/>
              </w:rPr>
              <w:t>–</w:t>
            </w:r>
          </w:p>
        </w:tc>
      </w:tr>
      <w:tr>
        <w:trPr>
          <w:trHeight w:val="274"/>
        </w:trPr>
        <w:tc>
          <w:tcPr>
            <w:tcW w:w="448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 Annual incentive award</w:t>
            </w:r>
          </w:p>
        </w:tc>
        <w:tc>
          <w:tcPr>
            <w:tcW w:w="166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937,500</w:t>
            </w:r>
          </w:p>
        </w:tc>
        <w:tc>
          <w:tcPr>
            <w:tcW w:w="2400" w:type="dxa"/>
            <w:vAlign w:val="bottom"/>
            <w:tcBorders>
              <w:top w:val="single" w:sz="8" w:color="AFAFAF"/>
              <w:right w:val="single" w:sz="8" w:color="AFAFAF"/>
            </w:tcBorders>
          </w:tcPr>
          <w:p>
            <w:pPr>
              <w:jc w:val="right"/>
              <w:ind w:right="409"/>
              <w:spacing w:after="0"/>
              <w:rPr>
                <w:sz w:val="20"/>
                <w:szCs w:val="20"/>
                <w:color w:val="auto"/>
              </w:rPr>
            </w:pPr>
            <w:r>
              <w:rPr>
                <w:rFonts w:ascii="Arial" w:cs="Arial" w:eastAsia="Arial" w:hAnsi="Arial"/>
                <w:sz w:val="14"/>
                <w:szCs w:val="14"/>
                <w:color w:val="auto"/>
              </w:rPr>
              <w:t>125%</w:t>
            </w:r>
          </w:p>
        </w:tc>
        <w:tc>
          <w:tcPr>
            <w:tcW w:w="1140" w:type="dxa"/>
            <w:vAlign w:val="bottom"/>
            <w:tcBorders>
              <w:top w:val="single" w:sz="8" w:color="AFAFAF"/>
              <w:bottom w:val="single" w:sz="8" w:color="BFBFBF"/>
              <w:right w:val="single" w:sz="8" w:color="AFAFAF"/>
            </w:tcBorders>
            <w:shd w:val="clear" w:color="auto" w:fill="BFBFBF"/>
          </w:tcPr>
          <w:p>
            <w:pPr>
              <w:jc w:val="right"/>
              <w:ind w:right="3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FAFAF"/>
              <w:bottom w:val="single" w:sz="8" w:color="BFBFBF"/>
            </w:tcBorders>
            <w:shd w:val="clear" w:color="auto" w:fill="BFBFBF"/>
          </w:tcPr>
          <w:p>
            <w:pPr>
              <w:jc w:val="right"/>
              <w:ind w:right="148"/>
              <w:spacing w:after="0"/>
              <w:rPr>
                <w:sz w:val="20"/>
                <w:szCs w:val="20"/>
                <w:color w:val="auto"/>
              </w:rPr>
            </w:pPr>
            <w:r>
              <w:rPr>
                <w:rFonts w:ascii="Arial" w:cs="Arial" w:eastAsia="Arial" w:hAnsi="Arial"/>
                <w:sz w:val="14"/>
                <w:szCs w:val="14"/>
                <w:color w:val="auto"/>
              </w:rPr>
              <w:t>29%</w:t>
            </w:r>
          </w:p>
        </w:tc>
      </w:tr>
      <w:tr>
        <w:trPr>
          <w:trHeight w:val="274"/>
        </w:trPr>
        <w:tc>
          <w:tcPr>
            <w:tcW w:w="4480" w:type="dxa"/>
            <w:vAlign w:val="bottom"/>
            <w:tcBorders>
              <w:top w:val="single" w:sz="8" w:color="AFAFAF"/>
              <w:right w:val="single" w:sz="8" w:color="AFAFAF"/>
            </w:tcBorders>
          </w:tcPr>
          <w:p>
            <w:pPr>
              <w:spacing w:after="0"/>
              <w:rPr>
                <w:sz w:val="20"/>
                <w:szCs w:val="20"/>
                <w:color w:val="auto"/>
              </w:rPr>
            </w:pPr>
            <w:r>
              <w:rPr>
                <w:rFonts w:ascii="Arial" w:cs="Arial" w:eastAsia="Arial" w:hAnsi="Arial"/>
                <w:sz w:val="14"/>
                <w:szCs w:val="14"/>
                <w:b w:val="1"/>
                <w:bCs w:val="1"/>
                <w:color w:val="auto"/>
              </w:rPr>
              <w:t>   Long-term incentive awards</w:t>
            </w:r>
          </w:p>
        </w:tc>
        <w:tc>
          <w:tcPr>
            <w:tcW w:w="1660" w:type="dxa"/>
            <w:vAlign w:val="bottom"/>
            <w:tcBorders>
              <w:top w:val="single" w:sz="8" w:color="AFAFAF"/>
              <w:right w:val="single" w:sz="8" w:color="AFAFAF"/>
            </w:tcBorders>
          </w:tcPr>
          <w:p>
            <w:pPr>
              <w:jc w:val="right"/>
              <w:ind w:right="248"/>
              <w:spacing w:after="0"/>
              <w:rPr>
                <w:sz w:val="20"/>
                <w:szCs w:val="20"/>
                <w:color w:val="auto"/>
              </w:rPr>
            </w:pPr>
            <w:r>
              <w:rPr>
                <w:rFonts w:ascii="Arial" w:cs="Arial" w:eastAsia="Arial" w:hAnsi="Arial"/>
                <w:sz w:val="14"/>
                <w:szCs w:val="14"/>
                <w:color w:val="auto"/>
              </w:rPr>
              <w:t>1,500,000</w:t>
            </w:r>
          </w:p>
        </w:tc>
        <w:tc>
          <w:tcPr>
            <w:tcW w:w="2400" w:type="dxa"/>
            <w:vAlign w:val="bottom"/>
            <w:tcBorders>
              <w:top w:val="single" w:sz="8" w:color="AFAFAF"/>
              <w:right w:val="single" w:sz="8" w:color="AFAFAF"/>
            </w:tcBorders>
          </w:tcPr>
          <w:p>
            <w:pPr>
              <w:jc w:val="right"/>
              <w:ind w:right="409"/>
              <w:spacing w:after="0"/>
              <w:rPr>
                <w:sz w:val="20"/>
                <w:szCs w:val="20"/>
                <w:color w:val="auto"/>
              </w:rPr>
            </w:pPr>
            <w:r>
              <w:rPr>
                <w:rFonts w:ascii="Arial" w:cs="Arial" w:eastAsia="Arial" w:hAnsi="Arial"/>
                <w:sz w:val="14"/>
                <w:szCs w:val="14"/>
                <w:color w:val="auto"/>
              </w:rPr>
              <w:t>200%</w:t>
            </w:r>
          </w:p>
        </w:tc>
        <w:tc>
          <w:tcPr>
            <w:tcW w:w="1140" w:type="dxa"/>
            <w:vAlign w:val="bottom"/>
            <w:tcBorders>
              <w:top w:val="single" w:sz="8" w:color="AFAFAF"/>
              <w:bottom w:val="single" w:sz="8" w:color="BFBFBF"/>
              <w:right w:val="single" w:sz="8" w:color="AFAFAF"/>
            </w:tcBorders>
            <w:shd w:val="clear" w:color="auto" w:fill="BFBFBF"/>
          </w:tcPr>
          <w:p>
            <w:pPr>
              <w:jc w:val="right"/>
              <w:ind w:right="3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FAFAF"/>
              <w:bottom w:val="single" w:sz="8" w:color="BFBFBF"/>
            </w:tcBorders>
            <w:shd w:val="clear" w:color="auto" w:fill="BFBFBF"/>
          </w:tcPr>
          <w:p>
            <w:pPr>
              <w:jc w:val="right"/>
              <w:ind w:right="148"/>
              <w:spacing w:after="0"/>
              <w:rPr>
                <w:sz w:val="20"/>
                <w:szCs w:val="20"/>
                <w:color w:val="auto"/>
              </w:rPr>
            </w:pPr>
            <w:r>
              <w:rPr>
                <w:rFonts w:ascii="Arial" w:cs="Arial" w:eastAsia="Arial" w:hAnsi="Arial"/>
                <w:sz w:val="14"/>
                <w:szCs w:val="14"/>
                <w:color w:val="auto"/>
              </w:rPr>
              <w:t>47%</w:t>
            </w:r>
          </w:p>
        </w:tc>
      </w:tr>
      <w:tr>
        <w:trPr>
          <w:trHeight w:val="254"/>
        </w:trPr>
        <w:tc>
          <w:tcPr>
            <w:tcW w:w="448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 Total</w:t>
            </w:r>
          </w:p>
        </w:tc>
        <w:tc>
          <w:tcPr>
            <w:tcW w:w="1660" w:type="dxa"/>
            <w:vAlign w:val="bottom"/>
            <w:tcBorders>
              <w:top w:val="single" w:sz="8" w:color="B94831"/>
              <w:right w:val="single" w:sz="8" w:color="AFAFAF"/>
            </w:tcBorders>
          </w:tcPr>
          <w:p>
            <w:pPr>
              <w:jc w:val="right"/>
              <w:ind w:right="248"/>
              <w:spacing w:after="0"/>
              <w:rPr>
                <w:sz w:val="20"/>
                <w:szCs w:val="20"/>
                <w:color w:val="auto"/>
              </w:rPr>
            </w:pPr>
            <w:r>
              <w:rPr>
                <w:rFonts w:ascii="Arial" w:cs="Arial" w:eastAsia="Arial" w:hAnsi="Arial"/>
                <w:sz w:val="14"/>
                <w:szCs w:val="14"/>
                <w:color w:val="auto"/>
              </w:rPr>
              <w:t>3,187,500</w:t>
            </w:r>
          </w:p>
        </w:tc>
        <w:tc>
          <w:tcPr>
            <w:tcW w:w="2400" w:type="dxa"/>
            <w:vAlign w:val="bottom"/>
            <w:tcBorders>
              <w:top w:val="single" w:sz="8" w:color="B94831"/>
              <w:right w:val="single" w:sz="8" w:color="AFAFAF"/>
            </w:tcBorders>
          </w:tcPr>
          <w:p>
            <w:pPr>
              <w:jc w:val="right"/>
              <w:ind w:right="5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B94831"/>
              <w:bottom w:val="single" w:sz="8" w:color="BFBFBF"/>
              <w:right w:val="single" w:sz="8" w:color="AFAFAF"/>
            </w:tcBorders>
            <w:shd w:val="clear" w:color="auto" w:fill="BFBFBF"/>
          </w:tcPr>
          <w:p>
            <w:pPr>
              <w:jc w:val="right"/>
              <w:ind w:right="248"/>
              <w:spacing w:after="0"/>
              <w:rPr>
                <w:sz w:val="20"/>
                <w:szCs w:val="20"/>
                <w:color w:val="auto"/>
              </w:rPr>
            </w:pPr>
            <w:r>
              <w:rPr>
                <w:rFonts w:ascii="Arial" w:cs="Arial" w:eastAsia="Arial" w:hAnsi="Arial"/>
                <w:sz w:val="14"/>
                <w:szCs w:val="14"/>
                <w:color w:val="auto"/>
              </w:rPr>
              <w:t>24%</w:t>
            </w:r>
          </w:p>
        </w:tc>
        <w:tc>
          <w:tcPr>
            <w:tcW w:w="1240" w:type="dxa"/>
            <w:vAlign w:val="bottom"/>
            <w:tcBorders>
              <w:top w:val="single" w:sz="8" w:color="B94831"/>
              <w:bottom w:val="single" w:sz="8" w:color="BFBFBF"/>
            </w:tcBorders>
            <w:shd w:val="clear" w:color="auto" w:fill="BFBFBF"/>
          </w:tcPr>
          <w:p>
            <w:pPr>
              <w:jc w:val="right"/>
              <w:ind w:right="148"/>
              <w:spacing w:after="0"/>
              <w:rPr>
                <w:sz w:val="20"/>
                <w:szCs w:val="20"/>
                <w:color w:val="auto"/>
              </w:rPr>
            </w:pPr>
            <w:r>
              <w:rPr>
                <w:rFonts w:ascii="Arial" w:cs="Arial" w:eastAsia="Arial" w:hAnsi="Arial"/>
                <w:sz w:val="14"/>
                <w:szCs w:val="14"/>
                <w:color w:val="auto"/>
              </w:rPr>
              <w:t>76%</w:t>
            </w:r>
          </w:p>
        </w:tc>
      </w:tr>
      <w:tr>
        <w:trPr>
          <w:trHeight w:val="20"/>
        </w:trPr>
        <w:tc>
          <w:tcPr>
            <w:tcW w:w="4480" w:type="dxa"/>
            <w:vAlign w:val="bottom"/>
            <w:tcBorders>
              <w:right w:val="single" w:sz="8" w:color="AFAFAF"/>
            </w:tcBorders>
            <w:shd w:val="clear" w:color="auto" w:fill="B94831"/>
          </w:tcPr>
          <w:p>
            <w:pPr>
              <w:spacing w:after="0" w:line="20" w:lineRule="exact"/>
              <w:rPr>
                <w:sz w:val="1"/>
                <w:szCs w:val="1"/>
                <w:color w:val="auto"/>
              </w:rPr>
            </w:pPr>
          </w:p>
        </w:tc>
        <w:tc>
          <w:tcPr>
            <w:tcW w:w="1660" w:type="dxa"/>
            <w:vAlign w:val="bottom"/>
            <w:tcBorders>
              <w:right w:val="single" w:sz="8" w:color="AFAFAF"/>
            </w:tcBorders>
            <w:shd w:val="clear" w:color="auto" w:fill="B94831"/>
          </w:tcPr>
          <w:p>
            <w:pPr>
              <w:spacing w:after="0" w:line="20" w:lineRule="exact"/>
              <w:rPr>
                <w:sz w:val="1"/>
                <w:szCs w:val="1"/>
                <w:color w:val="auto"/>
              </w:rPr>
            </w:pPr>
          </w:p>
        </w:tc>
        <w:tc>
          <w:tcPr>
            <w:tcW w:w="2400" w:type="dxa"/>
            <w:vAlign w:val="bottom"/>
            <w:tcBorders>
              <w:right w:val="single" w:sz="8" w:color="AFAFAF"/>
            </w:tcBorders>
            <w:shd w:val="clear" w:color="auto" w:fill="B94831"/>
          </w:tcPr>
          <w:p>
            <w:pPr>
              <w:spacing w:after="0" w:line="20" w:lineRule="exact"/>
              <w:rPr>
                <w:sz w:val="1"/>
                <w:szCs w:val="1"/>
                <w:color w:val="auto"/>
              </w:rPr>
            </w:pPr>
          </w:p>
        </w:tc>
        <w:tc>
          <w:tcPr>
            <w:tcW w:w="1140" w:type="dxa"/>
            <w:vAlign w:val="bottom"/>
            <w:tcBorders>
              <w:right w:val="single" w:sz="8" w:color="AFAFAF"/>
            </w:tcBorders>
            <w:shd w:val="clear" w:color="auto" w:fill="B94831"/>
          </w:tcPr>
          <w:p>
            <w:pPr>
              <w:spacing w:after="0" w:line="20" w:lineRule="exact"/>
              <w:rPr>
                <w:sz w:val="1"/>
                <w:szCs w:val="1"/>
                <w:color w:val="auto"/>
              </w:rPr>
            </w:pPr>
          </w:p>
        </w:tc>
        <w:tc>
          <w:tcPr>
            <w:tcW w:w="1240" w:type="dxa"/>
            <w:vAlign w:val="bottom"/>
            <w:shd w:val="clear" w:color="auto" w:fill="B94831"/>
          </w:tcPr>
          <w:p>
            <w:pPr>
              <w:spacing w:after="0" w:line="20" w:lineRule="exact"/>
              <w:rPr>
                <w:sz w:val="1"/>
                <w:szCs w:val="1"/>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Paul’s base salary was unchanged in 2023.</w:t>
      </w:r>
    </w:p>
    <w:p>
      <w:pPr>
        <w:spacing w:after="0" w:line="101" w:lineRule="exact"/>
        <w:rPr>
          <w:sz w:val="20"/>
          <w:szCs w:val="20"/>
          <w:color w:val="auto"/>
        </w:rPr>
      </w:pPr>
    </w:p>
    <w:p>
      <w:pPr>
        <w:ind w:left="160" w:right="1000"/>
        <w:spacing w:after="0" w:line="265" w:lineRule="auto"/>
        <w:rPr>
          <w:sz w:val="20"/>
          <w:szCs w:val="20"/>
          <w:color w:val="auto"/>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Paul’s 2023 annual incentive award had a payout of 98% of target based on financial and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w:t>
      </w:r>
    </w:p>
    <w:p>
      <w:pPr>
        <w:spacing w:after="0" w:line="51"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Paul’s 2023 award grant (based on 2022 performance) was split between 50% PRSUs, 25% TRSUs and</w:t>
      </w:r>
      <w:r>
        <w:rPr>
          <w:rFonts w:ascii="Arial" w:cs="Arial" w:eastAsia="Arial" w:hAnsi="Arial"/>
          <w:sz w:val="18"/>
          <w:szCs w:val="18"/>
          <w:b w:val="1"/>
          <w:bCs w:val="1"/>
          <w:color w:val="auto"/>
        </w:rPr>
        <w:t xml:space="preserve"> </w:t>
      </w:r>
      <w:r>
        <w:rPr>
          <w:rFonts w:ascii="Arial" w:cs="Arial" w:eastAsia="Arial" w:hAnsi="Arial"/>
          <w:sz w:val="18"/>
          <w:szCs w:val="18"/>
          <w:color w:val="auto"/>
        </w:rPr>
        <w:t>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81</w:t>
      </w:r>
    </w:p>
    <w:p>
      <w:pPr>
        <w:sectPr>
          <w:pgSz w:w="11900" w:h="16838" w:orient="portrait"/>
          <w:cols w:equalWidth="0" w:num="1">
            <w:col w:w="11080"/>
          </w:cols>
          <w:pgMar w:left="320" w:top="454"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Additional Information</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Retirement and Other Benefits</w:t>
      </w:r>
    </w:p>
    <w:p>
      <w:pPr>
        <w:spacing w:after="0" w:line="5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Our retirement and other benefits are designed to provide a competitive level of post-retirement income and strong incentive for executives to remain with Thomson Reuters throughout their careers. For more information about retirement and other pension benefits provided to each named executive officer, please see the “Pension and Other Retirement Benefits” subsection of the “Executive Compensation” section of this circular.</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Perquisites and Other Personal Benefits</w:t>
      </w:r>
    </w:p>
    <w:p>
      <w:pPr>
        <w:spacing w:after="0" w:line="51"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The HR Committee periodically reviews the perquisites and other personal benefits provided to our executive officers. Over the past few years, we have reduced and eliminated various perquisites and other personal benefits provided to our named executive officers (and other members of senior management) in order to simplify our compensation program, better align with emerging trends and focus on performance-based variable incentives. Only those perquisites which the HR Committee believes provide a significant benefit to our company on a cost-effective basis have been retained.</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our named executive officers, perquisites provided in 2023 consisted of:</w:t>
      </w:r>
    </w:p>
    <w:p>
      <w:pPr>
        <w:spacing w:after="0" w:line="114" w:lineRule="exact"/>
        <w:rPr>
          <w:sz w:val="20"/>
          <w:szCs w:val="20"/>
          <w:color w:val="auto"/>
        </w:rPr>
      </w:pPr>
    </w:p>
    <w:p>
      <w:pPr>
        <w:ind w:left="700" w:right="360" w:hanging="319"/>
        <w:spacing w:after="0" w:line="210" w:lineRule="auto"/>
        <w:tabs>
          <w:tab w:leader="none" w:pos="700" w:val="left"/>
        </w:tabs>
        <w:numPr>
          <w:ilvl w:val="0"/>
          <w:numId w:val="44"/>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Executive physicals </w:t>
      </w:r>
      <w:r>
        <w:rPr>
          <w:rFonts w:ascii="Arial" w:cs="Arial" w:eastAsia="Arial" w:hAnsi="Arial"/>
          <w:sz w:val="18"/>
          <w:szCs w:val="18"/>
          <w:color w:val="auto"/>
        </w:rPr>
        <w:t>– this benefit can be provided by our company on a coordinated basis at a reasonable price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and reduces the risk that we will lose an executive to an unforeseen medical or health issue, while minimizing the amount of time an executive needs to spend away from the office.</w:t>
      </w:r>
    </w:p>
    <w:p>
      <w:pPr>
        <w:spacing w:after="0" w:line="88" w:lineRule="exact"/>
        <w:rPr>
          <w:rFonts w:ascii="Times New Roman" w:cs="Times New Roman" w:eastAsia="Times New Roman" w:hAnsi="Times New Roman"/>
          <w:sz w:val="27"/>
          <w:szCs w:val="27"/>
          <w:color w:val="auto"/>
          <w:vertAlign w:val="superscript"/>
        </w:rPr>
      </w:pPr>
    </w:p>
    <w:p>
      <w:pPr>
        <w:jc w:val="both"/>
        <w:ind w:left="700" w:right="120" w:hanging="319"/>
        <w:spacing w:after="0" w:line="210" w:lineRule="auto"/>
        <w:tabs>
          <w:tab w:leader="none" w:pos="700" w:val="left"/>
        </w:tabs>
        <w:numPr>
          <w:ilvl w:val="0"/>
          <w:numId w:val="44"/>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Tax and financial planning assistance </w:t>
      </w:r>
      <w:r>
        <w:rPr>
          <w:rFonts w:ascii="Arial" w:cs="Arial" w:eastAsia="Arial" w:hAnsi="Arial"/>
          <w:sz w:val="18"/>
          <w:szCs w:val="18"/>
          <w:color w:val="auto"/>
        </w:rPr>
        <w:t>– this benefit allows our named executive officers to utilize the services of a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advisor who is familiar with our compensation structure and benefit programs. Thomson Reuters benefits from being able to work with one advisor.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offer a package of expatriate benefits to all employees on a company-initiated long-term assignment to a foreign location. These benefits are typically provided in our industry when companies ask their executives to work outside of their home country. Standard benefits for our executives include a housing allowance (if home sale assistance is not provided), a cost of living allowance for relocations between certain countries, health and welfare benefits, shipping and storage costs, tax equalization, tax preparation services and an annual home leave. None of our named executive officers are expatriates.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Insurance Policies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company provides life insurance to certain employees.</w:t>
      </w:r>
    </w:p>
    <w:p>
      <w:pPr>
        <w:spacing w:after="0" w:line="95"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Our Canadian employees are provided with life insurance coverage equal to 1.5 times their base salary up to C$1,000,000. Employees may increase this coverage at their expense. Steve Hasker and Mike Eastwood are eligible for this benefit.</w:t>
      </w:r>
    </w:p>
    <w:p>
      <w:pPr>
        <w:spacing w:after="0" w:line="51"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Our U.S. employees are provided with group life insurance in the amount of their base salary up to a maximum of $400,000. Employees may increase this coverage at their expense. Paul Bascobert and Laura Clayton McDonnell are eligible for this benefit.</w:t>
      </w:r>
    </w:p>
    <w:p>
      <w:pPr>
        <w:spacing w:after="0" w:line="51"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Under the Swiss cash balance pension plan described in the Defined Benefit Pension Plans section of this circular, our Swiss employees are provided with lump sum death in service benefit equal to 2.0 times their base salary. In addition, and where applicable, there is a spouse or partner pension payable to the beneficiary which is equal to 60% of the disability pension available under the plan and an orphan’s pension payable to the beneficiary equal to 20% of the disability pension available under the plan. Kirsty Roth is eligible for this benefit.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Termination Benefits</w:t>
      </w:r>
    </w:p>
    <w:p>
      <w:pPr>
        <w:spacing w:after="0" w:line="51"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Each of our named executive officers may be eligible to receive certain payments and benefits if their employment is terminated under certain circumstances. Additional information is provided in the “Termination Benefits” subsection of this circular. The HR Committee believes that potential termination benefits enhance our ability to attract and retain our executive officers. These benefits do not enhance an executive’s income while employed at our company and are independent of direct compensation decisions made annually.</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Equity Grant Policy</w:t>
      </w:r>
    </w:p>
    <w:p>
      <w:pPr>
        <w:spacing w:after="0" w:line="51"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We have an equity grant policy which sets forth approval requirements for annual and off-cycle awards. The following describes our current policy.</w:t>
      </w:r>
    </w:p>
    <w:p>
      <w:pPr>
        <w:spacing w:after="0" w:line="5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color w:val="auto"/>
        </w:rPr>
        <w:t>Annual grants of long-term incentive awards are typically approved at the Board’s meeting in March of each year. In certain years, grants have occurred later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36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82   Management Proxy Circular and Notice of Annual Meeting of Shareholders</w:t>
      </w:r>
    </w:p>
    <w:p>
      <w:pPr>
        <w:sectPr>
          <w:pgSz w:w="11900" w:h="16838" w:orient="portrait"/>
          <w:cols w:equalWidth="0" w:num="1">
            <w:col w:w="11000"/>
          </w:cols>
          <w:pgMar w:left="320" w:top="454" w:right="5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Under the equity grant policy, the CEO is authorized to approve certain off-cycle awards, depending on the size of the grant and the identity of the particular grantee. Awards that exceed the CEO’s approval authority are submitted to the HR Committee. In addition, under the policy, unless we are in a designated closed period or are in possession of material nonpublic information, off-cycle awards are granted on the 10th day of each month.</w:t>
      </w:r>
    </w:p>
    <w:p>
      <w:pPr>
        <w:spacing w:after="0" w:line="71"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New hire awards are made on the 10th day of the month following the month in which the grantee commenced employment with Thomson Reuters.</w:t>
      </w:r>
    </w:p>
    <w:p>
      <w:pPr>
        <w:spacing w:after="0" w:line="51"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If we are in a designated closed period or otherwise are in possession of material nonpublic information on the date that a grant would typically be made, then the grant is not made until the 10th day of the month following the month when the closed period ended, or when we are no longer in possession of material nonpublic information.</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the 10th day of the month is not a business day, then the applicable award is made on the next business day that follows the 10th.</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do not backdate or spring-load stock option grants.</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Clawback Policies</w:t>
      </w:r>
    </w:p>
    <w:p>
      <w:pPr>
        <w:spacing w:after="0" w:line="51"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Effective October 2, 2023, our Board adopted a new Incentive-Based Compensation Clawback Policy (Financial Restatement) (the Financial Restatement Clawback Policy) which is designed to comply with Section 10D of the Securities Exchange Act of 1934 and the new NYSE listing standards adopted to cover recovery of erroneously awarded incentive-based compensation. The Financial Restatement Clawback Policy replaced our previously adopted financial restatement clawback policy. Under the Financial Restatement Clawback Policy, in the event of an accounting restatement due to our material noncompliance with any financial reporting requirement under applicable securities laws, including any required accounting restatement to correct a material error in previously issued financial statements, or that would result in a material misstatement if the error were corrected in the current period or left uncorrected in the current period, Thomson Reuters must recover erroneously awarded performance-based compensation previously paid to our executive officers in accordance with the terms of the Financial Restatement Clawback Policy. Furthermore, under the Financial Restatement Clawback Policy, Thomson Reuters is prohibited from indemnifying any executive officer or former executive officer against the loss of erroneously awarded performance-based compensation and from paying or reimbursing an executive officer for purchasing insurance to cover any such loss.</w:t>
      </w:r>
    </w:p>
    <w:p>
      <w:pPr>
        <w:spacing w:after="0" w:line="82" w:lineRule="exact"/>
        <w:rPr>
          <w:sz w:val="20"/>
          <w:szCs w:val="20"/>
          <w:color w:val="auto"/>
        </w:rPr>
      </w:pPr>
    </w:p>
    <w:p>
      <w:pPr>
        <w:ind w:left="160" w:right="340"/>
        <w:spacing w:after="0"/>
        <w:rPr>
          <w:sz w:val="20"/>
          <w:szCs w:val="20"/>
          <w:color w:val="auto"/>
        </w:rPr>
      </w:pPr>
      <w:r>
        <w:rPr>
          <w:rFonts w:ascii="Arial" w:cs="Arial" w:eastAsia="Arial" w:hAnsi="Arial"/>
          <w:sz w:val="18"/>
          <w:szCs w:val="18"/>
          <w:color w:val="auto"/>
        </w:rPr>
        <w:t>In addition, effective March 6, 2024, our Board adopted a new Incentive-Based Compensation Clawback Policy (Wrongful Acts), which permits us to seek reimbursement from our executive officers and certain other members of our management team in circumstances where such individuals engaged in wrongful acts such as theft, fraud, a violation of our Code of Business Conduct and Ethics or such other serious misconduct that results in harm to Thomson Reuters. A copy of our Incentive-Based Compensation Clawback Policy (Financial Restatement) is attached as an exhibit to our annual report.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Insider Trading Policy/Pledging and Hedging Restrictions</w:t>
      </w:r>
    </w:p>
    <w:p>
      <w:pPr>
        <w:spacing w:after="0" w:line="51" w:lineRule="exact"/>
        <w:rPr>
          <w:sz w:val="20"/>
          <w:szCs w:val="20"/>
          <w:color w:val="auto"/>
        </w:rPr>
      </w:pPr>
    </w:p>
    <w:p>
      <w:pPr>
        <w:ind w:left="160" w:right="420"/>
        <w:spacing w:after="0" w:line="256" w:lineRule="auto"/>
        <w:rPr>
          <w:sz w:val="20"/>
          <w:szCs w:val="20"/>
          <w:color w:val="auto"/>
        </w:rPr>
      </w:pPr>
      <w:r>
        <w:rPr>
          <w:rFonts w:ascii="Arial" w:cs="Arial" w:eastAsia="Arial" w:hAnsi="Arial"/>
          <w:sz w:val="17"/>
          <w:szCs w:val="17"/>
          <w:color w:val="auto"/>
        </w:rPr>
        <w:t xml:space="preserve">Our directors and executive officers are required to obtain pre-clearance prior to trading in Thomson Reuters securities. Directors and executive officers may only trade in securities of our company during designated open periods when they do not possess material nonpublic information. Our open periods begin on the business day after we release quarterly or annual earnings and end on the last business day of the quarter or year. Directors and executive officers report their transactions in our securities through the System for Electronic Disclosure by Insiders (SEDI) in Canada, which can be accessed at </w:t>
      </w:r>
      <w:r>
        <w:rPr>
          <w:rFonts w:ascii="Arial" w:cs="Arial" w:eastAsia="Arial" w:hAnsi="Arial"/>
          <w:sz w:val="17"/>
          <w:szCs w:val="17"/>
          <w:b w:val="1"/>
          <w:bCs w:val="1"/>
          <w:color w:val="335367"/>
        </w:rPr>
        <w:t>www.sedi.ca</w:t>
      </w:r>
      <w:r>
        <w:rPr>
          <w:rFonts w:ascii="Arial" w:cs="Arial" w:eastAsia="Arial" w:hAnsi="Arial"/>
          <w:sz w:val="17"/>
          <w:szCs w:val="17"/>
          <w:color w:val="auto"/>
        </w:rPr>
        <w:t>. Our directors and executive officers are exempt from reporting their transactions with the SEC as our company is a foreign private issuer for SEC purposes.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directors and executive officers are prohibited from pledging Thomson Reuters securities or holding them in margin accounts.</w:t>
      </w:r>
    </w:p>
    <w:p>
      <w:pPr>
        <w:spacing w:after="0" w:line="101" w:lineRule="exact"/>
        <w:rPr>
          <w:sz w:val="20"/>
          <w:szCs w:val="20"/>
          <w:color w:val="auto"/>
        </w:rPr>
      </w:pPr>
    </w:p>
    <w:p>
      <w:pPr>
        <w:ind w:left="160" w:right="200"/>
        <w:spacing w:after="0" w:line="262" w:lineRule="auto"/>
        <w:rPr>
          <w:sz w:val="20"/>
          <w:szCs w:val="20"/>
          <w:color w:val="auto"/>
        </w:rPr>
      </w:pPr>
      <w:r>
        <w:rPr>
          <w:rFonts w:ascii="Arial" w:cs="Arial" w:eastAsia="Arial" w:hAnsi="Arial"/>
          <w:sz w:val="17"/>
          <w:szCs w:val="17"/>
          <w:color w:val="auto"/>
        </w:rPr>
        <w:t>Our directors, officers and employees are restricted from purchasing financial instruments or otherwise engaging in transactions that are designed to, or have the effect of, hedging or offsetting any decrease in the market value of Thomson Reuters securities. Prohibited transactions of this type include, but not are limited to, trading in puts and calls in Thomson Reuters securities, short sales of Thomson Reuters securities and other types of hedging transactions, such as prepaid variable forward sale contracts, equity swaps and collars.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336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83</w:t>
      </w:r>
    </w:p>
    <w:p>
      <w:pPr>
        <w:sectPr>
          <w:pgSz w:w="11900" w:h="16838" w:orient="portrait"/>
          <w:cols w:equalWidth="0" w:num="1">
            <w:col w:w="11080"/>
          </w:cols>
          <w:pgMar w:left="320" w:top="454"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Performance Graphs</w:t>
      </w:r>
    </w:p>
    <w:p>
      <w:pPr>
        <w:spacing w:after="0" w:line="51"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color w:val="auto"/>
        </w:rPr>
        <w:t>The following graphs compare our cumulative total shareholder return, assuming reinvestment of dividends, of C$ 100 and US$100 invested in our common shares for the periods presented. Our common shares are listed on the TSX in Canadian dollars and on the NYSE in U.S. dollars under the symbol “TRI”.</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Cumulative Value of a C$100 Investment</w:t>
      </w:r>
    </w:p>
    <w:p>
      <w:pPr>
        <w:spacing w:after="0" w:line="5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A significant portion of our revenues is generated in U.S. dollars and our financial statements are expressed in U.S. dollars. As such, the appreciation of the U.S. dollar relative to the Canadian dollar can have a favorable effect on the value of our Canadian dollar-denominated common shares. Our common shares are included in the S&amp;P/TSX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137795</wp:posOffset>
            </wp:positionV>
            <wp:extent cx="5978525" cy="16643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78525"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Cumulative Value of a US$100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171450</wp:posOffset>
            </wp:positionV>
            <wp:extent cx="6929755" cy="16986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29755"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84   Management Proxy Circular and Notice of Annual Meeting of Shareholders</w:t>
      </w:r>
    </w:p>
    <w:p>
      <w:pPr>
        <w:sectPr>
          <w:pgSz w:w="11900" w:h="16838" w:orient="portrait"/>
          <w:cols w:equalWidth="0" w:num="1">
            <w:col w:w="11040"/>
          </w:cols>
          <w:pgMar w:left="320" w:top="454" w:right="5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Historic Named Executive Officer Compensation</w:t>
      </w:r>
    </w:p>
    <w:p>
      <w:pPr>
        <w:spacing w:after="0" w:line="51" w:lineRule="exact"/>
        <w:rPr>
          <w:sz w:val="20"/>
          <w:szCs w:val="20"/>
          <w:color w:val="auto"/>
        </w:rPr>
      </w:pPr>
    </w:p>
    <w:p>
      <w:pPr>
        <w:ind w:left="160" w:right="180"/>
        <w:spacing w:after="0" w:line="243" w:lineRule="auto"/>
        <w:rPr>
          <w:sz w:val="20"/>
          <w:szCs w:val="20"/>
          <w:color w:val="auto"/>
        </w:rPr>
      </w:pPr>
      <w:r>
        <w:rPr>
          <w:rFonts w:ascii="Arial" w:cs="Arial" w:eastAsia="Arial" w:hAnsi="Arial"/>
          <w:sz w:val="18"/>
          <w:szCs w:val="18"/>
          <w:color w:val="auto"/>
        </w:rPr>
        <w:t>Over the past five years (from January 1, 2018 to December 31, 2023), the total shareholder return of our U.S. and Canadian dollar denominated common shares was approximately 243% and 233%, respectively. During this same period, the total shareholder return for our U.S. dollar-denominated shares was higher than the S&amp;P 500 Composite Index and the total return for our Canadian dollar-denominated shares was higher than the S&amp;P/TSX Composite Index.</w:t>
      </w:r>
    </w:p>
    <w:p>
      <w:pPr>
        <w:spacing w:after="0" w:line="71" w:lineRule="exact"/>
        <w:rPr>
          <w:sz w:val="20"/>
          <w:szCs w:val="20"/>
          <w:color w:val="auto"/>
        </w:rPr>
      </w:pPr>
    </w:p>
    <w:p>
      <w:pPr>
        <w:jc w:val="both"/>
        <w:ind w:left="160" w:right="140"/>
        <w:spacing w:after="0" w:line="262" w:lineRule="auto"/>
        <w:rPr>
          <w:sz w:val="20"/>
          <w:szCs w:val="20"/>
          <w:color w:val="auto"/>
        </w:rPr>
      </w:pPr>
      <w:r>
        <w:rPr>
          <w:rFonts w:ascii="Arial" w:cs="Arial" w:eastAsia="Arial" w:hAnsi="Arial"/>
          <w:sz w:val="17"/>
          <w:szCs w:val="17"/>
          <w:color w:val="auto"/>
        </w:rPr>
        <w:t>The graph below reflects named executive officer compensation based on amounts reflected in the Summary Compensation Table in this year’s circular and in prior year circulars. The graph below excludes our former CEO and CFO for 2020 in order to provide a comparison of compensation earned by five named executive officers for each year. Two of our five named executive officers for 2020 (excluding our former CEO and CFO) joined Thomson Reuters during the year and one named executive officer was new to his role during that year.</w:t>
      </w:r>
    </w:p>
    <w:p>
      <w:pPr>
        <w:spacing w:after="0" w:line="56"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color w:val="auto"/>
        </w:rPr>
        <w:t>We believe that the five-year trend set forth below reflects thoughtful and balanced compensation decision-making related to our CEO and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129540</wp:posOffset>
            </wp:positionV>
            <wp:extent cx="4526280" cy="15963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526280"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CEO Compensation Lookback</w:t>
      </w:r>
    </w:p>
    <w:p>
      <w:pPr>
        <w:spacing w:after="0" w:line="51" w:lineRule="exact"/>
        <w:rPr>
          <w:sz w:val="20"/>
          <w:szCs w:val="20"/>
          <w:color w:val="auto"/>
        </w:rPr>
      </w:pPr>
    </w:p>
    <w:p>
      <w:pPr>
        <w:ind w:left="160" w:right="160"/>
        <w:spacing w:after="0" w:line="252" w:lineRule="auto"/>
        <w:rPr>
          <w:sz w:val="20"/>
          <w:szCs w:val="20"/>
          <w:color w:val="auto"/>
        </w:rPr>
      </w:pPr>
      <w:r>
        <w:rPr>
          <w:rFonts w:ascii="Arial" w:cs="Arial" w:eastAsia="Arial" w:hAnsi="Arial"/>
          <w:sz w:val="17"/>
          <w:szCs w:val="17"/>
          <w:color w:val="auto"/>
        </w:rPr>
        <w:t>The table below compares compensation awarded to Steve Hasker in 2020 (when he joined Thomson Reuters), 2021, 2022 and 2023 with the value of that compensation that has been realized or is realizable as of December 31, 2023. The value of realized compensation for each year includes base salary, the annual incentive award paid for the year and the value of vested RSUs and stock options. Vested RSUs are valued based on the market price at vesting and company performance in the case of performance awards. Vested stock options are valued based on the black-scholes value at vesting. Realizable compensation represents the value of unvested RSU and stock option awards based on the closing stock price on December 31, 2023. The value of realizable compensation is tied to future stock price and company performance until vested. The table also shows the realized and realizable value to the CEO for each $ 100 of compensation awarded each year, then the cumulative shareholder return per $100 invested in our common shares and in the S&amp;P 500 Composite Index over the same period. These values are indexed at $100 to provide a more meaningful comparison.</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540" w:type="dxa"/>
            <w:vAlign w:val="bottom"/>
            <w:tcBorders>
              <w:bottom w:val="single" w:sz="8" w:color="262626"/>
            </w:tcBorders>
            <w:shd w:val="clear" w:color="auto" w:fill="262626"/>
          </w:tcPr>
          <w:p>
            <w:pPr>
              <w:spacing w:after="0"/>
              <w:rPr>
                <w:sz w:val="18"/>
                <w:szCs w:val="18"/>
                <w:color w:val="auto"/>
              </w:rPr>
            </w:pPr>
          </w:p>
        </w:tc>
        <w:tc>
          <w:tcPr>
            <w:tcW w:w="1400" w:type="dxa"/>
            <w:vAlign w:val="bottom"/>
            <w:tcBorders>
              <w:bottom w:val="single" w:sz="8" w:color="262626"/>
            </w:tcBorders>
            <w:shd w:val="clear" w:color="auto" w:fill="262626"/>
          </w:tcPr>
          <w:p>
            <w:pPr>
              <w:spacing w:after="0"/>
              <w:rPr>
                <w:sz w:val="18"/>
                <w:szCs w:val="18"/>
                <w:color w:val="auto"/>
              </w:rPr>
            </w:pPr>
          </w:p>
        </w:tc>
        <w:tc>
          <w:tcPr>
            <w:tcW w:w="1500" w:type="dxa"/>
            <w:vAlign w:val="bottom"/>
            <w:tcBorders>
              <w:bottom w:val="single" w:sz="8" w:color="262626"/>
            </w:tcBorders>
            <w:shd w:val="clear" w:color="auto" w:fill="262626"/>
          </w:tcPr>
          <w:p>
            <w:pPr>
              <w:spacing w:after="0"/>
              <w:rPr>
                <w:sz w:val="18"/>
                <w:szCs w:val="18"/>
                <w:color w:val="auto"/>
              </w:rPr>
            </w:pPr>
          </w:p>
        </w:tc>
        <w:tc>
          <w:tcPr>
            <w:tcW w:w="1980" w:type="dxa"/>
            <w:vAlign w:val="bottom"/>
            <w:tcBorders>
              <w:bottom w:val="single" w:sz="8" w:color="262626"/>
            </w:tcBorders>
            <w:shd w:val="clear" w:color="auto" w:fill="262626"/>
          </w:tcPr>
          <w:p>
            <w:pPr>
              <w:spacing w:after="0"/>
              <w:rPr>
                <w:sz w:val="18"/>
                <w:szCs w:val="18"/>
                <w:color w:val="auto"/>
              </w:rPr>
            </w:pPr>
          </w:p>
        </w:tc>
        <w:tc>
          <w:tcPr>
            <w:tcW w:w="1400" w:type="dxa"/>
            <w:vAlign w:val="bottom"/>
            <w:tcBorders>
              <w:bottom w:val="single" w:sz="8" w:color="262626"/>
            </w:tcBorders>
            <w:shd w:val="clear" w:color="auto" w:fill="262626"/>
          </w:tcPr>
          <w:p>
            <w:pPr>
              <w:spacing w:after="0"/>
              <w:rPr>
                <w:sz w:val="18"/>
                <w:szCs w:val="18"/>
                <w:color w:val="auto"/>
              </w:rPr>
            </w:pPr>
          </w:p>
        </w:tc>
        <w:tc>
          <w:tcPr>
            <w:tcW w:w="3100" w:type="dxa"/>
            <w:vAlign w:val="bottom"/>
            <w:tcBorders>
              <w:bottom w:val="single" w:sz="8" w:color="B94831"/>
            </w:tcBorders>
            <w:gridSpan w:val="2"/>
            <w:shd w:val="clear" w:color="auto" w:fill="262626"/>
          </w:tcPr>
          <w:p>
            <w:pPr>
              <w:ind w:left="200"/>
              <w:spacing w:after="0"/>
              <w:rPr>
                <w:sz w:val="20"/>
                <w:szCs w:val="20"/>
                <w:color w:val="auto"/>
              </w:rPr>
            </w:pPr>
            <w:r>
              <w:rPr>
                <w:rFonts w:ascii="Arial" w:cs="Arial" w:eastAsia="Arial" w:hAnsi="Arial"/>
                <w:sz w:val="14"/>
                <w:szCs w:val="14"/>
                <w:b w:val="1"/>
                <w:bCs w:val="1"/>
                <w:color w:val="FFFFFF"/>
              </w:rPr>
              <w:t>Value of $100 (as of December 31, 2023)</w:t>
            </w:r>
          </w:p>
        </w:tc>
        <w:tc>
          <w:tcPr>
            <w:tcW w:w="0" w:type="dxa"/>
            <w:vAlign w:val="bottom"/>
          </w:tcPr>
          <w:p>
            <w:pPr>
              <w:spacing w:after="0"/>
              <w:rPr>
                <w:sz w:val="1"/>
                <w:szCs w:val="1"/>
                <w:color w:val="auto"/>
              </w:rPr>
            </w:pPr>
          </w:p>
        </w:tc>
      </w:tr>
      <w:tr>
        <w:trPr>
          <w:trHeight w:val="150"/>
        </w:trPr>
        <w:tc>
          <w:tcPr>
            <w:tcW w:w="1540" w:type="dxa"/>
            <w:vAlign w:val="bottom"/>
            <w:shd w:val="clear" w:color="auto" w:fill="262626"/>
          </w:tcPr>
          <w:p>
            <w:pPr>
              <w:spacing w:after="0"/>
              <w:rPr>
                <w:sz w:val="13"/>
                <w:szCs w:val="13"/>
                <w:color w:val="auto"/>
              </w:rPr>
            </w:pPr>
          </w:p>
        </w:tc>
        <w:tc>
          <w:tcPr>
            <w:tcW w:w="1400" w:type="dxa"/>
            <w:vAlign w:val="bottom"/>
            <w:shd w:val="clear" w:color="auto" w:fill="262626"/>
          </w:tcPr>
          <w:p>
            <w:pPr>
              <w:spacing w:after="0"/>
              <w:rPr>
                <w:sz w:val="13"/>
                <w:szCs w:val="13"/>
                <w:color w:val="auto"/>
              </w:rPr>
            </w:pPr>
          </w:p>
        </w:tc>
        <w:tc>
          <w:tcPr>
            <w:tcW w:w="1500" w:type="dxa"/>
            <w:vAlign w:val="bottom"/>
            <w:shd w:val="clear" w:color="auto" w:fill="262626"/>
          </w:tcPr>
          <w:p>
            <w:pPr>
              <w:spacing w:after="0"/>
              <w:rPr>
                <w:sz w:val="13"/>
                <w:szCs w:val="13"/>
                <w:color w:val="auto"/>
              </w:rPr>
            </w:pPr>
          </w:p>
        </w:tc>
        <w:tc>
          <w:tcPr>
            <w:tcW w:w="1980" w:type="dxa"/>
            <w:vAlign w:val="bottom"/>
            <w:shd w:val="clear" w:color="auto" w:fill="262626"/>
          </w:tcPr>
          <w:p>
            <w:pPr>
              <w:spacing w:after="0"/>
              <w:rPr>
                <w:sz w:val="13"/>
                <w:szCs w:val="13"/>
                <w:color w:val="auto"/>
              </w:rPr>
            </w:pPr>
          </w:p>
        </w:tc>
        <w:tc>
          <w:tcPr>
            <w:tcW w:w="1400" w:type="dxa"/>
            <w:vAlign w:val="bottom"/>
            <w:shd w:val="clear" w:color="auto" w:fill="262626"/>
          </w:tcPr>
          <w:p>
            <w:pPr>
              <w:jc w:val="center"/>
              <w:spacing w:after="0" w:line="150" w:lineRule="exact"/>
              <w:rPr>
                <w:sz w:val="20"/>
                <w:szCs w:val="20"/>
                <w:color w:val="auto"/>
              </w:rPr>
            </w:pPr>
            <w:r>
              <w:rPr>
                <w:rFonts w:ascii="Arial" w:cs="Arial" w:eastAsia="Arial" w:hAnsi="Arial"/>
                <w:sz w:val="15"/>
                <w:szCs w:val="15"/>
                <w:b w:val="1"/>
                <w:bCs w:val="1"/>
                <w:color w:val="FFFFFF"/>
              </w:rPr>
              <w:t>Ratio of Realized</w:t>
            </w:r>
          </w:p>
        </w:tc>
        <w:tc>
          <w:tcPr>
            <w:tcW w:w="1880" w:type="dxa"/>
            <w:vAlign w:val="bottom"/>
            <w:shd w:val="clear" w:color="auto" w:fill="262626"/>
          </w:tcPr>
          <w:p>
            <w:pPr>
              <w:spacing w:after="0"/>
              <w:rPr>
                <w:sz w:val="13"/>
                <w:szCs w:val="13"/>
                <w:color w:val="auto"/>
              </w:rPr>
            </w:pPr>
          </w:p>
        </w:tc>
        <w:tc>
          <w:tcPr>
            <w:tcW w:w="12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shd w:val="clear" w:color="auto" w:fill="262626"/>
          </w:tcPr>
          <w:p>
            <w:pPr>
              <w:spacing w:after="0"/>
              <w:rPr>
                <w:sz w:val="13"/>
                <w:szCs w:val="13"/>
                <w:color w:val="auto"/>
              </w:rPr>
            </w:pPr>
          </w:p>
        </w:tc>
        <w:tc>
          <w:tcPr>
            <w:tcW w:w="1400" w:type="dxa"/>
            <w:vAlign w:val="bottom"/>
            <w:shd w:val="clear" w:color="auto" w:fill="262626"/>
          </w:tcPr>
          <w:p>
            <w:pPr>
              <w:spacing w:after="0"/>
              <w:rPr>
                <w:sz w:val="13"/>
                <w:szCs w:val="13"/>
                <w:color w:val="auto"/>
              </w:rPr>
            </w:pPr>
          </w:p>
        </w:tc>
        <w:tc>
          <w:tcPr>
            <w:tcW w:w="1500" w:type="dxa"/>
            <w:vAlign w:val="bottom"/>
            <w:shd w:val="clear" w:color="auto" w:fill="262626"/>
          </w:tcPr>
          <w:p>
            <w:pPr>
              <w:spacing w:after="0"/>
              <w:rPr>
                <w:sz w:val="13"/>
                <w:szCs w:val="13"/>
                <w:color w:val="auto"/>
              </w:rPr>
            </w:pPr>
          </w:p>
        </w:tc>
        <w:tc>
          <w:tcPr>
            <w:tcW w:w="1980" w:type="dxa"/>
            <w:vAlign w:val="bottom"/>
            <w:shd w:val="clear" w:color="auto" w:fill="262626"/>
          </w:tcPr>
          <w:p>
            <w:pPr>
              <w:spacing w:after="0"/>
              <w:rPr>
                <w:sz w:val="13"/>
                <w:szCs w:val="13"/>
                <w:color w:val="auto"/>
              </w:rPr>
            </w:pPr>
          </w:p>
        </w:tc>
        <w:tc>
          <w:tcPr>
            <w:tcW w:w="140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rPr>
              <w:t>and Realizable</w:t>
            </w:r>
          </w:p>
        </w:tc>
        <w:tc>
          <w:tcPr>
            <w:tcW w:w="1880" w:type="dxa"/>
            <w:vAlign w:val="bottom"/>
            <w:shd w:val="clear" w:color="auto" w:fill="262626"/>
          </w:tcPr>
          <w:p>
            <w:pPr>
              <w:spacing w:after="0"/>
              <w:rPr>
                <w:sz w:val="13"/>
                <w:szCs w:val="13"/>
                <w:color w:val="auto"/>
              </w:rPr>
            </w:pPr>
          </w:p>
        </w:tc>
        <w:tc>
          <w:tcPr>
            <w:tcW w:w="12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shd w:val="clear" w:color="auto" w:fill="262626"/>
          </w:tcPr>
          <w:p>
            <w:pPr>
              <w:spacing w:after="0"/>
              <w:rPr>
                <w:sz w:val="13"/>
                <w:szCs w:val="13"/>
                <w:color w:val="auto"/>
              </w:rPr>
            </w:pPr>
          </w:p>
        </w:tc>
        <w:tc>
          <w:tcPr>
            <w:tcW w:w="1400" w:type="dxa"/>
            <w:vAlign w:val="bottom"/>
            <w:shd w:val="clear" w:color="auto" w:fill="262626"/>
          </w:tcPr>
          <w:p>
            <w:pPr>
              <w:spacing w:after="0"/>
              <w:rPr>
                <w:sz w:val="13"/>
                <w:szCs w:val="13"/>
                <w:color w:val="auto"/>
              </w:rPr>
            </w:pPr>
          </w:p>
        </w:tc>
        <w:tc>
          <w:tcPr>
            <w:tcW w:w="1500" w:type="dxa"/>
            <w:vAlign w:val="bottom"/>
            <w:shd w:val="clear" w:color="auto" w:fill="262626"/>
          </w:tcPr>
          <w:p>
            <w:pPr>
              <w:spacing w:after="0"/>
              <w:rPr>
                <w:sz w:val="13"/>
                <w:szCs w:val="13"/>
                <w:color w:val="auto"/>
              </w:rPr>
            </w:pPr>
          </w:p>
        </w:tc>
        <w:tc>
          <w:tcPr>
            <w:tcW w:w="1980" w:type="dxa"/>
            <w:vAlign w:val="bottom"/>
            <w:shd w:val="clear" w:color="auto" w:fill="262626"/>
          </w:tcPr>
          <w:p>
            <w:pPr>
              <w:spacing w:after="0"/>
              <w:rPr>
                <w:sz w:val="13"/>
                <w:szCs w:val="13"/>
                <w:color w:val="auto"/>
              </w:rPr>
            </w:pPr>
          </w:p>
        </w:tc>
        <w:tc>
          <w:tcPr>
            <w:tcW w:w="140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rPr>
              <w:t>value as of</w:t>
            </w:r>
          </w:p>
        </w:tc>
        <w:tc>
          <w:tcPr>
            <w:tcW w:w="1880" w:type="dxa"/>
            <w:vAlign w:val="bottom"/>
            <w:shd w:val="clear" w:color="auto" w:fill="262626"/>
          </w:tcPr>
          <w:p>
            <w:pPr>
              <w:spacing w:after="0"/>
              <w:rPr>
                <w:sz w:val="13"/>
                <w:szCs w:val="13"/>
                <w:color w:val="auto"/>
              </w:rPr>
            </w:pPr>
          </w:p>
        </w:tc>
        <w:tc>
          <w:tcPr>
            <w:tcW w:w="12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shd w:val="clear" w:color="auto" w:fill="262626"/>
          </w:tcPr>
          <w:p>
            <w:pPr>
              <w:spacing w:after="0"/>
              <w:rPr>
                <w:sz w:val="13"/>
                <w:szCs w:val="13"/>
                <w:color w:val="auto"/>
              </w:rPr>
            </w:pPr>
          </w:p>
        </w:tc>
        <w:tc>
          <w:tcPr>
            <w:tcW w:w="1400" w:type="dxa"/>
            <w:vAlign w:val="bottom"/>
            <w:shd w:val="clear" w:color="auto" w:fill="262626"/>
          </w:tcPr>
          <w:p>
            <w:pPr>
              <w:spacing w:after="0"/>
              <w:rPr>
                <w:sz w:val="13"/>
                <w:szCs w:val="13"/>
                <w:color w:val="auto"/>
              </w:rPr>
            </w:pPr>
          </w:p>
        </w:tc>
        <w:tc>
          <w:tcPr>
            <w:tcW w:w="1500" w:type="dxa"/>
            <w:vAlign w:val="bottom"/>
            <w:shd w:val="clear" w:color="auto" w:fill="262626"/>
          </w:tcPr>
          <w:p>
            <w:pPr>
              <w:spacing w:after="0"/>
              <w:rPr>
                <w:sz w:val="13"/>
                <w:szCs w:val="13"/>
                <w:color w:val="auto"/>
              </w:rPr>
            </w:pPr>
          </w:p>
        </w:tc>
        <w:tc>
          <w:tcPr>
            <w:tcW w:w="1980" w:type="dxa"/>
            <w:vAlign w:val="bottom"/>
            <w:shd w:val="clear" w:color="auto" w:fill="262626"/>
          </w:tcPr>
          <w:p>
            <w:pPr>
              <w:spacing w:after="0"/>
              <w:rPr>
                <w:sz w:val="13"/>
                <w:szCs w:val="13"/>
                <w:color w:val="auto"/>
              </w:rPr>
            </w:pPr>
          </w:p>
        </w:tc>
        <w:tc>
          <w:tcPr>
            <w:tcW w:w="140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rPr>
              <w:t>December 31,</w:t>
            </w:r>
          </w:p>
        </w:tc>
        <w:tc>
          <w:tcPr>
            <w:tcW w:w="1880" w:type="dxa"/>
            <w:vAlign w:val="bottom"/>
            <w:shd w:val="clear" w:color="auto" w:fill="262626"/>
          </w:tcPr>
          <w:p>
            <w:pPr>
              <w:spacing w:after="0"/>
              <w:rPr>
                <w:sz w:val="13"/>
                <w:szCs w:val="13"/>
                <w:color w:val="auto"/>
              </w:rPr>
            </w:pPr>
          </w:p>
        </w:tc>
        <w:tc>
          <w:tcPr>
            <w:tcW w:w="12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shd w:val="clear" w:color="auto" w:fill="262626"/>
          </w:tcPr>
          <w:p>
            <w:pPr>
              <w:spacing w:after="0"/>
              <w:rPr>
                <w:sz w:val="13"/>
                <w:szCs w:val="13"/>
                <w:color w:val="auto"/>
              </w:rPr>
            </w:pPr>
          </w:p>
        </w:tc>
        <w:tc>
          <w:tcPr>
            <w:tcW w:w="1400" w:type="dxa"/>
            <w:vAlign w:val="bottom"/>
            <w:shd w:val="clear" w:color="auto" w:fill="262626"/>
          </w:tcPr>
          <w:p>
            <w:pPr>
              <w:spacing w:after="0"/>
              <w:rPr>
                <w:sz w:val="13"/>
                <w:szCs w:val="13"/>
                <w:color w:val="auto"/>
              </w:rPr>
            </w:pPr>
          </w:p>
        </w:tc>
        <w:tc>
          <w:tcPr>
            <w:tcW w:w="1500" w:type="dxa"/>
            <w:vAlign w:val="bottom"/>
            <w:shd w:val="clear" w:color="auto" w:fill="262626"/>
          </w:tcPr>
          <w:p>
            <w:pPr>
              <w:spacing w:after="0"/>
              <w:rPr>
                <w:sz w:val="13"/>
                <w:szCs w:val="13"/>
                <w:color w:val="auto"/>
              </w:rPr>
            </w:pPr>
          </w:p>
        </w:tc>
        <w:tc>
          <w:tcPr>
            <w:tcW w:w="1980" w:type="dxa"/>
            <w:vAlign w:val="bottom"/>
            <w:shd w:val="clear" w:color="auto" w:fill="262626"/>
          </w:tcPr>
          <w:p>
            <w:pPr>
              <w:spacing w:after="0"/>
              <w:rPr>
                <w:sz w:val="13"/>
                <w:szCs w:val="13"/>
                <w:color w:val="auto"/>
              </w:rPr>
            </w:pPr>
          </w:p>
        </w:tc>
        <w:tc>
          <w:tcPr>
            <w:tcW w:w="140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rPr>
              <w:t>2023 to target</w:t>
            </w:r>
          </w:p>
        </w:tc>
        <w:tc>
          <w:tcPr>
            <w:tcW w:w="1880" w:type="dxa"/>
            <w:vAlign w:val="bottom"/>
            <w:shd w:val="clear" w:color="auto" w:fill="262626"/>
          </w:tcPr>
          <w:p>
            <w:pPr>
              <w:spacing w:after="0"/>
              <w:rPr>
                <w:sz w:val="13"/>
                <w:szCs w:val="13"/>
                <w:color w:val="auto"/>
              </w:rPr>
            </w:pPr>
          </w:p>
        </w:tc>
        <w:tc>
          <w:tcPr>
            <w:tcW w:w="12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shd w:val="clear" w:color="auto" w:fill="262626"/>
          </w:tcPr>
          <w:p>
            <w:pPr>
              <w:spacing w:after="0"/>
              <w:rPr>
                <w:sz w:val="13"/>
                <w:szCs w:val="13"/>
                <w:color w:val="auto"/>
              </w:rPr>
            </w:pPr>
          </w:p>
        </w:tc>
        <w:tc>
          <w:tcPr>
            <w:tcW w:w="1400" w:type="dxa"/>
            <w:vAlign w:val="bottom"/>
            <w:shd w:val="clear" w:color="auto" w:fill="262626"/>
          </w:tcPr>
          <w:p>
            <w:pPr>
              <w:spacing w:after="0"/>
              <w:rPr>
                <w:sz w:val="13"/>
                <w:szCs w:val="13"/>
                <w:color w:val="auto"/>
              </w:rPr>
            </w:pPr>
          </w:p>
        </w:tc>
        <w:tc>
          <w:tcPr>
            <w:tcW w:w="1500" w:type="dxa"/>
            <w:vAlign w:val="bottom"/>
            <w:shd w:val="clear" w:color="auto" w:fill="262626"/>
          </w:tcPr>
          <w:p>
            <w:pPr>
              <w:spacing w:after="0"/>
              <w:rPr>
                <w:sz w:val="13"/>
                <w:szCs w:val="13"/>
                <w:color w:val="auto"/>
              </w:rPr>
            </w:pPr>
          </w:p>
        </w:tc>
        <w:tc>
          <w:tcPr>
            <w:tcW w:w="1980" w:type="dxa"/>
            <w:vAlign w:val="bottom"/>
            <w:vMerge w:val="restart"/>
            <w:shd w:val="clear" w:color="auto" w:fill="262626"/>
          </w:tcPr>
          <w:p>
            <w:pPr>
              <w:jc w:val="center"/>
              <w:spacing w:after="0"/>
              <w:rPr>
                <w:sz w:val="20"/>
                <w:szCs w:val="20"/>
                <w:color w:val="auto"/>
              </w:rPr>
            </w:pPr>
            <w:r>
              <w:rPr>
                <w:rFonts w:ascii="Arial" w:cs="Arial" w:eastAsia="Arial" w:hAnsi="Arial"/>
                <w:sz w:val="15"/>
                <w:szCs w:val="15"/>
                <w:b w:val="1"/>
                <w:bCs w:val="1"/>
                <w:color w:val="FFFFFF"/>
              </w:rPr>
              <w:t>Realized and Realizable</w:t>
            </w:r>
          </w:p>
        </w:tc>
        <w:tc>
          <w:tcPr>
            <w:tcW w:w="140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rPr>
              <w:t>total direct</w:t>
            </w:r>
          </w:p>
        </w:tc>
        <w:tc>
          <w:tcPr>
            <w:tcW w:w="1880" w:type="dxa"/>
            <w:vAlign w:val="bottom"/>
            <w:shd w:val="clear" w:color="auto" w:fill="262626"/>
          </w:tcPr>
          <w:p>
            <w:pPr>
              <w:spacing w:after="0"/>
              <w:rPr>
                <w:sz w:val="13"/>
                <w:szCs w:val="13"/>
                <w:color w:val="auto"/>
              </w:rPr>
            </w:pPr>
          </w:p>
        </w:tc>
        <w:tc>
          <w:tcPr>
            <w:tcW w:w="12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40" w:type="dxa"/>
            <w:vAlign w:val="bottom"/>
            <w:vMerge w:val="restart"/>
            <w:shd w:val="clear" w:color="auto" w:fill="262626"/>
          </w:tcPr>
          <w:p>
            <w:pPr>
              <w:ind w:left="100"/>
              <w:spacing w:after="0"/>
              <w:rPr>
                <w:sz w:val="20"/>
                <w:szCs w:val="20"/>
                <w:color w:val="auto"/>
              </w:rPr>
            </w:pPr>
            <w:r>
              <w:rPr>
                <w:rFonts w:ascii="Arial" w:cs="Arial" w:eastAsia="Arial" w:hAnsi="Arial"/>
                <w:sz w:val="15"/>
                <w:szCs w:val="15"/>
                <w:b w:val="1"/>
                <w:bCs w:val="1"/>
                <w:color w:val="FFFFFF"/>
              </w:rPr>
              <w:t>Year</w:t>
            </w:r>
          </w:p>
        </w:tc>
        <w:tc>
          <w:tcPr>
            <w:tcW w:w="1400" w:type="dxa"/>
            <w:vAlign w:val="bottom"/>
            <w:shd w:val="clear" w:color="auto" w:fill="262626"/>
          </w:tcPr>
          <w:p>
            <w:pPr>
              <w:spacing w:after="0"/>
              <w:rPr>
                <w:sz w:val="13"/>
                <w:szCs w:val="13"/>
                <w:color w:val="auto"/>
              </w:rPr>
            </w:pPr>
          </w:p>
        </w:tc>
        <w:tc>
          <w:tcPr>
            <w:tcW w:w="1500" w:type="dxa"/>
            <w:vAlign w:val="bottom"/>
            <w:vMerge w:val="restart"/>
            <w:shd w:val="clear" w:color="auto" w:fill="262626"/>
          </w:tcPr>
          <w:p>
            <w:pPr>
              <w:jc w:val="center"/>
              <w:spacing w:after="0"/>
              <w:rPr>
                <w:sz w:val="20"/>
                <w:szCs w:val="20"/>
                <w:color w:val="auto"/>
              </w:rPr>
            </w:pPr>
            <w:r>
              <w:rPr>
                <w:rFonts w:ascii="Arial" w:cs="Arial" w:eastAsia="Arial" w:hAnsi="Arial"/>
                <w:sz w:val="15"/>
                <w:szCs w:val="15"/>
                <w:b w:val="1"/>
                <w:bCs w:val="1"/>
                <w:color w:val="FFFFFF"/>
                <w:w w:val="99"/>
              </w:rPr>
              <w:t>Target total direct</w:t>
            </w:r>
          </w:p>
        </w:tc>
        <w:tc>
          <w:tcPr>
            <w:tcW w:w="1980" w:type="dxa"/>
            <w:vAlign w:val="bottom"/>
            <w:vMerge w:val="continue"/>
            <w:shd w:val="clear" w:color="auto" w:fill="262626"/>
          </w:tcPr>
          <w:p>
            <w:pPr>
              <w:spacing w:after="0"/>
              <w:rPr>
                <w:sz w:val="13"/>
                <w:szCs w:val="13"/>
                <w:color w:val="auto"/>
              </w:rPr>
            </w:pPr>
          </w:p>
        </w:tc>
        <w:tc>
          <w:tcPr>
            <w:tcW w:w="1400" w:type="dxa"/>
            <w:vAlign w:val="bottom"/>
            <w:shd w:val="clear" w:color="auto" w:fill="262626"/>
          </w:tcPr>
          <w:p>
            <w:pPr>
              <w:jc w:val="center"/>
              <w:spacing w:after="0" w:line="151" w:lineRule="exact"/>
              <w:rPr>
                <w:sz w:val="20"/>
                <w:szCs w:val="20"/>
                <w:color w:val="auto"/>
              </w:rPr>
            </w:pPr>
            <w:r>
              <w:rPr>
                <w:rFonts w:ascii="Arial" w:cs="Arial" w:eastAsia="Arial" w:hAnsi="Arial"/>
                <w:sz w:val="15"/>
                <w:szCs w:val="15"/>
                <w:b w:val="1"/>
                <w:bCs w:val="1"/>
                <w:color w:val="FFFFFF"/>
              </w:rPr>
              <w:t>compensation</w:t>
            </w:r>
          </w:p>
        </w:tc>
        <w:tc>
          <w:tcPr>
            <w:tcW w:w="1880" w:type="dxa"/>
            <w:vAlign w:val="bottom"/>
            <w:vMerge w:val="restart"/>
            <w:shd w:val="clear" w:color="auto" w:fill="262626"/>
          </w:tcPr>
          <w:p>
            <w:pPr>
              <w:jc w:val="center"/>
              <w:spacing w:after="0"/>
              <w:rPr>
                <w:sz w:val="20"/>
                <w:szCs w:val="20"/>
                <w:color w:val="auto"/>
              </w:rPr>
            </w:pPr>
            <w:r>
              <w:rPr>
                <w:rFonts w:ascii="Arial" w:cs="Arial" w:eastAsia="Arial" w:hAnsi="Arial"/>
                <w:sz w:val="15"/>
                <w:szCs w:val="15"/>
                <w:b w:val="1"/>
                <w:bCs w:val="1"/>
                <w:color w:val="FFFFFF"/>
              </w:rPr>
              <w:t>Thomson Reuters</w:t>
            </w:r>
          </w:p>
        </w:tc>
        <w:tc>
          <w:tcPr>
            <w:tcW w:w="1220" w:type="dxa"/>
            <w:vAlign w:val="bottom"/>
            <w:vMerge w:val="restart"/>
            <w:shd w:val="clear" w:color="auto" w:fill="262626"/>
          </w:tcPr>
          <w:p>
            <w:pPr>
              <w:jc w:val="center"/>
              <w:spacing w:after="0"/>
              <w:rPr>
                <w:sz w:val="20"/>
                <w:szCs w:val="20"/>
                <w:color w:val="auto"/>
              </w:rPr>
            </w:pPr>
            <w:r>
              <w:rPr>
                <w:rFonts w:ascii="Arial" w:cs="Arial" w:eastAsia="Arial" w:hAnsi="Arial"/>
                <w:sz w:val="15"/>
                <w:szCs w:val="15"/>
                <w:b w:val="1"/>
                <w:bCs w:val="1"/>
                <w:color w:val="FFFFFF"/>
                <w:w w:val="99"/>
              </w:rPr>
              <w:t>S&amp;P 500</w:t>
            </w:r>
          </w:p>
        </w:tc>
        <w:tc>
          <w:tcPr>
            <w:tcW w:w="0" w:type="dxa"/>
            <w:vAlign w:val="bottom"/>
          </w:tcPr>
          <w:p>
            <w:pPr>
              <w:spacing w:after="0"/>
              <w:rPr>
                <w:sz w:val="1"/>
                <w:szCs w:val="1"/>
                <w:color w:val="auto"/>
              </w:rPr>
            </w:pPr>
          </w:p>
        </w:tc>
      </w:tr>
      <w:tr>
        <w:trPr>
          <w:trHeight w:val="160"/>
        </w:trPr>
        <w:tc>
          <w:tcPr>
            <w:tcW w:w="1540" w:type="dxa"/>
            <w:vAlign w:val="bottom"/>
            <w:vMerge w:val="continue"/>
            <w:shd w:val="clear" w:color="auto" w:fill="262626"/>
          </w:tcPr>
          <w:p>
            <w:pPr>
              <w:spacing w:after="0"/>
              <w:rPr>
                <w:sz w:val="13"/>
                <w:szCs w:val="13"/>
                <w:color w:val="auto"/>
              </w:rPr>
            </w:pPr>
          </w:p>
        </w:tc>
        <w:tc>
          <w:tcPr>
            <w:tcW w:w="1400" w:type="dxa"/>
            <w:vAlign w:val="bottom"/>
            <w:vMerge w:val="restart"/>
            <w:shd w:val="clear" w:color="auto" w:fill="262626"/>
          </w:tcPr>
          <w:p>
            <w:pPr>
              <w:ind w:left="480"/>
              <w:spacing w:after="0"/>
              <w:rPr>
                <w:sz w:val="20"/>
                <w:szCs w:val="20"/>
                <w:color w:val="auto"/>
              </w:rPr>
            </w:pPr>
            <w:r>
              <w:rPr>
                <w:rFonts w:ascii="Arial" w:cs="Arial" w:eastAsia="Arial" w:hAnsi="Arial"/>
                <w:sz w:val="15"/>
                <w:szCs w:val="15"/>
                <w:b w:val="1"/>
                <w:bCs w:val="1"/>
                <w:color w:val="FFFFFF"/>
              </w:rPr>
              <w:t>Period</w:t>
            </w:r>
          </w:p>
        </w:tc>
        <w:tc>
          <w:tcPr>
            <w:tcW w:w="1500" w:type="dxa"/>
            <w:vAlign w:val="bottom"/>
            <w:vMerge w:val="continue"/>
            <w:shd w:val="clear" w:color="auto" w:fill="262626"/>
          </w:tcPr>
          <w:p>
            <w:pPr>
              <w:spacing w:after="0"/>
              <w:rPr>
                <w:sz w:val="13"/>
                <w:szCs w:val="13"/>
                <w:color w:val="auto"/>
              </w:rPr>
            </w:pPr>
          </w:p>
        </w:tc>
        <w:tc>
          <w:tcPr>
            <w:tcW w:w="198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w w:val="98"/>
              </w:rPr>
              <w:t>value</w:t>
            </w:r>
          </w:p>
        </w:tc>
        <w:tc>
          <w:tcPr>
            <w:tcW w:w="1400" w:type="dxa"/>
            <w:vAlign w:val="bottom"/>
            <w:shd w:val="clear" w:color="auto" w:fill="262626"/>
          </w:tcPr>
          <w:p>
            <w:pPr>
              <w:jc w:val="center"/>
              <w:spacing w:after="0" w:line="161" w:lineRule="exact"/>
              <w:rPr>
                <w:sz w:val="20"/>
                <w:szCs w:val="20"/>
                <w:color w:val="auto"/>
              </w:rPr>
            </w:pPr>
            <w:r>
              <w:rPr>
                <w:rFonts w:ascii="Arial" w:cs="Arial" w:eastAsia="Arial" w:hAnsi="Arial"/>
                <w:sz w:val="15"/>
                <w:szCs w:val="15"/>
                <w:b w:val="1"/>
                <w:bCs w:val="1"/>
                <w:color w:val="FFFFFF"/>
              </w:rPr>
              <w:t>(multiplied by</w:t>
            </w:r>
          </w:p>
        </w:tc>
        <w:tc>
          <w:tcPr>
            <w:tcW w:w="1880" w:type="dxa"/>
            <w:vAlign w:val="bottom"/>
            <w:vMerge w:val="continue"/>
            <w:shd w:val="clear" w:color="auto" w:fill="262626"/>
          </w:tcPr>
          <w:p>
            <w:pPr>
              <w:spacing w:after="0"/>
              <w:rPr>
                <w:sz w:val="13"/>
                <w:szCs w:val="13"/>
                <w:color w:val="auto"/>
              </w:rPr>
            </w:pPr>
          </w:p>
        </w:tc>
        <w:tc>
          <w:tcPr>
            <w:tcW w:w="1220" w:type="dxa"/>
            <w:vAlign w:val="bottom"/>
            <w:vMerge w:val="continue"/>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540" w:type="dxa"/>
            <w:vAlign w:val="bottom"/>
            <w:shd w:val="clear" w:color="auto" w:fill="262626"/>
          </w:tcPr>
          <w:p>
            <w:pPr>
              <w:ind w:left="100"/>
              <w:spacing w:after="0"/>
              <w:rPr>
                <w:sz w:val="20"/>
                <w:szCs w:val="20"/>
                <w:color w:val="auto"/>
              </w:rPr>
            </w:pPr>
            <w:r>
              <w:rPr>
                <w:rFonts w:ascii="Arial" w:cs="Arial" w:eastAsia="Arial" w:hAnsi="Arial"/>
                <w:sz w:val="15"/>
                <w:szCs w:val="15"/>
                <w:b w:val="1"/>
                <w:bCs w:val="1"/>
                <w:color w:val="FFFFFF"/>
              </w:rPr>
              <w:t>Awarded</w:t>
            </w:r>
          </w:p>
        </w:tc>
        <w:tc>
          <w:tcPr>
            <w:tcW w:w="1400" w:type="dxa"/>
            <w:vAlign w:val="bottom"/>
            <w:vMerge w:val="continue"/>
            <w:shd w:val="clear" w:color="auto" w:fill="262626"/>
          </w:tcPr>
          <w:p>
            <w:pPr>
              <w:spacing w:after="0"/>
              <w:rPr>
                <w:sz w:val="19"/>
                <w:szCs w:val="19"/>
                <w:color w:val="auto"/>
              </w:rPr>
            </w:pPr>
          </w:p>
        </w:tc>
        <w:tc>
          <w:tcPr>
            <w:tcW w:w="150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compensation</w:t>
            </w:r>
          </w:p>
        </w:tc>
        <w:tc>
          <w:tcPr>
            <w:tcW w:w="198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rPr>
              <w:t>as of December 31, 2023</w:t>
            </w:r>
          </w:p>
        </w:tc>
        <w:tc>
          <w:tcPr>
            <w:tcW w:w="140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w w:val="98"/>
              </w:rPr>
              <w:t>$100)</w:t>
            </w:r>
          </w:p>
        </w:tc>
        <w:tc>
          <w:tcPr>
            <w:tcW w:w="1880" w:type="dxa"/>
            <w:vAlign w:val="bottom"/>
            <w:shd w:val="clear" w:color="auto" w:fill="262626"/>
          </w:tcPr>
          <w:p>
            <w:pPr>
              <w:jc w:val="center"/>
              <w:spacing w:after="0"/>
              <w:rPr>
                <w:sz w:val="20"/>
                <w:szCs w:val="20"/>
                <w:color w:val="auto"/>
              </w:rPr>
            </w:pPr>
            <w:r>
              <w:rPr>
                <w:rFonts w:ascii="Arial" w:cs="Arial" w:eastAsia="Arial" w:hAnsi="Arial"/>
                <w:sz w:val="15"/>
                <w:szCs w:val="15"/>
                <w:b w:val="1"/>
                <w:bCs w:val="1"/>
                <w:color w:val="FFFFFF"/>
                <w:w w:val="99"/>
              </w:rPr>
              <w:t>shareholders</w:t>
            </w:r>
          </w:p>
        </w:tc>
        <w:tc>
          <w:tcPr>
            <w:tcW w:w="1220" w:type="dxa"/>
            <w:vAlign w:val="bottom"/>
            <w:shd w:val="clear" w:color="auto" w:fill="262626"/>
          </w:tcPr>
          <w:p>
            <w:pPr>
              <w:jc w:val="center"/>
              <w:ind w:left="7"/>
              <w:spacing w:after="0"/>
              <w:rPr>
                <w:sz w:val="20"/>
                <w:szCs w:val="20"/>
                <w:color w:val="auto"/>
              </w:rPr>
            </w:pPr>
            <w:r>
              <w:rPr>
                <w:rFonts w:ascii="Arial" w:cs="Arial" w:eastAsia="Arial" w:hAnsi="Arial"/>
                <w:sz w:val="15"/>
                <w:szCs w:val="15"/>
                <w:b w:val="1"/>
                <w:bCs w:val="1"/>
                <w:color w:val="FFFFFF"/>
              </w:rPr>
              <w:t>Composite</w:t>
            </w:r>
          </w:p>
        </w:tc>
        <w:tc>
          <w:tcPr>
            <w:tcW w:w="0" w:type="dxa"/>
            <w:vAlign w:val="bottom"/>
          </w:tcPr>
          <w:p>
            <w:pPr>
              <w:spacing w:after="0"/>
              <w:rPr>
                <w:sz w:val="1"/>
                <w:szCs w:val="1"/>
                <w:color w:val="auto"/>
              </w:rPr>
            </w:pPr>
          </w:p>
        </w:tc>
      </w:tr>
      <w:tr>
        <w:trPr>
          <w:trHeight w:val="227"/>
        </w:trPr>
        <w:tc>
          <w:tcPr>
            <w:tcW w:w="154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3/15/20 to 12/31/20</w:t>
            </w:r>
          </w:p>
        </w:tc>
        <w:tc>
          <w:tcPr>
            <w:tcW w:w="15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w w:val="99"/>
              </w:rPr>
              <w:t>$9,502,741</w:t>
            </w:r>
          </w:p>
        </w:tc>
        <w:tc>
          <w:tcPr>
            <w:tcW w:w="19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$19,298,565</w:t>
            </w:r>
          </w:p>
        </w:tc>
        <w:tc>
          <w:tcPr>
            <w:tcW w:w="14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$203</w:t>
            </w:r>
          </w:p>
        </w:tc>
        <w:tc>
          <w:tcPr>
            <w:tcW w:w="18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$250</w:t>
            </w:r>
          </w:p>
        </w:tc>
        <w:tc>
          <w:tcPr>
            <w:tcW w:w="122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1/1/21 to 12/31/21</w:t>
            </w:r>
          </w:p>
        </w:tc>
        <w:tc>
          <w:tcPr>
            <w:tcW w:w="15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$10,033,225</w:t>
            </w:r>
          </w:p>
        </w:tc>
        <w:tc>
          <w:tcPr>
            <w:tcW w:w="19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$19,690,556</w:t>
            </w:r>
          </w:p>
        </w:tc>
        <w:tc>
          <w:tcPr>
            <w:tcW w:w="14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$196</w:t>
            </w:r>
          </w:p>
        </w:tc>
        <w:tc>
          <w:tcPr>
            <w:tcW w:w="18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$194</w:t>
            </w:r>
          </w:p>
        </w:tc>
        <w:tc>
          <w:tcPr>
            <w:tcW w:w="122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bottom w:val="single" w:sz="8" w:color="AFAFAF"/>
            </w:tcBorders>
          </w:tcPr>
          <w:p>
            <w:pPr>
              <w:ind w:left="40"/>
              <w:spacing w:after="0"/>
              <w:rPr>
                <w:sz w:val="20"/>
                <w:szCs w:val="20"/>
                <w:color w:val="auto"/>
              </w:rPr>
            </w:pPr>
            <w:r>
              <w:rPr>
                <w:rFonts w:ascii="Arial" w:cs="Arial" w:eastAsia="Arial" w:hAnsi="Arial"/>
                <w:sz w:val="14"/>
                <w:szCs w:val="14"/>
                <w:color w:val="auto"/>
              </w:rPr>
              <w:t>1/1/22 to 12/31/22</w:t>
            </w:r>
          </w:p>
        </w:tc>
        <w:tc>
          <w:tcPr>
            <w:tcW w:w="15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w w:val="99"/>
              </w:rPr>
              <w:t>$9,949,668</w:t>
            </w:r>
          </w:p>
        </w:tc>
        <w:tc>
          <w:tcPr>
            <w:tcW w:w="19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$15,345,105</w:t>
            </w:r>
          </w:p>
        </w:tc>
        <w:tc>
          <w:tcPr>
            <w:tcW w:w="14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$154</w:t>
            </w:r>
          </w:p>
        </w:tc>
        <w:tc>
          <w:tcPr>
            <w:tcW w:w="18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$131</w:t>
            </w:r>
          </w:p>
        </w:tc>
        <w:tc>
          <w:tcPr>
            <w:tcW w:w="122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B94831"/>
            </w:tcBorders>
          </w:tcPr>
          <w:p>
            <w:pPr>
              <w:ind w:left="100"/>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bottom w:val="single" w:sz="8" w:color="B94831"/>
            </w:tcBorders>
          </w:tcPr>
          <w:p>
            <w:pPr>
              <w:ind w:left="40"/>
              <w:spacing w:after="0"/>
              <w:rPr>
                <w:sz w:val="20"/>
                <w:szCs w:val="20"/>
                <w:color w:val="auto"/>
              </w:rPr>
            </w:pPr>
            <w:r>
              <w:rPr>
                <w:rFonts w:ascii="Arial" w:cs="Arial" w:eastAsia="Arial" w:hAnsi="Arial"/>
                <w:sz w:val="14"/>
                <w:szCs w:val="14"/>
                <w:color w:val="auto"/>
              </w:rPr>
              <w:t>1/1/23 to 12/31/23</w:t>
            </w:r>
          </w:p>
        </w:tc>
        <w:tc>
          <w:tcPr>
            <w:tcW w:w="150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w w:val="99"/>
              </w:rPr>
              <w:t>$9,949,052</w:t>
            </w:r>
          </w:p>
        </w:tc>
        <w:tc>
          <w:tcPr>
            <w:tcW w:w="198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$10,955,202</w:t>
            </w:r>
          </w:p>
        </w:tc>
        <w:tc>
          <w:tcPr>
            <w:tcW w:w="140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w w:val="96"/>
              </w:rPr>
              <w:t>$110</w:t>
            </w:r>
          </w:p>
        </w:tc>
        <w:tc>
          <w:tcPr>
            <w:tcW w:w="188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$135</w:t>
            </w:r>
          </w:p>
        </w:tc>
        <w:tc>
          <w:tcPr>
            <w:tcW w:w="122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336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85</w:t>
      </w:r>
    </w:p>
    <w:p>
      <w:pPr>
        <w:sectPr>
          <w:pgSz w:w="11900" w:h="16838" w:orient="portrait"/>
          <w:cols w:equalWidth="0" w:num="1">
            <w:col w:w="11080"/>
          </w:cols>
          <w:pgMar w:left="320" w:top="454"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Cost of Management Ratio</w:t>
      </w:r>
    </w:p>
    <w:p>
      <w:pPr>
        <w:spacing w:after="0" w:line="5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table below shows the cost of management ratio, which is reflected as total compensation reported for our top five most highly compensated named executive officers in the Summary Compensation Table for the last five years as a percentage of adjusted EBITDA. It excludes our former CEO and CFO for 2020 in order to provide a comparison of the cost of management ratio related to five named executive officers for each year. The cost of management ratio is affected by foreign exchange rates, the named executive officers each year and our adjusted EBITDA performance.</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4480" w:type="dxa"/>
            <w:vAlign w:val="bottom"/>
            <w:shd w:val="clear" w:color="auto" w:fill="262626"/>
          </w:tcPr>
          <w:p>
            <w:pPr>
              <w:spacing w:after="0"/>
              <w:rPr>
                <w:sz w:val="22"/>
                <w:szCs w:val="22"/>
                <w:color w:val="auto"/>
              </w:rPr>
            </w:pPr>
          </w:p>
        </w:tc>
        <w:tc>
          <w:tcPr>
            <w:tcW w:w="128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w w:val="96"/>
              </w:rPr>
              <w:t>2019</w:t>
            </w:r>
          </w:p>
        </w:tc>
        <w:tc>
          <w:tcPr>
            <w:tcW w:w="130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2020</w:t>
            </w:r>
          </w:p>
        </w:tc>
        <w:tc>
          <w:tcPr>
            <w:tcW w:w="130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2021</w:t>
            </w:r>
          </w:p>
        </w:tc>
        <w:tc>
          <w:tcPr>
            <w:tcW w:w="130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2022</w:t>
            </w:r>
          </w:p>
        </w:tc>
        <w:tc>
          <w:tcPr>
            <w:tcW w:w="1260" w:type="dxa"/>
            <w:vAlign w:val="bottom"/>
            <w:shd w:val="clear" w:color="auto" w:fill="262626"/>
          </w:tcPr>
          <w:p>
            <w:pPr>
              <w:jc w:val="center"/>
              <w:spacing w:after="0"/>
              <w:rPr>
                <w:sz w:val="20"/>
                <w:szCs w:val="20"/>
                <w:color w:val="auto"/>
              </w:rPr>
            </w:pPr>
            <w:r>
              <w:rPr>
                <w:rFonts w:ascii="Arial" w:cs="Arial" w:eastAsia="Arial" w:hAnsi="Arial"/>
                <w:sz w:val="14"/>
                <w:szCs w:val="14"/>
                <w:b w:val="1"/>
                <w:bCs w:val="1"/>
                <w:color w:val="FFFFFF"/>
              </w:rPr>
              <w:t>2023</w:t>
            </w:r>
          </w:p>
        </w:tc>
      </w:tr>
      <w:tr>
        <w:trPr>
          <w:trHeight w:val="227"/>
        </w:trPr>
        <w:tc>
          <w:tcPr>
            <w:tcW w:w="448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Total compensation reported for the NEOs</w:t>
            </w:r>
          </w:p>
        </w:tc>
        <w:tc>
          <w:tcPr>
            <w:tcW w:w="12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$28,397,606</w:t>
            </w:r>
          </w:p>
        </w:tc>
        <w:tc>
          <w:tcPr>
            <w:tcW w:w="13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$24,177,124</w:t>
            </w:r>
          </w:p>
        </w:tc>
        <w:tc>
          <w:tcPr>
            <w:tcW w:w="13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$28,288,239</w:t>
            </w:r>
          </w:p>
        </w:tc>
        <w:tc>
          <w:tcPr>
            <w:tcW w:w="13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$24,658,798</w:t>
            </w:r>
          </w:p>
        </w:tc>
        <w:tc>
          <w:tcPr>
            <w:tcW w:w="126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$24,022,203</w:t>
            </w:r>
          </w:p>
        </w:tc>
      </w:tr>
      <w:tr>
        <w:trPr>
          <w:trHeight w:val="221"/>
        </w:trPr>
        <w:tc>
          <w:tcPr>
            <w:tcW w:w="448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Adjusted EBITDA</w:t>
            </w:r>
          </w:p>
        </w:tc>
        <w:tc>
          <w:tcPr>
            <w:tcW w:w="128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$1,493,000,000</w:t>
            </w:r>
          </w:p>
        </w:tc>
        <w:tc>
          <w:tcPr>
            <w:tcW w:w="13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$1,975,000,000</w:t>
            </w:r>
          </w:p>
        </w:tc>
        <w:tc>
          <w:tcPr>
            <w:tcW w:w="13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$1,970,000,000</w:t>
            </w:r>
          </w:p>
        </w:tc>
        <w:tc>
          <w:tcPr>
            <w:tcW w:w="130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$2,329,000,000</w:t>
            </w:r>
          </w:p>
        </w:tc>
        <w:tc>
          <w:tcPr>
            <w:tcW w:w="1260" w:type="dxa"/>
            <w:vAlign w:val="bottom"/>
            <w:tcBorders>
              <w:bottom w:val="single" w:sz="8" w:color="AFAFAF"/>
            </w:tcBorders>
          </w:tcPr>
          <w:p>
            <w:pPr>
              <w:jc w:val="center"/>
              <w:spacing w:after="0"/>
              <w:rPr>
                <w:sz w:val="20"/>
                <w:szCs w:val="20"/>
                <w:color w:val="auto"/>
              </w:rPr>
            </w:pPr>
            <w:r>
              <w:rPr>
                <w:rFonts w:ascii="Arial" w:cs="Arial" w:eastAsia="Arial" w:hAnsi="Arial"/>
                <w:sz w:val="14"/>
                <w:szCs w:val="14"/>
                <w:color w:val="auto"/>
              </w:rPr>
              <w:t>$2,678,000,000</w:t>
            </w:r>
          </w:p>
        </w:tc>
      </w:tr>
      <w:tr>
        <w:trPr>
          <w:trHeight w:val="221"/>
        </w:trPr>
        <w:tc>
          <w:tcPr>
            <w:tcW w:w="4480" w:type="dxa"/>
            <w:vAlign w:val="bottom"/>
            <w:tcBorders>
              <w:bottom w:val="single" w:sz="8" w:color="B94831"/>
            </w:tcBorders>
          </w:tcPr>
          <w:p>
            <w:pPr>
              <w:ind w:left="100"/>
              <w:spacing w:after="0"/>
              <w:rPr>
                <w:sz w:val="20"/>
                <w:szCs w:val="20"/>
                <w:color w:val="auto"/>
              </w:rPr>
            </w:pPr>
            <w:r>
              <w:rPr>
                <w:rFonts w:ascii="Arial" w:cs="Arial" w:eastAsia="Arial" w:hAnsi="Arial"/>
                <w:sz w:val="14"/>
                <w:szCs w:val="14"/>
                <w:b w:val="1"/>
                <w:bCs w:val="1"/>
                <w:color w:val="auto"/>
              </w:rPr>
              <w:t>Cost of management ratio</w:t>
            </w:r>
          </w:p>
        </w:tc>
        <w:tc>
          <w:tcPr>
            <w:tcW w:w="128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1.90%</w:t>
            </w:r>
          </w:p>
        </w:tc>
        <w:tc>
          <w:tcPr>
            <w:tcW w:w="130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1.22%</w:t>
            </w:r>
          </w:p>
        </w:tc>
        <w:tc>
          <w:tcPr>
            <w:tcW w:w="130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1.44%</w:t>
            </w:r>
          </w:p>
        </w:tc>
        <w:tc>
          <w:tcPr>
            <w:tcW w:w="130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1.16%</w:t>
            </w:r>
          </w:p>
        </w:tc>
        <w:tc>
          <w:tcPr>
            <w:tcW w:w="1260" w:type="dxa"/>
            <w:vAlign w:val="bottom"/>
            <w:tcBorders>
              <w:bottom w:val="single" w:sz="8" w:color="B94831"/>
            </w:tcBorders>
          </w:tcPr>
          <w:p>
            <w:pPr>
              <w:jc w:val="center"/>
              <w:spacing w:after="0"/>
              <w:rPr>
                <w:sz w:val="20"/>
                <w:szCs w:val="20"/>
                <w:color w:val="auto"/>
              </w:rPr>
            </w:pPr>
            <w:r>
              <w:rPr>
                <w:rFonts w:ascii="Arial" w:cs="Arial" w:eastAsia="Arial" w:hAnsi="Arial"/>
                <w:sz w:val="14"/>
                <w:szCs w:val="14"/>
                <w:color w:val="auto"/>
              </w:rPr>
              <w:t>0.90%</w:t>
            </w:r>
          </w:p>
        </w:tc>
      </w:tr>
      <w:tr>
        <w:trPr>
          <w:trHeight w:val="228"/>
        </w:trPr>
        <w:tc>
          <w:tcPr>
            <w:tcW w:w="4480" w:type="dxa"/>
            <w:vAlign w:val="bottom"/>
            <w:tcBorders>
              <w:bottom w:val="single" w:sz="8" w:color="B94831"/>
            </w:tcBorders>
          </w:tcPr>
          <w:p>
            <w:pPr>
              <w:spacing w:after="0"/>
              <w:rPr>
                <w:sz w:val="19"/>
                <w:szCs w:val="19"/>
                <w:color w:val="auto"/>
              </w:rPr>
            </w:pPr>
          </w:p>
        </w:tc>
        <w:tc>
          <w:tcPr>
            <w:tcW w:w="1280" w:type="dxa"/>
            <w:vAlign w:val="bottom"/>
            <w:tcBorders>
              <w:bottom w:val="single" w:sz="8" w:color="B94831"/>
            </w:tcBorders>
          </w:tcPr>
          <w:p>
            <w:pPr>
              <w:spacing w:after="0"/>
              <w:rPr>
                <w:sz w:val="19"/>
                <w:szCs w:val="19"/>
                <w:color w:val="auto"/>
              </w:rPr>
            </w:pPr>
          </w:p>
        </w:tc>
        <w:tc>
          <w:tcPr>
            <w:tcW w:w="1300" w:type="dxa"/>
            <w:vAlign w:val="bottom"/>
            <w:tcBorders>
              <w:bottom w:val="single" w:sz="8" w:color="B94831"/>
            </w:tcBorders>
          </w:tcPr>
          <w:p>
            <w:pPr>
              <w:spacing w:after="0"/>
              <w:rPr>
                <w:sz w:val="19"/>
                <w:szCs w:val="19"/>
                <w:color w:val="auto"/>
              </w:rPr>
            </w:pPr>
          </w:p>
        </w:tc>
        <w:tc>
          <w:tcPr>
            <w:tcW w:w="1300" w:type="dxa"/>
            <w:vAlign w:val="bottom"/>
            <w:tcBorders>
              <w:bottom w:val="single" w:sz="8" w:color="B94831"/>
            </w:tcBorders>
          </w:tcPr>
          <w:p>
            <w:pPr>
              <w:spacing w:after="0"/>
              <w:rPr>
                <w:sz w:val="19"/>
                <w:szCs w:val="19"/>
                <w:color w:val="auto"/>
              </w:rPr>
            </w:pPr>
          </w:p>
        </w:tc>
        <w:tc>
          <w:tcPr>
            <w:tcW w:w="1300" w:type="dxa"/>
            <w:vAlign w:val="bottom"/>
            <w:tcBorders>
              <w:bottom w:val="single" w:sz="8" w:color="B94831"/>
            </w:tcBorders>
          </w:tcPr>
          <w:p>
            <w:pPr>
              <w:spacing w:after="0"/>
              <w:rPr>
                <w:sz w:val="19"/>
                <w:szCs w:val="19"/>
                <w:color w:val="auto"/>
              </w:rPr>
            </w:pPr>
          </w:p>
        </w:tc>
        <w:tc>
          <w:tcPr>
            <w:tcW w:w="1260" w:type="dxa"/>
            <w:vAlign w:val="bottom"/>
            <w:tcBorders>
              <w:bottom w:val="single" w:sz="8" w:color="B94831"/>
            </w:tcBorders>
          </w:tcPr>
          <w:p>
            <w:pPr>
              <w:spacing w:after="0"/>
              <w:rPr>
                <w:sz w:val="19"/>
                <w:szCs w:val="19"/>
                <w:color w:val="auto"/>
              </w:rPr>
            </w:pPr>
          </w:p>
        </w:tc>
      </w:tr>
    </w:tbl>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86 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Executive Compensation</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Summary Compensation Table</w:t>
      </w:r>
    </w:p>
    <w:p>
      <w:pPr>
        <w:spacing w:after="0" w:line="119" w:lineRule="exact"/>
        <w:rPr>
          <w:sz w:val="20"/>
          <w:szCs w:val="20"/>
          <w:color w:val="auto"/>
        </w:rPr>
      </w:pPr>
    </w:p>
    <w:p>
      <w:pPr>
        <w:jc w:val="both"/>
        <w:ind w:left="160" w:right="80"/>
        <w:spacing w:after="0" w:line="249" w:lineRule="auto"/>
        <w:rPr>
          <w:sz w:val="20"/>
          <w:szCs w:val="20"/>
          <w:color w:val="auto"/>
        </w:rPr>
      </w:pPr>
      <w:r>
        <w:rPr>
          <w:rFonts w:ascii="Arial" w:cs="Arial" w:eastAsia="Arial" w:hAnsi="Arial"/>
          <w:sz w:val="18"/>
          <w:szCs w:val="18"/>
          <w:color w:val="auto"/>
        </w:rPr>
        <w:t>The table below shows the compensation earned in the last three years by our named executive officers. Total compensation as reflected in the table below includes various items based on grant date fair value of awards as well as accounting and actuarial assumptions, which are not necessarily indicative of compensation realizable by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137795</wp:posOffset>
            </wp:positionV>
            <wp:extent cx="8255" cy="798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79819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137795</wp:posOffset>
            </wp:positionV>
            <wp:extent cx="8255" cy="798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798195"/>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137795</wp:posOffset>
            </wp:positionV>
            <wp:extent cx="8255" cy="798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798195"/>
                    </a:xfrm>
                    <a:prstGeom prst="rect">
                      <a:avLst/>
                    </a:prstGeom>
                    <a:noFill/>
                  </pic:spPr>
                </pic:pic>
              </a:graphicData>
            </a:graphic>
          </wp:anchor>
        </w:drawing>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Borders>
              <w:right w:val="single" w:sz="8" w:color="BFBFBF"/>
            </w:tcBorders>
          </w:tcPr>
          <w:p>
            <w:pPr>
              <w:spacing w:after="0"/>
              <w:rPr>
                <w:sz w:val="15"/>
                <w:szCs w:val="15"/>
                <w:color w:val="auto"/>
              </w:rPr>
            </w:pPr>
          </w:p>
        </w:tc>
        <w:tc>
          <w:tcPr>
            <w:tcW w:w="134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Non-equity</w:t>
            </w:r>
          </w:p>
        </w:tc>
        <w:tc>
          <w:tcPr>
            <w:tcW w:w="820" w:type="dxa"/>
            <w:vAlign w:val="bottom"/>
            <w:tcBorders>
              <w:right w:val="single" w:sz="8" w:color="BFBFBF"/>
            </w:tcBorders>
            <w:shd w:val="clear" w:color="auto" w:fill="BFBFBF"/>
          </w:tcPr>
          <w:p>
            <w:pPr>
              <w:spacing w:after="0"/>
              <w:rPr>
                <w:sz w:val="15"/>
                <w:szCs w:val="15"/>
                <w:color w:val="auto"/>
              </w:rPr>
            </w:pPr>
          </w:p>
        </w:tc>
        <w:tc>
          <w:tcPr>
            <w:tcW w:w="1160" w:type="dxa"/>
            <w:vAlign w:val="bottom"/>
            <w:tcBorders>
              <w:right w:val="single" w:sz="8" w:color="BFBFBF"/>
            </w:tcBorders>
            <w:shd w:val="clear" w:color="auto" w:fill="BFBFBF"/>
          </w:tcPr>
          <w:p>
            <w:pPr>
              <w:spacing w:after="0"/>
              <w:rPr>
                <w:sz w:val="15"/>
                <w:szCs w:val="15"/>
                <w:color w:val="auto"/>
              </w:rPr>
            </w:pPr>
          </w:p>
        </w:tc>
        <w:tc>
          <w:tcPr>
            <w:tcW w:w="11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Borders>
              <w:right w:val="single" w:sz="8" w:color="BFBFBF"/>
            </w:tcBorders>
          </w:tcPr>
          <w:p>
            <w:pPr>
              <w:spacing w:after="0"/>
              <w:rPr>
                <w:sz w:val="13"/>
                <w:szCs w:val="13"/>
                <w:color w:val="auto"/>
              </w:rPr>
            </w:pPr>
          </w:p>
        </w:tc>
        <w:tc>
          <w:tcPr>
            <w:tcW w:w="134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incentive plan</w:t>
            </w:r>
          </w:p>
        </w:tc>
        <w:tc>
          <w:tcPr>
            <w:tcW w:w="820" w:type="dxa"/>
            <w:vAlign w:val="bottom"/>
            <w:tcBorders>
              <w:right w:val="single" w:sz="8" w:color="BFBFBF"/>
            </w:tcBorders>
            <w:shd w:val="clear" w:color="auto" w:fill="BFBFBF"/>
          </w:tcPr>
          <w:p>
            <w:pPr>
              <w:spacing w:after="0"/>
              <w:rPr>
                <w:sz w:val="13"/>
                <w:szCs w:val="13"/>
                <w:color w:val="auto"/>
              </w:rPr>
            </w:pPr>
          </w:p>
        </w:tc>
        <w:tc>
          <w:tcPr>
            <w:tcW w:w="116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All other</w:t>
            </w:r>
          </w:p>
        </w:tc>
        <w:tc>
          <w:tcPr>
            <w:tcW w:w="11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Borders>
              <w:right w:val="single" w:sz="8" w:color="BFBFBF"/>
            </w:tcBorders>
          </w:tcPr>
          <w:p>
            <w:pPr>
              <w:spacing w:after="0"/>
              <w:rPr>
                <w:sz w:val="13"/>
                <w:szCs w:val="13"/>
                <w:color w:val="auto"/>
              </w:rPr>
            </w:pPr>
          </w:p>
        </w:tc>
        <w:tc>
          <w:tcPr>
            <w:tcW w:w="1340" w:type="dxa"/>
            <w:vAlign w:val="bottom"/>
            <w:tcBorders>
              <w:right w:val="single" w:sz="8" w:color="BFBFBF"/>
            </w:tcBorders>
            <w:shd w:val="clear" w:color="auto" w:fill="BFBFBF"/>
          </w:tcPr>
          <w:p>
            <w:pPr>
              <w:jc w:val="center"/>
              <w:spacing w:after="0" w:line="157" w:lineRule="exact"/>
              <w:rPr>
                <w:sz w:val="20"/>
                <w:szCs w:val="20"/>
                <w:color w:val="auto"/>
              </w:rPr>
            </w:pPr>
            <w:r>
              <w:rPr>
                <w:rFonts w:ascii="Arial" w:cs="Arial" w:eastAsia="Arial" w:hAnsi="Arial"/>
                <w:sz w:val="14"/>
                <w:szCs w:val="14"/>
                <w:b w:val="1"/>
                <w:bCs w:val="1"/>
                <w:color w:val="auto"/>
              </w:rPr>
              <w:t>compensation</w:t>
            </w:r>
          </w:p>
        </w:tc>
        <w:tc>
          <w:tcPr>
            <w:tcW w:w="820" w:type="dxa"/>
            <w:vAlign w:val="bottom"/>
            <w:tcBorders>
              <w:right w:val="single" w:sz="8" w:color="BFBFBF"/>
            </w:tcBorders>
            <w:shd w:val="clear" w:color="auto" w:fill="BFBFBF"/>
          </w:tcPr>
          <w:p>
            <w:pPr>
              <w:jc w:val="right"/>
              <w:ind w:right="69"/>
              <w:spacing w:after="0" w:line="157" w:lineRule="exact"/>
              <w:rPr>
                <w:sz w:val="20"/>
                <w:szCs w:val="20"/>
                <w:color w:val="auto"/>
              </w:rPr>
            </w:pPr>
            <w:r>
              <w:rPr>
                <w:rFonts w:ascii="Arial" w:cs="Arial" w:eastAsia="Arial" w:hAnsi="Arial"/>
                <w:sz w:val="14"/>
                <w:szCs w:val="14"/>
                <w:b w:val="1"/>
                <w:bCs w:val="1"/>
                <w:color w:val="auto"/>
              </w:rPr>
              <w:t>Pension</w:t>
            </w:r>
          </w:p>
        </w:tc>
        <w:tc>
          <w:tcPr>
            <w:tcW w:w="1160" w:type="dxa"/>
            <w:vAlign w:val="bottom"/>
            <w:tcBorders>
              <w:right w:val="single" w:sz="8" w:color="BFBFBF"/>
            </w:tcBorders>
            <w:shd w:val="clear" w:color="auto" w:fill="BFBFBF"/>
          </w:tcPr>
          <w:p>
            <w:pPr>
              <w:jc w:val="center"/>
              <w:spacing w:after="0" w:line="157" w:lineRule="exact"/>
              <w:rPr>
                <w:sz w:val="20"/>
                <w:szCs w:val="20"/>
                <w:color w:val="auto"/>
              </w:rPr>
            </w:pPr>
            <w:r>
              <w:rPr>
                <w:rFonts w:ascii="Arial" w:cs="Arial" w:eastAsia="Arial" w:hAnsi="Arial"/>
                <w:sz w:val="14"/>
                <w:szCs w:val="14"/>
                <w:b w:val="1"/>
                <w:bCs w:val="1"/>
                <w:color w:val="auto"/>
              </w:rPr>
              <w:t>compensation</w:t>
            </w:r>
          </w:p>
        </w:tc>
        <w:tc>
          <w:tcPr>
            <w:tcW w:w="1120" w:type="dxa"/>
            <w:vAlign w:val="bottom"/>
            <w:shd w:val="clear" w:color="auto" w:fill="BFBFBF"/>
          </w:tcPr>
          <w:p>
            <w:pPr>
              <w:jc w:val="center"/>
              <w:spacing w:after="0" w:line="157"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right w:val="single" w:sz="8" w:color="BFBFBF"/>
            </w:tcBorders>
          </w:tcPr>
          <w:p>
            <w:pPr>
              <w:spacing w:after="0"/>
              <w:rPr>
                <w:sz w:val="18"/>
                <w:szCs w:val="18"/>
                <w:color w:val="auto"/>
              </w:rPr>
            </w:pPr>
          </w:p>
        </w:tc>
        <w:tc>
          <w:tcPr>
            <w:tcW w:w="134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right w:val="single" w:sz="8" w:color="BFBFBF"/>
            </w:tcBorders>
            <w:shd w:val="clear" w:color="auto" w:fill="BFBFBF"/>
          </w:tcPr>
          <w:p>
            <w:pPr>
              <w:jc w:val="right"/>
              <w:ind w:right="29"/>
              <w:spacing w:after="0" w:line="214" w:lineRule="exact"/>
              <w:rPr>
                <w:sz w:val="20"/>
                <w:szCs w:val="20"/>
                <w:color w:val="auto"/>
              </w:rPr>
            </w:pPr>
            <w:r>
              <w:rPr>
                <w:rFonts w:ascii="Arial" w:cs="Arial" w:eastAsia="Arial" w:hAnsi="Arial"/>
                <w:sz w:val="14"/>
                <w:szCs w:val="14"/>
                <w:b w:val="1"/>
                <w:bCs w:val="1"/>
                <w:color w:val="auto"/>
              </w:rPr>
              <w:t>value ($)</w:t>
            </w:r>
            <w:r>
              <w:rPr>
                <w:rFonts w:ascii="Arial" w:cs="Arial" w:eastAsia="Arial" w:hAnsi="Arial"/>
                <w:sz w:val="21"/>
                <w:szCs w:val="21"/>
                <w:b w:val="1"/>
                <w:bCs w:val="1"/>
                <w:color w:val="auto"/>
                <w:vertAlign w:val="superscript"/>
              </w:rPr>
              <w:t>5</w:t>
            </w:r>
          </w:p>
        </w:tc>
        <w:tc>
          <w:tcPr>
            <w:tcW w:w="1160" w:type="dxa"/>
            <w:vAlign w:val="bottom"/>
            <w:tcBorders>
              <w:right w:val="single" w:sz="8" w:color="BFBFBF"/>
            </w:tcBorders>
            <w:shd w:val="clear" w:color="auto" w:fill="BFBFBF"/>
          </w:tcPr>
          <w:p>
            <w:pPr>
              <w:jc w:val="center"/>
              <w:spacing w:after="0" w:line="214" w:lineRule="exact"/>
              <w:rPr>
                <w:sz w:val="20"/>
                <w:szCs w:val="20"/>
                <w:color w:val="auto"/>
              </w:rPr>
            </w:pPr>
            <w:r>
              <w:rPr>
                <w:rFonts w:ascii="Arial" w:cs="Arial" w:eastAsia="Arial" w:hAnsi="Arial"/>
                <w:sz w:val="14"/>
                <w:szCs w:val="14"/>
                <w:b w:val="1"/>
                <w:bCs w:val="1"/>
                <w:color w:val="auto"/>
                <w:w w:val="96"/>
              </w:rPr>
              <w:t>($)</w:t>
            </w:r>
            <w:r>
              <w:rPr>
                <w:rFonts w:ascii="Arial" w:cs="Arial" w:eastAsia="Arial" w:hAnsi="Arial"/>
                <w:sz w:val="21"/>
                <w:szCs w:val="21"/>
                <w:b w:val="1"/>
                <w:bCs w:val="1"/>
                <w:color w:val="auto"/>
                <w:w w:val="96"/>
                <w:vertAlign w:val="superscript"/>
              </w:rPr>
              <w:t>6</w:t>
            </w:r>
          </w:p>
        </w:tc>
        <w:tc>
          <w:tcPr>
            <w:tcW w:w="112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3000" w:type="dxa"/>
            <w:vAlign w:val="bottom"/>
            <w:tcBorders>
              <w:right w:val="single" w:sz="8" w:color="262626"/>
            </w:tcBorders>
            <w:shd w:val="clear" w:color="auto" w:fill="262626"/>
          </w:tcPr>
          <w:p>
            <w:pPr>
              <w:spacing w:after="0"/>
              <w:rPr>
                <w:sz w:val="14"/>
                <w:szCs w:val="14"/>
                <w:color w:val="auto"/>
              </w:rPr>
            </w:pPr>
          </w:p>
        </w:tc>
        <w:tc>
          <w:tcPr>
            <w:tcW w:w="540" w:type="dxa"/>
            <w:vAlign w:val="bottom"/>
            <w:tcBorders>
              <w:right w:val="single" w:sz="8" w:color="262626"/>
            </w:tcBorders>
            <w:shd w:val="clear" w:color="auto" w:fill="262626"/>
          </w:tcPr>
          <w:p>
            <w:pPr>
              <w:spacing w:after="0"/>
              <w:rPr>
                <w:sz w:val="14"/>
                <w:szCs w:val="14"/>
                <w:color w:val="auto"/>
              </w:rPr>
            </w:pPr>
          </w:p>
        </w:tc>
        <w:tc>
          <w:tcPr>
            <w:tcW w:w="960" w:type="dxa"/>
            <w:vAlign w:val="bottom"/>
            <w:tcBorders>
              <w:right w:val="single" w:sz="8" w:color="262626"/>
            </w:tcBorders>
            <w:shd w:val="clear" w:color="auto" w:fill="262626"/>
          </w:tcPr>
          <w:p>
            <w:pPr>
              <w:spacing w:after="0"/>
              <w:rPr>
                <w:sz w:val="14"/>
                <w:szCs w:val="14"/>
                <w:color w:val="auto"/>
              </w:rPr>
            </w:pPr>
          </w:p>
        </w:tc>
        <w:tc>
          <w:tcPr>
            <w:tcW w:w="1000" w:type="dxa"/>
            <w:vAlign w:val="bottom"/>
            <w:tcBorders>
              <w:right w:val="single" w:sz="8" w:color="262626"/>
            </w:tcBorders>
            <w:shd w:val="clear" w:color="auto" w:fill="262626"/>
          </w:tcPr>
          <w:p>
            <w:pPr>
              <w:jc w:val="right"/>
              <w:ind w:right="28"/>
              <w:spacing w:after="0" w:line="170" w:lineRule="exact"/>
              <w:rPr>
                <w:sz w:val="20"/>
                <w:szCs w:val="20"/>
                <w:color w:val="auto"/>
              </w:rPr>
            </w:pPr>
            <w:r>
              <w:rPr>
                <w:rFonts w:ascii="Arial" w:cs="Arial" w:eastAsia="Arial" w:hAnsi="Arial"/>
                <w:sz w:val="15"/>
                <w:szCs w:val="15"/>
                <w:b w:val="1"/>
                <w:bCs w:val="1"/>
                <w:color w:val="FFFFFF"/>
              </w:rPr>
              <w:t>Share-</w:t>
            </w:r>
          </w:p>
        </w:tc>
        <w:tc>
          <w:tcPr>
            <w:tcW w:w="980" w:type="dxa"/>
            <w:vAlign w:val="bottom"/>
            <w:tcBorders>
              <w:right w:val="single" w:sz="8" w:color="262626"/>
            </w:tcBorders>
            <w:shd w:val="clear" w:color="auto" w:fill="262626"/>
          </w:tcPr>
          <w:p>
            <w:pPr>
              <w:jc w:val="right"/>
              <w:ind w:right="28"/>
              <w:spacing w:after="0" w:line="170" w:lineRule="exact"/>
              <w:rPr>
                <w:sz w:val="20"/>
                <w:szCs w:val="20"/>
                <w:color w:val="auto"/>
              </w:rPr>
            </w:pPr>
            <w:r>
              <w:rPr>
                <w:rFonts w:ascii="Arial" w:cs="Arial" w:eastAsia="Arial" w:hAnsi="Arial"/>
                <w:sz w:val="15"/>
                <w:szCs w:val="15"/>
                <w:b w:val="1"/>
                <w:bCs w:val="1"/>
                <w:color w:val="FFFFFF"/>
              </w:rPr>
              <w:t>Option-</w:t>
            </w:r>
          </w:p>
        </w:tc>
        <w:tc>
          <w:tcPr>
            <w:tcW w:w="1340" w:type="dxa"/>
            <w:vAlign w:val="bottom"/>
            <w:tcBorders>
              <w:right w:val="single" w:sz="8" w:color="262626"/>
            </w:tcBorders>
            <w:vMerge w:val="restart"/>
            <w:shd w:val="clear" w:color="auto" w:fill="262626"/>
          </w:tcPr>
          <w:p>
            <w:pPr>
              <w:jc w:val="right"/>
              <w:ind w:right="28"/>
              <w:spacing w:after="0"/>
              <w:rPr>
                <w:sz w:val="20"/>
                <w:szCs w:val="20"/>
                <w:color w:val="auto"/>
              </w:rPr>
            </w:pPr>
            <w:r>
              <w:rPr>
                <w:rFonts w:ascii="Arial" w:cs="Arial" w:eastAsia="Arial" w:hAnsi="Arial"/>
                <w:sz w:val="15"/>
                <w:szCs w:val="15"/>
                <w:b w:val="1"/>
                <w:bCs w:val="1"/>
                <w:color w:val="FFFFFF"/>
              </w:rPr>
              <w:t>Annual</w:t>
            </w:r>
          </w:p>
        </w:tc>
        <w:tc>
          <w:tcPr>
            <w:tcW w:w="820" w:type="dxa"/>
            <w:vAlign w:val="bottom"/>
            <w:tcBorders>
              <w:right w:val="single" w:sz="8" w:color="262626"/>
            </w:tcBorders>
            <w:shd w:val="clear" w:color="auto" w:fill="262626"/>
          </w:tcPr>
          <w:p>
            <w:pPr>
              <w:spacing w:after="0"/>
              <w:rPr>
                <w:sz w:val="14"/>
                <w:szCs w:val="14"/>
                <w:color w:val="auto"/>
              </w:rPr>
            </w:pPr>
          </w:p>
        </w:tc>
        <w:tc>
          <w:tcPr>
            <w:tcW w:w="1160" w:type="dxa"/>
            <w:vAlign w:val="bottom"/>
            <w:tcBorders>
              <w:right w:val="single" w:sz="8" w:color="262626"/>
            </w:tcBorders>
            <w:shd w:val="clear" w:color="auto" w:fill="262626"/>
          </w:tcPr>
          <w:p>
            <w:pPr>
              <w:spacing w:after="0"/>
              <w:rPr>
                <w:sz w:val="14"/>
                <w:szCs w:val="14"/>
                <w:color w:val="auto"/>
              </w:rPr>
            </w:pPr>
          </w:p>
        </w:tc>
        <w:tc>
          <w:tcPr>
            <w:tcW w:w="1120" w:type="dxa"/>
            <w:vAlign w:val="bottom"/>
            <w:shd w:val="clear" w:color="auto" w:fill="26262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00" w:type="dxa"/>
            <w:vAlign w:val="bottom"/>
            <w:tcBorders>
              <w:right w:val="single" w:sz="8" w:color="262626"/>
            </w:tcBorders>
            <w:vMerge w:val="restart"/>
            <w:shd w:val="clear" w:color="auto" w:fill="262626"/>
          </w:tcPr>
          <w:p>
            <w:pPr>
              <w:ind w:left="100"/>
              <w:spacing w:after="0"/>
              <w:rPr>
                <w:sz w:val="20"/>
                <w:szCs w:val="20"/>
                <w:color w:val="auto"/>
              </w:rPr>
            </w:pPr>
            <w:r>
              <w:rPr>
                <w:rFonts w:ascii="Arial" w:cs="Arial" w:eastAsia="Arial" w:hAnsi="Arial"/>
                <w:sz w:val="15"/>
                <w:szCs w:val="15"/>
                <w:b w:val="1"/>
                <w:bCs w:val="1"/>
                <w:color w:val="FFFFFF"/>
              </w:rPr>
              <w:t>Name and principal position</w:t>
            </w:r>
          </w:p>
        </w:tc>
        <w:tc>
          <w:tcPr>
            <w:tcW w:w="540" w:type="dxa"/>
            <w:vAlign w:val="bottom"/>
            <w:tcBorders>
              <w:right w:val="single" w:sz="8" w:color="262626"/>
            </w:tcBorders>
            <w:vMerge w:val="restart"/>
            <w:shd w:val="clear" w:color="auto" w:fill="262626"/>
          </w:tcPr>
          <w:p>
            <w:pPr>
              <w:ind w:left="120"/>
              <w:spacing w:after="0"/>
              <w:rPr>
                <w:sz w:val="20"/>
                <w:szCs w:val="20"/>
                <w:color w:val="auto"/>
              </w:rPr>
            </w:pPr>
            <w:r>
              <w:rPr>
                <w:rFonts w:ascii="Arial" w:cs="Arial" w:eastAsia="Arial" w:hAnsi="Arial"/>
                <w:sz w:val="15"/>
                <w:szCs w:val="15"/>
                <w:b w:val="1"/>
                <w:bCs w:val="1"/>
                <w:color w:val="FFFFFF"/>
              </w:rPr>
              <w:t>Year</w:t>
            </w:r>
          </w:p>
        </w:tc>
        <w:tc>
          <w:tcPr>
            <w:tcW w:w="960" w:type="dxa"/>
            <w:vAlign w:val="bottom"/>
            <w:tcBorders>
              <w:right w:val="single" w:sz="8" w:color="262626"/>
            </w:tcBorders>
            <w:vMerge w:val="restart"/>
            <w:shd w:val="clear" w:color="auto" w:fill="262626"/>
          </w:tcPr>
          <w:p>
            <w:pPr>
              <w:jc w:val="right"/>
              <w:ind w:right="28"/>
              <w:spacing w:after="0"/>
              <w:rPr>
                <w:sz w:val="20"/>
                <w:szCs w:val="20"/>
                <w:color w:val="auto"/>
              </w:rPr>
            </w:pPr>
            <w:r>
              <w:rPr>
                <w:rFonts w:ascii="Arial" w:cs="Arial" w:eastAsia="Arial" w:hAnsi="Arial"/>
                <w:sz w:val="15"/>
                <w:szCs w:val="15"/>
                <w:b w:val="1"/>
                <w:bCs w:val="1"/>
                <w:color w:val="FFFFFF"/>
              </w:rPr>
              <w:t>Salary ($)</w:t>
            </w:r>
            <w:r>
              <w:rPr>
                <w:rFonts w:ascii="Arial" w:cs="Arial" w:eastAsia="Arial" w:hAnsi="Arial"/>
                <w:sz w:val="11"/>
                <w:szCs w:val="11"/>
                <w:b w:val="1"/>
                <w:bCs w:val="1"/>
                <w:color w:val="FFFFFF"/>
              </w:rPr>
              <w:t>1</w:t>
            </w:r>
          </w:p>
        </w:tc>
        <w:tc>
          <w:tcPr>
            <w:tcW w:w="1000" w:type="dxa"/>
            <w:vAlign w:val="bottom"/>
            <w:tcBorders>
              <w:right w:val="single" w:sz="8" w:color="262626"/>
            </w:tcBorders>
            <w:shd w:val="clear" w:color="auto" w:fill="262626"/>
          </w:tcPr>
          <w:p>
            <w:pPr>
              <w:jc w:val="right"/>
              <w:ind w:right="28"/>
              <w:spacing w:after="0" w:line="161" w:lineRule="exact"/>
              <w:rPr>
                <w:sz w:val="20"/>
                <w:szCs w:val="20"/>
                <w:color w:val="auto"/>
              </w:rPr>
            </w:pPr>
            <w:r>
              <w:rPr>
                <w:rFonts w:ascii="Arial" w:cs="Arial" w:eastAsia="Arial" w:hAnsi="Arial"/>
                <w:sz w:val="15"/>
                <w:szCs w:val="15"/>
                <w:b w:val="1"/>
                <w:bCs w:val="1"/>
                <w:color w:val="FFFFFF"/>
              </w:rPr>
              <w:t>based</w:t>
            </w:r>
          </w:p>
        </w:tc>
        <w:tc>
          <w:tcPr>
            <w:tcW w:w="980" w:type="dxa"/>
            <w:vAlign w:val="bottom"/>
            <w:tcBorders>
              <w:right w:val="single" w:sz="8" w:color="262626"/>
            </w:tcBorders>
            <w:shd w:val="clear" w:color="auto" w:fill="262626"/>
          </w:tcPr>
          <w:p>
            <w:pPr>
              <w:jc w:val="right"/>
              <w:ind w:right="28"/>
              <w:spacing w:after="0" w:line="161" w:lineRule="exact"/>
              <w:rPr>
                <w:sz w:val="20"/>
                <w:szCs w:val="20"/>
                <w:color w:val="auto"/>
              </w:rPr>
            </w:pPr>
            <w:r>
              <w:rPr>
                <w:rFonts w:ascii="Arial" w:cs="Arial" w:eastAsia="Arial" w:hAnsi="Arial"/>
                <w:sz w:val="15"/>
                <w:szCs w:val="15"/>
                <w:b w:val="1"/>
                <w:bCs w:val="1"/>
                <w:color w:val="FFFFFF"/>
              </w:rPr>
              <w:t>based</w:t>
            </w:r>
          </w:p>
        </w:tc>
        <w:tc>
          <w:tcPr>
            <w:tcW w:w="1340" w:type="dxa"/>
            <w:vAlign w:val="bottom"/>
            <w:tcBorders>
              <w:right w:val="single" w:sz="8" w:color="262626"/>
            </w:tcBorders>
            <w:vMerge w:val="continue"/>
            <w:shd w:val="clear" w:color="auto" w:fill="262626"/>
          </w:tcPr>
          <w:p>
            <w:pPr>
              <w:spacing w:after="0"/>
              <w:rPr>
                <w:sz w:val="13"/>
                <w:szCs w:val="13"/>
                <w:color w:val="auto"/>
              </w:rPr>
            </w:pPr>
          </w:p>
        </w:tc>
        <w:tc>
          <w:tcPr>
            <w:tcW w:w="820" w:type="dxa"/>
            <w:vAlign w:val="bottom"/>
            <w:tcBorders>
              <w:right w:val="single" w:sz="8" w:color="262626"/>
            </w:tcBorders>
            <w:shd w:val="clear" w:color="auto" w:fill="262626"/>
          </w:tcPr>
          <w:p>
            <w:pPr>
              <w:spacing w:after="0"/>
              <w:rPr>
                <w:sz w:val="13"/>
                <w:szCs w:val="13"/>
                <w:color w:val="auto"/>
              </w:rPr>
            </w:pPr>
          </w:p>
        </w:tc>
        <w:tc>
          <w:tcPr>
            <w:tcW w:w="1160" w:type="dxa"/>
            <w:vAlign w:val="bottom"/>
            <w:tcBorders>
              <w:right w:val="single" w:sz="8" w:color="262626"/>
            </w:tcBorders>
            <w:shd w:val="clear" w:color="auto" w:fill="262626"/>
          </w:tcPr>
          <w:p>
            <w:pPr>
              <w:spacing w:after="0"/>
              <w:rPr>
                <w:sz w:val="13"/>
                <w:szCs w:val="13"/>
                <w:color w:val="auto"/>
              </w:rPr>
            </w:pPr>
          </w:p>
        </w:tc>
        <w:tc>
          <w:tcPr>
            <w:tcW w:w="1120" w:type="dxa"/>
            <w:vAlign w:val="bottom"/>
            <w:shd w:val="clear" w:color="auto" w:fill="262626"/>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000" w:type="dxa"/>
            <w:vAlign w:val="bottom"/>
            <w:tcBorders>
              <w:right w:val="single" w:sz="8" w:color="262626"/>
            </w:tcBorders>
            <w:vMerge w:val="continue"/>
            <w:shd w:val="clear" w:color="auto" w:fill="262626"/>
          </w:tcPr>
          <w:p>
            <w:pPr>
              <w:spacing w:after="0"/>
              <w:rPr>
                <w:sz w:val="18"/>
                <w:szCs w:val="18"/>
                <w:color w:val="auto"/>
              </w:rPr>
            </w:pPr>
          </w:p>
        </w:tc>
        <w:tc>
          <w:tcPr>
            <w:tcW w:w="540" w:type="dxa"/>
            <w:vAlign w:val="bottom"/>
            <w:tcBorders>
              <w:right w:val="single" w:sz="8" w:color="262626"/>
            </w:tcBorders>
            <w:vMerge w:val="continue"/>
            <w:shd w:val="clear" w:color="auto" w:fill="262626"/>
          </w:tcPr>
          <w:p>
            <w:pPr>
              <w:spacing w:after="0"/>
              <w:rPr>
                <w:sz w:val="18"/>
                <w:szCs w:val="18"/>
                <w:color w:val="auto"/>
              </w:rPr>
            </w:pPr>
          </w:p>
        </w:tc>
        <w:tc>
          <w:tcPr>
            <w:tcW w:w="960" w:type="dxa"/>
            <w:vAlign w:val="bottom"/>
            <w:tcBorders>
              <w:right w:val="single" w:sz="8" w:color="262626"/>
            </w:tcBorders>
            <w:vMerge w:val="continue"/>
            <w:shd w:val="clear" w:color="auto" w:fill="262626"/>
          </w:tcPr>
          <w:p>
            <w:pPr>
              <w:spacing w:after="0"/>
              <w:rPr>
                <w:sz w:val="18"/>
                <w:szCs w:val="18"/>
                <w:color w:val="auto"/>
              </w:rPr>
            </w:pPr>
          </w:p>
        </w:tc>
        <w:tc>
          <w:tcPr>
            <w:tcW w:w="1000" w:type="dxa"/>
            <w:vAlign w:val="bottom"/>
            <w:tcBorders>
              <w:right w:val="single" w:sz="8" w:color="262626"/>
            </w:tcBorders>
            <w:shd w:val="clear" w:color="auto" w:fill="262626"/>
          </w:tcPr>
          <w:p>
            <w:pPr>
              <w:jc w:val="right"/>
              <w:ind w:right="28"/>
              <w:spacing w:after="0"/>
              <w:rPr>
                <w:sz w:val="20"/>
                <w:szCs w:val="20"/>
                <w:color w:val="auto"/>
              </w:rPr>
            </w:pPr>
            <w:r>
              <w:rPr>
                <w:rFonts w:ascii="Arial" w:cs="Arial" w:eastAsia="Arial" w:hAnsi="Arial"/>
                <w:sz w:val="15"/>
                <w:szCs w:val="15"/>
                <w:b w:val="1"/>
                <w:bCs w:val="1"/>
                <w:color w:val="FFFFFF"/>
              </w:rPr>
              <w:t>awards ($)</w:t>
            </w:r>
            <w:r>
              <w:rPr>
                <w:rFonts w:ascii="Arial" w:cs="Arial" w:eastAsia="Arial" w:hAnsi="Arial"/>
                <w:sz w:val="11"/>
                <w:szCs w:val="11"/>
                <w:b w:val="1"/>
                <w:bCs w:val="1"/>
                <w:color w:val="FFFFFF"/>
              </w:rPr>
              <w:t>2</w:t>
            </w:r>
          </w:p>
        </w:tc>
        <w:tc>
          <w:tcPr>
            <w:tcW w:w="980" w:type="dxa"/>
            <w:vAlign w:val="bottom"/>
            <w:tcBorders>
              <w:right w:val="single" w:sz="8" w:color="262626"/>
            </w:tcBorders>
            <w:shd w:val="clear" w:color="auto" w:fill="262626"/>
          </w:tcPr>
          <w:p>
            <w:pPr>
              <w:jc w:val="right"/>
              <w:ind w:right="28"/>
              <w:spacing w:after="0"/>
              <w:rPr>
                <w:sz w:val="20"/>
                <w:szCs w:val="20"/>
                <w:color w:val="auto"/>
              </w:rPr>
            </w:pPr>
            <w:r>
              <w:rPr>
                <w:rFonts w:ascii="Arial" w:cs="Arial" w:eastAsia="Arial" w:hAnsi="Arial"/>
                <w:sz w:val="15"/>
                <w:szCs w:val="15"/>
                <w:b w:val="1"/>
                <w:bCs w:val="1"/>
                <w:color w:val="FFFFFF"/>
              </w:rPr>
              <w:t>awards ($)</w:t>
            </w:r>
            <w:r>
              <w:rPr>
                <w:rFonts w:ascii="Arial" w:cs="Arial" w:eastAsia="Arial" w:hAnsi="Arial"/>
                <w:sz w:val="11"/>
                <w:szCs w:val="11"/>
                <w:b w:val="1"/>
                <w:bCs w:val="1"/>
                <w:color w:val="FFFFFF"/>
              </w:rPr>
              <w:t>3</w:t>
            </w:r>
          </w:p>
        </w:tc>
        <w:tc>
          <w:tcPr>
            <w:tcW w:w="1340" w:type="dxa"/>
            <w:vAlign w:val="bottom"/>
            <w:tcBorders>
              <w:right w:val="single" w:sz="8" w:color="262626"/>
            </w:tcBorders>
            <w:shd w:val="clear" w:color="auto" w:fill="262626"/>
          </w:tcPr>
          <w:p>
            <w:pPr>
              <w:jc w:val="center"/>
              <w:spacing w:after="0"/>
              <w:rPr>
                <w:sz w:val="20"/>
                <w:szCs w:val="20"/>
                <w:color w:val="auto"/>
              </w:rPr>
            </w:pPr>
            <w:r>
              <w:rPr>
                <w:rFonts w:ascii="Arial" w:cs="Arial" w:eastAsia="Arial" w:hAnsi="Arial"/>
                <w:sz w:val="15"/>
                <w:szCs w:val="15"/>
                <w:b w:val="1"/>
                <w:bCs w:val="1"/>
                <w:color w:val="FFFFFF"/>
              </w:rPr>
              <w:t>incentive plans</w:t>
            </w:r>
            <w:r>
              <w:rPr>
                <w:rFonts w:ascii="Arial" w:cs="Arial" w:eastAsia="Arial" w:hAnsi="Arial"/>
                <w:sz w:val="11"/>
                <w:szCs w:val="11"/>
                <w:b w:val="1"/>
                <w:bCs w:val="1"/>
                <w:color w:val="FFFFFF"/>
              </w:rPr>
              <w:t>4</w:t>
            </w:r>
          </w:p>
        </w:tc>
        <w:tc>
          <w:tcPr>
            <w:tcW w:w="820" w:type="dxa"/>
            <w:vAlign w:val="bottom"/>
            <w:tcBorders>
              <w:right w:val="single" w:sz="8" w:color="262626"/>
            </w:tcBorders>
            <w:shd w:val="clear" w:color="auto" w:fill="262626"/>
          </w:tcPr>
          <w:p>
            <w:pPr>
              <w:spacing w:after="0"/>
              <w:rPr>
                <w:sz w:val="18"/>
                <w:szCs w:val="18"/>
                <w:color w:val="auto"/>
              </w:rPr>
            </w:pPr>
          </w:p>
        </w:tc>
        <w:tc>
          <w:tcPr>
            <w:tcW w:w="1160" w:type="dxa"/>
            <w:vAlign w:val="bottom"/>
            <w:tcBorders>
              <w:right w:val="single" w:sz="8" w:color="262626"/>
            </w:tcBorders>
            <w:shd w:val="clear" w:color="auto" w:fill="262626"/>
          </w:tcPr>
          <w:p>
            <w:pPr>
              <w:spacing w:after="0"/>
              <w:rPr>
                <w:sz w:val="18"/>
                <w:szCs w:val="18"/>
                <w:color w:val="auto"/>
              </w:rPr>
            </w:pPr>
          </w:p>
        </w:tc>
        <w:tc>
          <w:tcPr>
            <w:tcW w:w="1120" w:type="dxa"/>
            <w:vAlign w:val="bottom"/>
            <w:shd w:val="clear" w:color="auto" w:fill="262626"/>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Steve Hasker</w:t>
            </w: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1,109,576</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4,965,256</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1,655,068</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2,174,769</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170,317</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10,074,986</w:t>
            </w:r>
          </w:p>
        </w:tc>
        <w:tc>
          <w:tcPr>
            <w:tcW w:w="0" w:type="dxa"/>
            <w:vAlign w:val="bottom"/>
          </w:tcPr>
          <w:p>
            <w:pPr>
              <w:spacing w:after="0"/>
              <w:rPr>
                <w:sz w:val="1"/>
                <w:szCs w:val="1"/>
                <w:color w:val="auto"/>
              </w:rPr>
            </w:pPr>
          </w:p>
        </w:tc>
      </w:tr>
      <w:tr>
        <w:trPr>
          <w:trHeight w:val="28"/>
        </w:trPr>
        <w:tc>
          <w:tcPr>
            <w:tcW w:w="300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President and Chief</w:t>
            </w: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Borders>
              <w:right w:val="single" w:sz="8" w:color="AFAFAF"/>
            </w:tcBorders>
            <w:vMerge w:val="continue"/>
          </w:tcPr>
          <w:p>
            <w:pPr>
              <w:spacing w:after="0"/>
              <w:rPr>
                <w:sz w:val="12"/>
                <w:szCs w:val="12"/>
                <w:color w:val="auto"/>
              </w:rPr>
            </w:pPr>
          </w:p>
        </w:tc>
        <w:tc>
          <w:tcPr>
            <w:tcW w:w="54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4"/>
                <w:szCs w:val="14"/>
                <w:color w:val="auto"/>
              </w:rPr>
              <w:t>2022</w:t>
            </w:r>
          </w:p>
        </w:tc>
        <w:tc>
          <w:tcPr>
            <w:tcW w:w="96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1,146,685</w:t>
            </w:r>
          </w:p>
        </w:tc>
        <w:tc>
          <w:tcPr>
            <w:tcW w:w="100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4,882,230</w:t>
            </w:r>
          </w:p>
        </w:tc>
        <w:tc>
          <w:tcPr>
            <w:tcW w:w="98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1,627,382</w:t>
            </w:r>
          </w:p>
        </w:tc>
        <w:tc>
          <w:tcPr>
            <w:tcW w:w="134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2,752,044</w:t>
            </w:r>
          </w:p>
        </w:tc>
        <w:tc>
          <w:tcPr>
            <w:tcW w:w="82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176,060</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10,584,401</w:t>
            </w:r>
          </w:p>
        </w:tc>
        <w:tc>
          <w:tcPr>
            <w:tcW w:w="0" w:type="dxa"/>
            <w:vAlign w:val="bottom"/>
          </w:tcPr>
          <w:p>
            <w:pPr>
              <w:spacing w:after="0"/>
              <w:rPr>
                <w:sz w:val="1"/>
                <w:szCs w:val="1"/>
                <w:color w:val="auto"/>
              </w:rPr>
            </w:pPr>
          </w:p>
        </w:tc>
      </w:tr>
      <w:tr>
        <w:trPr>
          <w:trHeight w:val="67"/>
        </w:trPr>
        <w:tc>
          <w:tcPr>
            <w:tcW w:w="300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Executive Officer</w:t>
            </w:r>
          </w:p>
        </w:tc>
        <w:tc>
          <w:tcPr>
            <w:tcW w:w="540" w:type="dxa"/>
            <w:vAlign w:val="bottom"/>
            <w:tcBorders>
              <w:right w:val="single" w:sz="8" w:color="AFAFAF"/>
            </w:tcBorders>
            <w:vMerge w:val="continue"/>
          </w:tcPr>
          <w:p>
            <w:pPr>
              <w:spacing w:after="0"/>
              <w:rPr>
                <w:sz w:val="5"/>
                <w:szCs w:val="5"/>
                <w:color w:val="auto"/>
              </w:rPr>
            </w:pPr>
          </w:p>
        </w:tc>
        <w:tc>
          <w:tcPr>
            <w:tcW w:w="960" w:type="dxa"/>
            <w:vAlign w:val="bottom"/>
            <w:tcBorders>
              <w:right w:val="single" w:sz="8" w:color="AFAFAF"/>
            </w:tcBorders>
            <w:vMerge w:val="continue"/>
          </w:tcPr>
          <w:p>
            <w:pPr>
              <w:spacing w:after="0"/>
              <w:rPr>
                <w:sz w:val="5"/>
                <w:szCs w:val="5"/>
                <w:color w:val="auto"/>
              </w:rPr>
            </w:pPr>
          </w:p>
        </w:tc>
        <w:tc>
          <w:tcPr>
            <w:tcW w:w="1000" w:type="dxa"/>
            <w:vAlign w:val="bottom"/>
            <w:tcBorders>
              <w:right w:val="single" w:sz="8" w:color="AFAFAF"/>
            </w:tcBorders>
            <w:vMerge w:val="continue"/>
          </w:tcPr>
          <w:p>
            <w:pPr>
              <w:spacing w:after="0"/>
              <w:rPr>
                <w:sz w:val="5"/>
                <w:szCs w:val="5"/>
                <w:color w:val="auto"/>
              </w:rPr>
            </w:pPr>
          </w:p>
        </w:tc>
        <w:tc>
          <w:tcPr>
            <w:tcW w:w="980" w:type="dxa"/>
            <w:vAlign w:val="bottom"/>
            <w:tcBorders>
              <w:right w:val="single" w:sz="8" w:color="AFAFAF"/>
            </w:tcBorders>
            <w:vMerge w:val="continue"/>
          </w:tcPr>
          <w:p>
            <w:pPr>
              <w:spacing w:after="0"/>
              <w:rPr>
                <w:sz w:val="5"/>
                <w:szCs w:val="5"/>
                <w:color w:val="auto"/>
              </w:rPr>
            </w:pPr>
          </w:p>
        </w:tc>
        <w:tc>
          <w:tcPr>
            <w:tcW w:w="1340" w:type="dxa"/>
            <w:vAlign w:val="bottom"/>
            <w:tcBorders>
              <w:right w:val="single" w:sz="8" w:color="AFAFAF"/>
            </w:tcBorders>
            <w:vMerge w:val="continue"/>
          </w:tcPr>
          <w:p>
            <w:pPr>
              <w:spacing w:after="0"/>
              <w:rPr>
                <w:sz w:val="5"/>
                <w:szCs w:val="5"/>
                <w:color w:val="auto"/>
              </w:rPr>
            </w:pPr>
          </w:p>
        </w:tc>
        <w:tc>
          <w:tcPr>
            <w:tcW w:w="820" w:type="dxa"/>
            <w:vAlign w:val="bottom"/>
            <w:tcBorders>
              <w:right w:val="single" w:sz="8" w:color="AFAFAF"/>
            </w:tcBorders>
            <w:vMerge w:val="continue"/>
          </w:tcPr>
          <w:p>
            <w:pPr>
              <w:spacing w:after="0"/>
              <w:rPr>
                <w:sz w:val="5"/>
                <w:szCs w:val="5"/>
                <w:color w:val="auto"/>
              </w:rPr>
            </w:pPr>
          </w:p>
        </w:tc>
        <w:tc>
          <w:tcPr>
            <w:tcW w:w="1160" w:type="dxa"/>
            <w:vAlign w:val="bottom"/>
            <w:tcBorders>
              <w:right w:val="single" w:sz="8" w:color="AFAFAF"/>
            </w:tcBorders>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000" w:type="dxa"/>
            <w:vAlign w:val="bottom"/>
            <w:tcBorders>
              <w:right w:val="single" w:sz="8" w:color="AFAFAF"/>
            </w:tcBorders>
            <w:vMerge w:val="continue"/>
          </w:tcPr>
          <w:p>
            <w:pPr>
              <w:spacing w:after="0"/>
              <w:rPr>
                <w:sz w:val="2"/>
                <w:szCs w:val="2"/>
                <w:color w:val="auto"/>
              </w:rPr>
            </w:pP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3000" w:type="dxa"/>
            <w:vAlign w:val="bottom"/>
            <w:tcBorders>
              <w:right w:val="single" w:sz="8" w:color="AFAFAF"/>
            </w:tcBorders>
            <w:vMerge w:val="continue"/>
          </w:tcPr>
          <w:p>
            <w:pPr>
              <w:spacing w:after="0"/>
              <w:rPr>
                <w:sz w:val="8"/>
                <w:szCs w:val="8"/>
                <w:color w:val="auto"/>
              </w:rPr>
            </w:pPr>
          </w:p>
        </w:tc>
        <w:tc>
          <w:tcPr>
            <w:tcW w:w="54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4"/>
                <w:szCs w:val="14"/>
                <w:color w:val="auto"/>
              </w:rPr>
              <w:t>2021</w:t>
            </w:r>
          </w:p>
        </w:tc>
        <w:tc>
          <w:tcPr>
            <w:tcW w:w="96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1,193,042</w:t>
            </w:r>
          </w:p>
        </w:tc>
        <w:tc>
          <w:tcPr>
            <w:tcW w:w="100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4,840,571</w:t>
            </w:r>
          </w:p>
        </w:tc>
        <w:tc>
          <w:tcPr>
            <w:tcW w:w="98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1,613,528</w:t>
            </w:r>
          </w:p>
        </w:tc>
        <w:tc>
          <w:tcPr>
            <w:tcW w:w="134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3,984,760</w:t>
            </w:r>
          </w:p>
        </w:tc>
        <w:tc>
          <w:tcPr>
            <w:tcW w:w="82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183,467</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11,815,368</w:t>
            </w:r>
          </w:p>
        </w:tc>
        <w:tc>
          <w:tcPr>
            <w:tcW w:w="0" w:type="dxa"/>
            <w:vAlign w:val="bottom"/>
          </w:tcPr>
          <w:p>
            <w:pPr>
              <w:spacing w:after="0"/>
              <w:rPr>
                <w:sz w:val="1"/>
                <w:szCs w:val="1"/>
                <w:color w:val="auto"/>
              </w:rPr>
            </w:pPr>
          </w:p>
        </w:tc>
      </w:tr>
      <w:tr>
        <w:trPr>
          <w:trHeight w:val="155"/>
        </w:trPr>
        <w:tc>
          <w:tcPr>
            <w:tcW w:w="3000" w:type="dxa"/>
            <w:vAlign w:val="bottom"/>
            <w:tcBorders>
              <w:right w:val="single" w:sz="8" w:color="AFAFAF"/>
            </w:tcBorders>
          </w:tcPr>
          <w:p>
            <w:pPr>
              <w:spacing w:after="0"/>
              <w:rPr>
                <w:sz w:val="13"/>
                <w:szCs w:val="13"/>
                <w:color w:val="auto"/>
              </w:rPr>
            </w:pPr>
          </w:p>
        </w:tc>
        <w:tc>
          <w:tcPr>
            <w:tcW w:w="540" w:type="dxa"/>
            <w:vAlign w:val="bottom"/>
            <w:tcBorders>
              <w:right w:val="single" w:sz="8" w:color="AFAFAF"/>
            </w:tcBorders>
            <w:vMerge w:val="continue"/>
          </w:tcPr>
          <w:p>
            <w:pPr>
              <w:spacing w:after="0"/>
              <w:rPr>
                <w:sz w:val="13"/>
                <w:szCs w:val="13"/>
                <w:color w:val="auto"/>
              </w:rPr>
            </w:pPr>
          </w:p>
        </w:tc>
        <w:tc>
          <w:tcPr>
            <w:tcW w:w="960" w:type="dxa"/>
            <w:vAlign w:val="bottom"/>
            <w:tcBorders>
              <w:right w:val="single" w:sz="8" w:color="AFAFAF"/>
            </w:tcBorders>
            <w:vMerge w:val="continue"/>
          </w:tcPr>
          <w:p>
            <w:pPr>
              <w:spacing w:after="0"/>
              <w:rPr>
                <w:sz w:val="13"/>
                <w:szCs w:val="13"/>
                <w:color w:val="auto"/>
              </w:rPr>
            </w:pPr>
          </w:p>
        </w:tc>
        <w:tc>
          <w:tcPr>
            <w:tcW w:w="1000" w:type="dxa"/>
            <w:vAlign w:val="bottom"/>
            <w:tcBorders>
              <w:right w:val="single" w:sz="8" w:color="AFAFAF"/>
            </w:tcBorders>
            <w:vMerge w:val="continue"/>
          </w:tcPr>
          <w:p>
            <w:pPr>
              <w:spacing w:after="0"/>
              <w:rPr>
                <w:sz w:val="13"/>
                <w:szCs w:val="13"/>
                <w:color w:val="auto"/>
              </w:rPr>
            </w:pPr>
          </w:p>
        </w:tc>
        <w:tc>
          <w:tcPr>
            <w:tcW w:w="980" w:type="dxa"/>
            <w:vAlign w:val="bottom"/>
            <w:tcBorders>
              <w:right w:val="single" w:sz="8" w:color="AFAFAF"/>
            </w:tcBorders>
            <w:vMerge w:val="continue"/>
          </w:tcPr>
          <w:p>
            <w:pPr>
              <w:spacing w:after="0"/>
              <w:rPr>
                <w:sz w:val="13"/>
                <w:szCs w:val="13"/>
                <w:color w:val="auto"/>
              </w:rPr>
            </w:pPr>
          </w:p>
        </w:tc>
        <w:tc>
          <w:tcPr>
            <w:tcW w:w="1340" w:type="dxa"/>
            <w:vAlign w:val="bottom"/>
            <w:tcBorders>
              <w:right w:val="single" w:sz="8" w:color="AFAFAF"/>
            </w:tcBorders>
            <w:vMerge w:val="continue"/>
          </w:tcPr>
          <w:p>
            <w:pPr>
              <w:spacing w:after="0"/>
              <w:rPr>
                <w:sz w:val="13"/>
                <w:szCs w:val="13"/>
                <w:color w:val="auto"/>
              </w:rPr>
            </w:pPr>
          </w:p>
        </w:tc>
        <w:tc>
          <w:tcPr>
            <w:tcW w:w="820" w:type="dxa"/>
            <w:vAlign w:val="bottom"/>
            <w:tcBorders>
              <w:right w:val="single" w:sz="8" w:color="AFAFAF"/>
            </w:tcBorders>
            <w:vMerge w:val="continue"/>
          </w:tcPr>
          <w:p>
            <w:pPr>
              <w:spacing w:after="0"/>
              <w:rPr>
                <w:sz w:val="13"/>
                <w:szCs w:val="13"/>
                <w:color w:val="auto"/>
              </w:rPr>
            </w:pPr>
          </w:p>
        </w:tc>
        <w:tc>
          <w:tcPr>
            <w:tcW w:w="1160" w:type="dxa"/>
            <w:vAlign w:val="bottom"/>
            <w:tcBorders>
              <w:right w:val="single" w:sz="8" w:color="AFAFAF"/>
            </w:tcBorders>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000" w:type="dxa"/>
            <w:vAlign w:val="bottom"/>
            <w:tcBorders>
              <w:top w:val="single" w:sz="8" w:color="B94831"/>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Mike Eastwood</w:t>
            </w:r>
          </w:p>
        </w:tc>
        <w:tc>
          <w:tcPr>
            <w:tcW w:w="540" w:type="dxa"/>
            <w:vAlign w:val="bottom"/>
            <w:tcBorders>
              <w:top w:val="single" w:sz="8" w:color="B94831"/>
              <w:right w:val="single" w:sz="8" w:color="AFAFAF"/>
            </w:tcBorders>
          </w:tcPr>
          <w:p>
            <w:pPr>
              <w:ind w:left="120"/>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top w:val="single" w:sz="8" w:color="B94831"/>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700,507</w:t>
            </w:r>
          </w:p>
        </w:tc>
        <w:tc>
          <w:tcPr>
            <w:tcW w:w="1000" w:type="dxa"/>
            <w:vAlign w:val="bottom"/>
            <w:tcBorders>
              <w:top w:val="single" w:sz="8" w:color="B94831"/>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1,280,134</w:t>
            </w:r>
          </w:p>
        </w:tc>
        <w:tc>
          <w:tcPr>
            <w:tcW w:w="980" w:type="dxa"/>
            <w:vAlign w:val="bottom"/>
            <w:tcBorders>
              <w:top w:val="single" w:sz="8" w:color="B94831"/>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426,687</w:t>
            </w:r>
          </w:p>
        </w:tc>
        <w:tc>
          <w:tcPr>
            <w:tcW w:w="1340" w:type="dxa"/>
            <w:vAlign w:val="bottom"/>
            <w:tcBorders>
              <w:top w:val="single" w:sz="8" w:color="B94831"/>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858,121</w:t>
            </w:r>
          </w:p>
        </w:tc>
        <w:tc>
          <w:tcPr>
            <w:tcW w:w="820" w:type="dxa"/>
            <w:vAlign w:val="bottom"/>
            <w:tcBorders>
              <w:top w:val="single" w:sz="8" w:color="B94831"/>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B94831"/>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109,137</w:t>
            </w:r>
          </w:p>
        </w:tc>
        <w:tc>
          <w:tcPr>
            <w:tcW w:w="1120" w:type="dxa"/>
            <w:vAlign w:val="bottom"/>
            <w:tcBorders>
              <w:top w:val="single" w:sz="8" w:color="B94831"/>
            </w:tcBorders>
          </w:tcPr>
          <w:p>
            <w:pPr>
              <w:jc w:val="right"/>
              <w:ind w:right="9"/>
              <w:spacing w:after="0"/>
              <w:rPr>
                <w:sz w:val="20"/>
                <w:szCs w:val="20"/>
                <w:color w:val="auto"/>
              </w:rPr>
            </w:pPr>
            <w:r>
              <w:rPr>
                <w:rFonts w:ascii="Arial" w:cs="Arial" w:eastAsia="Arial" w:hAnsi="Arial"/>
                <w:sz w:val="14"/>
                <w:szCs w:val="14"/>
                <w:b w:val="1"/>
                <w:bCs w:val="1"/>
                <w:color w:val="auto"/>
              </w:rPr>
              <w:t>3,374,586</w:t>
            </w:r>
          </w:p>
        </w:tc>
        <w:tc>
          <w:tcPr>
            <w:tcW w:w="0" w:type="dxa"/>
            <w:vAlign w:val="bottom"/>
          </w:tcPr>
          <w:p>
            <w:pPr>
              <w:spacing w:after="0"/>
              <w:rPr>
                <w:sz w:val="1"/>
                <w:szCs w:val="1"/>
                <w:color w:val="auto"/>
              </w:rPr>
            </w:pPr>
          </w:p>
        </w:tc>
      </w:tr>
      <w:tr>
        <w:trPr>
          <w:trHeight w:val="28"/>
        </w:trPr>
        <w:tc>
          <w:tcPr>
            <w:tcW w:w="300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Chief Financial Officer</w:t>
            </w: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Borders>
              <w:right w:val="single" w:sz="8" w:color="AFAFAF"/>
            </w:tcBorders>
            <w:vMerge w:val="continue"/>
          </w:tcPr>
          <w:p>
            <w:pPr>
              <w:spacing w:after="0"/>
              <w:rPr>
                <w:sz w:val="12"/>
                <w:szCs w:val="12"/>
                <w:color w:val="auto"/>
              </w:rPr>
            </w:pPr>
          </w:p>
        </w:tc>
        <w:tc>
          <w:tcPr>
            <w:tcW w:w="54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4"/>
                <w:szCs w:val="14"/>
                <w:color w:val="auto"/>
              </w:rPr>
              <w:t>2022</w:t>
            </w:r>
          </w:p>
        </w:tc>
        <w:tc>
          <w:tcPr>
            <w:tcW w:w="96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709,487</w:t>
            </w:r>
          </w:p>
        </w:tc>
        <w:tc>
          <w:tcPr>
            <w:tcW w:w="100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1,235,832</w:t>
            </w:r>
          </w:p>
        </w:tc>
        <w:tc>
          <w:tcPr>
            <w:tcW w:w="98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411,925</w:t>
            </w:r>
          </w:p>
        </w:tc>
        <w:tc>
          <w:tcPr>
            <w:tcW w:w="134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1,064,231</w:t>
            </w:r>
          </w:p>
        </w:tc>
        <w:tc>
          <w:tcPr>
            <w:tcW w:w="82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110,316</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3,531,791</w:t>
            </w:r>
          </w:p>
        </w:tc>
        <w:tc>
          <w:tcPr>
            <w:tcW w:w="0" w:type="dxa"/>
            <w:vAlign w:val="bottom"/>
          </w:tcPr>
          <w:p>
            <w:pPr>
              <w:spacing w:after="0"/>
              <w:rPr>
                <w:sz w:val="1"/>
                <w:szCs w:val="1"/>
                <w:color w:val="auto"/>
              </w:rPr>
            </w:pPr>
          </w:p>
        </w:tc>
      </w:tr>
      <w:tr>
        <w:trPr>
          <w:trHeight w:val="67"/>
        </w:trPr>
        <w:tc>
          <w:tcPr>
            <w:tcW w:w="3000" w:type="dxa"/>
            <w:vAlign w:val="bottom"/>
            <w:tcBorders>
              <w:right w:val="single" w:sz="8" w:color="AFAFAF"/>
            </w:tcBorders>
          </w:tcPr>
          <w:p>
            <w:pPr>
              <w:spacing w:after="0"/>
              <w:rPr>
                <w:sz w:val="5"/>
                <w:szCs w:val="5"/>
                <w:color w:val="auto"/>
              </w:rPr>
            </w:pPr>
          </w:p>
        </w:tc>
        <w:tc>
          <w:tcPr>
            <w:tcW w:w="540" w:type="dxa"/>
            <w:vAlign w:val="bottom"/>
            <w:tcBorders>
              <w:right w:val="single" w:sz="8" w:color="AFAFAF"/>
            </w:tcBorders>
            <w:vMerge w:val="continue"/>
          </w:tcPr>
          <w:p>
            <w:pPr>
              <w:spacing w:after="0"/>
              <w:rPr>
                <w:sz w:val="5"/>
                <w:szCs w:val="5"/>
                <w:color w:val="auto"/>
              </w:rPr>
            </w:pPr>
          </w:p>
        </w:tc>
        <w:tc>
          <w:tcPr>
            <w:tcW w:w="960" w:type="dxa"/>
            <w:vAlign w:val="bottom"/>
            <w:tcBorders>
              <w:right w:val="single" w:sz="8" w:color="AFAFAF"/>
            </w:tcBorders>
            <w:vMerge w:val="continue"/>
          </w:tcPr>
          <w:p>
            <w:pPr>
              <w:spacing w:after="0"/>
              <w:rPr>
                <w:sz w:val="5"/>
                <w:szCs w:val="5"/>
                <w:color w:val="auto"/>
              </w:rPr>
            </w:pPr>
          </w:p>
        </w:tc>
        <w:tc>
          <w:tcPr>
            <w:tcW w:w="1000" w:type="dxa"/>
            <w:vAlign w:val="bottom"/>
            <w:tcBorders>
              <w:right w:val="single" w:sz="8" w:color="AFAFAF"/>
            </w:tcBorders>
            <w:vMerge w:val="continue"/>
          </w:tcPr>
          <w:p>
            <w:pPr>
              <w:spacing w:after="0"/>
              <w:rPr>
                <w:sz w:val="5"/>
                <w:szCs w:val="5"/>
                <w:color w:val="auto"/>
              </w:rPr>
            </w:pPr>
          </w:p>
        </w:tc>
        <w:tc>
          <w:tcPr>
            <w:tcW w:w="980" w:type="dxa"/>
            <w:vAlign w:val="bottom"/>
            <w:tcBorders>
              <w:right w:val="single" w:sz="8" w:color="AFAFAF"/>
            </w:tcBorders>
            <w:vMerge w:val="continue"/>
          </w:tcPr>
          <w:p>
            <w:pPr>
              <w:spacing w:after="0"/>
              <w:rPr>
                <w:sz w:val="5"/>
                <w:szCs w:val="5"/>
                <w:color w:val="auto"/>
              </w:rPr>
            </w:pPr>
          </w:p>
        </w:tc>
        <w:tc>
          <w:tcPr>
            <w:tcW w:w="1340" w:type="dxa"/>
            <w:vAlign w:val="bottom"/>
            <w:tcBorders>
              <w:right w:val="single" w:sz="8" w:color="AFAFAF"/>
            </w:tcBorders>
            <w:vMerge w:val="continue"/>
          </w:tcPr>
          <w:p>
            <w:pPr>
              <w:spacing w:after="0"/>
              <w:rPr>
                <w:sz w:val="5"/>
                <w:szCs w:val="5"/>
                <w:color w:val="auto"/>
              </w:rPr>
            </w:pPr>
          </w:p>
        </w:tc>
        <w:tc>
          <w:tcPr>
            <w:tcW w:w="820" w:type="dxa"/>
            <w:vAlign w:val="bottom"/>
            <w:tcBorders>
              <w:right w:val="single" w:sz="8" w:color="AFAFAF"/>
            </w:tcBorders>
            <w:vMerge w:val="continue"/>
          </w:tcPr>
          <w:p>
            <w:pPr>
              <w:spacing w:after="0"/>
              <w:rPr>
                <w:sz w:val="5"/>
                <w:szCs w:val="5"/>
                <w:color w:val="auto"/>
              </w:rPr>
            </w:pPr>
          </w:p>
        </w:tc>
        <w:tc>
          <w:tcPr>
            <w:tcW w:w="1160" w:type="dxa"/>
            <w:vAlign w:val="bottom"/>
            <w:tcBorders>
              <w:right w:val="single" w:sz="8" w:color="AFAFAF"/>
            </w:tcBorders>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000" w:type="dxa"/>
            <w:vAlign w:val="bottom"/>
            <w:tcBorders>
              <w:right w:val="single" w:sz="8" w:color="AFAFAF"/>
            </w:tcBorders>
          </w:tcPr>
          <w:p>
            <w:pPr>
              <w:spacing w:after="0"/>
              <w:rPr>
                <w:sz w:val="2"/>
                <w:szCs w:val="2"/>
                <w:color w:val="auto"/>
              </w:rPr>
            </w:pP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right w:val="single" w:sz="8" w:color="AFAFAF"/>
            </w:tcBorders>
          </w:tcPr>
          <w:p>
            <w:pPr>
              <w:spacing w:after="0"/>
              <w:rPr>
                <w:sz w:val="18"/>
                <w:szCs w:val="18"/>
                <w:color w:val="auto"/>
              </w:rPr>
            </w:pP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color w:val="auto"/>
              </w:rPr>
              <w:t>2021</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738,170</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1,225,340</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408,410</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1,540,929</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115,157</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4,028,006</w:t>
            </w:r>
          </w:p>
        </w:tc>
        <w:tc>
          <w:tcPr>
            <w:tcW w:w="0" w:type="dxa"/>
            <w:vAlign w:val="bottom"/>
          </w:tcPr>
          <w:p>
            <w:pPr>
              <w:spacing w:after="0"/>
              <w:rPr>
                <w:sz w:val="1"/>
                <w:szCs w:val="1"/>
                <w:color w:val="auto"/>
              </w:rPr>
            </w:pPr>
          </w:p>
        </w:tc>
      </w:tr>
      <w:tr>
        <w:trPr>
          <w:trHeight w:val="34"/>
        </w:trPr>
        <w:tc>
          <w:tcPr>
            <w:tcW w:w="3000" w:type="dxa"/>
            <w:vAlign w:val="bottom"/>
            <w:tcBorders>
              <w:bottom w:val="single" w:sz="8" w:color="B94831"/>
              <w:right w:val="single" w:sz="8" w:color="AFAFAF"/>
            </w:tcBorders>
          </w:tcPr>
          <w:p>
            <w:pPr>
              <w:spacing w:after="0"/>
              <w:rPr>
                <w:sz w:val="2"/>
                <w:szCs w:val="2"/>
                <w:color w:val="auto"/>
              </w:rPr>
            </w:pPr>
          </w:p>
        </w:tc>
        <w:tc>
          <w:tcPr>
            <w:tcW w:w="540" w:type="dxa"/>
            <w:vAlign w:val="bottom"/>
            <w:tcBorders>
              <w:bottom w:val="single" w:sz="8" w:color="B94831"/>
              <w:right w:val="single" w:sz="8" w:color="AFAFAF"/>
            </w:tcBorders>
          </w:tcPr>
          <w:p>
            <w:pPr>
              <w:spacing w:after="0"/>
              <w:rPr>
                <w:sz w:val="2"/>
                <w:szCs w:val="2"/>
                <w:color w:val="auto"/>
              </w:rPr>
            </w:pPr>
          </w:p>
        </w:tc>
        <w:tc>
          <w:tcPr>
            <w:tcW w:w="960" w:type="dxa"/>
            <w:vAlign w:val="bottom"/>
            <w:tcBorders>
              <w:bottom w:val="single" w:sz="8" w:color="B94831"/>
              <w:right w:val="single" w:sz="8" w:color="AFAFAF"/>
            </w:tcBorders>
          </w:tcPr>
          <w:p>
            <w:pPr>
              <w:spacing w:after="0"/>
              <w:rPr>
                <w:sz w:val="2"/>
                <w:szCs w:val="2"/>
                <w:color w:val="auto"/>
              </w:rPr>
            </w:pPr>
          </w:p>
        </w:tc>
        <w:tc>
          <w:tcPr>
            <w:tcW w:w="1000" w:type="dxa"/>
            <w:vAlign w:val="bottom"/>
            <w:tcBorders>
              <w:bottom w:val="single" w:sz="8" w:color="B94831"/>
              <w:right w:val="single" w:sz="8" w:color="AFAFAF"/>
            </w:tcBorders>
          </w:tcPr>
          <w:p>
            <w:pPr>
              <w:spacing w:after="0"/>
              <w:rPr>
                <w:sz w:val="2"/>
                <w:szCs w:val="2"/>
                <w:color w:val="auto"/>
              </w:rPr>
            </w:pPr>
          </w:p>
        </w:tc>
        <w:tc>
          <w:tcPr>
            <w:tcW w:w="980" w:type="dxa"/>
            <w:vAlign w:val="bottom"/>
            <w:tcBorders>
              <w:bottom w:val="single" w:sz="8" w:color="B94831"/>
              <w:right w:val="single" w:sz="8" w:color="AFAFAF"/>
            </w:tcBorders>
          </w:tcPr>
          <w:p>
            <w:pPr>
              <w:spacing w:after="0"/>
              <w:rPr>
                <w:sz w:val="2"/>
                <w:szCs w:val="2"/>
                <w:color w:val="auto"/>
              </w:rPr>
            </w:pPr>
          </w:p>
        </w:tc>
        <w:tc>
          <w:tcPr>
            <w:tcW w:w="1340" w:type="dxa"/>
            <w:vAlign w:val="bottom"/>
            <w:tcBorders>
              <w:bottom w:val="single" w:sz="8" w:color="B94831"/>
              <w:right w:val="single" w:sz="8" w:color="AFAFAF"/>
            </w:tcBorders>
          </w:tcPr>
          <w:p>
            <w:pPr>
              <w:spacing w:after="0"/>
              <w:rPr>
                <w:sz w:val="2"/>
                <w:szCs w:val="2"/>
                <w:color w:val="auto"/>
              </w:rPr>
            </w:pPr>
          </w:p>
        </w:tc>
        <w:tc>
          <w:tcPr>
            <w:tcW w:w="820" w:type="dxa"/>
            <w:vAlign w:val="bottom"/>
            <w:tcBorders>
              <w:bottom w:val="single" w:sz="8" w:color="B94831"/>
              <w:right w:val="single" w:sz="8" w:color="AFAFAF"/>
            </w:tcBorders>
          </w:tcPr>
          <w:p>
            <w:pPr>
              <w:spacing w:after="0"/>
              <w:rPr>
                <w:sz w:val="2"/>
                <w:szCs w:val="2"/>
                <w:color w:val="auto"/>
              </w:rPr>
            </w:pPr>
          </w:p>
        </w:tc>
        <w:tc>
          <w:tcPr>
            <w:tcW w:w="1160" w:type="dxa"/>
            <w:vAlign w:val="bottom"/>
            <w:tcBorders>
              <w:bottom w:val="single" w:sz="8" w:color="B94831"/>
              <w:right w:val="single" w:sz="8" w:color="AFAFAF"/>
            </w:tcBorders>
          </w:tcPr>
          <w:p>
            <w:pPr>
              <w:spacing w:after="0"/>
              <w:rPr>
                <w:sz w:val="2"/>
                <w:szCs w:val="2"/>
                <w:color w:val="auto"/>
              </w:rPr>
            </w:pPr>
          </w:p>
        </w:tc>
        <w:tc>
          <w:tcPr>
            <w:tcW w:w="1120" w:type="dxa"/>
            <w:vAlign w:val="bottom"/>
            <w:tcBorders>
              <w:bottom w:val="single" w:sz="8" w:color="B94831"/>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0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Laura Clayton McDonnell</w:t>
            </w: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437,069</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1,793,967</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331,265</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649,250</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598,565</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3,810,116</w:t>
            </w:r>
          </w:p>
        </w:tc>
        <w:tc>
          <w:tcPr>
            <w:tcW w:w="0" w:type="dxa"/>
            <w:vAlign w:val="bottom"/>
          </w:tcPr>
          <w:p>
            <w:pPr>
              <w:spacing w:after="0"/>
              <w:rPr>
                <w:sz w:val="1"/>
                <w:szCs w:val="1"/>
                <w:color w:val="auto"/>
              </w:rPr>
            </w:pPr>
          </w:p>
        </w:tc>
      </w:tr>
      <w:tr>
        <w:trPr>
          <w:trHeight w:val="28"/>
        </w:trPr>
        <w:tc>
          <w:tcPr>
            <w:tcW w:w="300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President, Corporates</w:t>
            </w: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Borders>
              <w:right w:val="single" w:sz="8" w:color="AFAFAF"/>
            </w:tcBorders>
            <w:vMerge w:val="continue"/>
          </w:tcPr>
          <w:p>
            <w:pPr>
              <w:spacing w:after="0"/>
              <w:rPr>
                <w:sz w:val="12"/>
                <w:szCs w:val="12"/>
                <w:color w:val="auto"/>
              </w:rPr>
            </w:pPr>
          </w:p>
        </w:tc>
        <w:tc>
          <w:tcPr>
            <w:tcW w:w="54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4"/>
                <w:szCs w:val="14"/>
                <w:color w:val="auto"/>
              </w:rPr>
              <w:t>2022</w:t>
            </w:r>
          </w:p>
        </w:tc>
        <w:tc>
          <w:tcPr>
            <w:tcW w:w="96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7"/>
        </w:trPr>
        <w:tc>
          <w:tcPr>
            <w:tcW w:w="3000" w:type="dxa"/>
            <w:vAlign w:val="bottom"/>
            <w:tcBorders>
              <w:right w:val="single" w:sz="8" w:color="AFAFAF"/>
            </w:tcBorders>
          </w:tcPr>
          <w:p>
            <w:pPr>
              <w:spacing w:after="0"/>
              <w:rPr>
                <w:sz w:val="5"/>
                <w:szCs w:val="5"/>
                <w:color w:val="auto"/>
              </w:rPr>
            </w:pPr>
          </w:p>
        </w:tc>
        <w:tc>
          <w:tcPr>
            <w:tcW w:w="540" w:type="dxa"/>
            <w:vAlign w:val="bottom"/>
            <w:tcBorders>
              <w:right w:val="single" w:sz="8" w:color="AFAFAF"/>
            </w:tcBorders>
            <w:vMerge w:val="continue"/>
          </w:tcPr>
          <w:p>
            <w:pPr>
              <w:spacing w:after="0"/>
              <w:rPr>
                <w:sz w:val="5"/>
                <w:szCs w:val="5"/>
                <w:color w:val="auto"/>
              </w:rPr>
            </w:pPr>
          </w:p>
        </w:tc>
        <w:tc>
          <w:tcPr>
            <w:tcW w:w="960" w:type="dxa"/>
            <w:vAlign w:val="bottom"/>
            <w:tcBorders>
              <w:right w:val="single" w:sz="8" w:color="AFAFAF"/>
            </w:tcBorders>
            <w:vMerge w:val="continue"/>
          </w:tcPr>
          <w:p>
            <w:pPr>
              <w:spacing w:after="0"/>
              <w:rPr>
                <w:sz w:val="5"/>
                <w:szCs w:val="5"/>
                <w:color w:val="auto"/>
              </w:rPr>
            </w:pPr>
          </w:p>
        </w:tc>
        <w:tc>
          <w:tcPr>
            <w:tcW w:w="1000" w:type="dxa"/>
            <w:vAlign w:val="bottom"/>
            <w:tcBorders>
              <w:right w:val="single" w:sz="8" w:color="AFAFAF"/>
            </w:tcBorders>
            <w:vMerge w:val="continue"/>
          </w:tcPr>
          <w:p>
            <w:pPr>
              <w:spacing w:after="0"/>
              <w:rPr>
                <w:sz w:val="5"/>
                <w:szCs w:val="5"/>
                <w:color w:val="auto"/>
              </w:rPr>
            </w:pPr>
          </w:p>
        </w:tc>
        <w:tc>
          <w:tcPr>
            <w:tcW w:w="980" w:type="dxa"/>
            <w:vAlign w:val="bottom"/>
            <w:tcBorders>
              <w:right w:val="single" w:sz="8" w:color="AFAFAF"/>
            </w:tcBorders>
            <w:vMerge w:val="continue"/>
          </w:tcPr>
          <w:p>
            <w:pPr>
              <w:spacing w:after="0"/>
              <w:rPr>
                <w:sz w:val="5"/>
                <w:szCs w:val="5"/>
                <w:color w:val="auto"/>
              </w:rPr>
            </w:pPr>
          </w:p>
        </w:tc>
        <w:tc>
          <w:tcPr>
            <w:tcW w:w="1340" w:type="dxa"/>
            <w:vAlign w:val="bottom"/>
            <w:tcBorders>
              <w:right w:val="single" w:sz="8" w:color="AFAFAF"/>
            </w:tcBorders>
            <w:vMerge w:val="continue"/>
          </w:tcPr>
          <w:p>
            <w:pPr>
              <w:spacing w:after="0"/>
              <w:rPr>
                <w:sz w:val="5"/>
                <w:szCs w:val="5"/>
                <w:color w:val="auto"/>
              </w:rPr>
            </w:pPr>
          </w:p>
        </w:tc>
        <w:tc>
          <w:tcPr>
            <w:tcW w:w="820" w:type="dxa"/>
            <w:vAlign w:val="bottom"/>
            <w:tcBorders>
              <w:right w:val="single" w:sz="8" w:color="AFAFAF"/>
            </w:tcBorders>
            <w:vMerge w:val="continue"/>
          </w:tcPr>
          <w:p>
            <w:pPr>
              <w:spacing w:after="0"/>
              <w:rPr>
                <w:sz w:val="5"/>
                <w:szCs w:val="5"/>
                <w:color w:val="auto"/>
              </w:rPr>
            </w:pPr>
          </w:p>
        </w:tc>
        <w:tc>
          <w:tcPr>
            <w:tcW w:w="1160" w:type="dxa"/>
            <w:vAlign w:val="bottom"/>
            <w:tcBorders>
              <w:right w:val="single" w:sz="8" w:color="AFAFAF"/>
            </w:tcBorders>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000" w:type="dxa"/>
            <w:vAlign w:val="bottom"/>
            <w:tcBorders>
              <w:right w:val="single" w:sz="8" w:color="AFAFAF"/>
            </w:tcBorders>
          </w:tcPr>
          <w:p>
            <w:pPr>
              <w:spacing w:after="0"/>
              <w:rPr>
                <w:sz w:val="2"/>
                <w:szCs w:val="2"/>
                <w:color w:val="auto"/>
              </w:rPr>
            </w:pP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right w:val="single" w:sz="8" w:color="AFAFAF"/>
            </w:tcBorders>
          </w:tcPr>
          <w:p>
            <w:pPr>
              <w:spacing w:after="0"/>
              <w:rPr>
                <w:sz w:val="18"/>
                <w:szCs w:val="18"/>
                <w:color w:val="auto"/>
              </w:rPr>
            </w:pP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color w:val="auto"/>
              </w:rPr>
              <w:t>2021</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3000" w:type="dxa"/>
            <w:vAlign w:val="bottom"/>
            <w:tcBorders>
              <w:bottom w:val="single" w:sz="8" w:color="B94831"/>
              <w:right w:val="single" w:sz="8" w:color="AFAFAF"/>
            </w:tcBorders>
          </w:tcPr>
          <w:p>
            <w:pPr>
              <w:spacing w:after="0"/>
              <w:rPr>
                <w:sz w:val="2"/>
                <w:szCs w:val="2"/>
                <w:color w:val="auto"/>
              </w:rPr>
            </w:pPr>
          </w:p>
        </w:tc>
        <w:tc>
          <w:tcPr>
            <w:tcW w:w="540" w:type="dxa"/>
            <w:vAlign w:val="bottom"/>
            <w:tcBorders>
              <w:bottom w:val="single" w:sz="8" w:color="B94831"/>
              <w:right w:val="single" w:sz="8" w:color="AFAFAF"/>
            </w:tcBorders>
          </w:tcPr>
          <w:p>
            <w:pPr>
              <w:spacing w:after="0"/>
              <w:rPr>
                <w:sz w:val="2"/>
                <w:szCs w:val="2"/>
                <w:color w:val="auto"/>
              </w:rPr>
            </w:pPr>
          </w:p>
        </w:tc>
        <w:tc>
          <w:tcPr>
            <w:tcW w:w="960" w:type="dxa"/>
            <w:vAlign w:val="bottom"/>
            <w:tcBorders>
              <w:bottom w:val="single" w:sz="8" w:color="B94831"/>
              <w:right w:val="single" w:sz="8" w:color="AFAFAF"/>
            </w:tcBorders>
          </w:tcPr>
          <w:p>
            <w:pPr>
              <w:spacing w:after="0"/>
              <w:rPr>
                <w:sz w:val="2"/>
                <w:szCs w:val="2"/>
                <w:color w:val="auto"/>
              </w:rPr>
            </w:pPr>
          </w:p>
        </w:tc>
        <w:tc>
          <w:tcPr>
            <w:tcW w:w="1000" w:type="dxa"/>
            <w:vAlign w:val="bottom"/>
            <w:tcBorders>
              <w:bottom w:val="single" w:sz="8" w:color="B94831"/>
              <w:right w:val="single" w:sz="8" w:color="AFAFAF"/>
            </w:tcBorders>
          </w:tcPr>
          <w:p>
            <w:pPr>
              <w:spacing w:after="0"/>
              <w:rPr>
                <w:sz w:val="2"/>
                <w:szCs w:val="2"/>
                <w:color w:val="auto"/>
              </w:rPr>
            </w:pPr>
          </w:p>
        </w:tc>
        <w:tc>
          <w:tcPr>
            <w:tcW w:w="980" w:type="dxa"/>
            <w:vAlign w:val="bottom"/>
            <w:tcBorders>
              <w:bottom w:val="single" w:sz="8" w:color="B94831"/>
              <w:right w:val="single" w:sz="8" w:color="AFAFAF"/>
            </w:tcBorders>
          </w:tcPr>
          <w:p>
            <w:pPr>
              <w:spacing w:after="0"/>
              <w:rPr>
                <w:sz w:val="2"/>
                <w:szCs w:val="2"/>
                <w:color w:val="auto"/>
              </w:rPr>
            </w:pPr>
          </w:p>
        </w:tc>
        <w:tc>
          <w:tcPr>
            <w:tcW w:w="1340" w:type="dxa"/>
            <w:vAlign w:val="bottom"/>
            <w:tcBorders>
              <w:bottom w:val="single" w:sz="8" w:color="B94831"/>
              <w:right w:val="single" w:sz="8" w:color="AFAFAF"/>
            </w:tcBorders>
          </w:tcPr>
          <w:p>
            <w:pPr>
              <w:spacing w:after="0"/>
              <w:rPr>
                <w:sz w:val="2"/>
                <w:szCs w:val="2"/>
                <w:color w:val="auto"/>
              </w:rPr>
            </w:pPr>
          </w:p>
        </w:tc>
        <w:tc>
          <w:tcPr>
            <w:tcW w:w="820" w:type="dxa"/>
            <w:vAlign w:val="bottom"/>
            <w:tcBorders>
              <w:bottom w:val="single" w:sz="8" w:color="B94831"/>
              <w:right w:val="single" w:sz="8" w:color="AFAFAF"/>
            </w:tcBorders>
          </w:tcPr>
          <w:p>
            <w:pPr>
              <w:spacing w:after="0"/>
              <w:rPr>
                <w:sz w:val="2"/>
                <w:szCs w:val="2"/>
                <w:color w:val="auto"/>
              </w:rPr>
            </w:pPr>
          </w:p>
        </w:tc>
        <w:tc>
          <w:tcPr>
            <w:tcW w:w="1160" w:type="dxa"/>
            <w:vAlign w:val="bottom"/>
            <w:tcBorders>
              <w:bottom w:val="single" w:sz="8" w:color="B94831"/>
              <w:right w:val="single" w:sz="8" w:color="AFAFAF"/>
            </w:tcBorders>
          </w:tcPr>
          <w:p>
            <w:pPr>
              <w:spacing w:after="0"/>
              <w:rPr>
                <w:sz w:val="2"/>
                <w:szCs w:val="2"/>
                <w:color w:val="auto"/>
              </w:rPr>
            </w:pPr>
          </w:p>
        </w:tc>
        <w:tc>
          <w:tcPr>
            <w:tcW w:w="1120" w:type="dxa"/>
            <w:vAlign w:val="bottom"/>
            <w:tcBorders>
              <w:bottom w:val="single" w:sz="8" w:color="B94831"/>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0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Kirsty Roth</w:t>
            </w: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764,982</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1,388,335</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462,759</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937,103</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125,499</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360</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3,679,038</w:t>
            </w:r>
          </w:p>
        </w:tc>
        <w:tc>
          <w:tcPr>
            <w:tcW w:w="0" w:type="dxa"/>
            <w:vAlign w:val="bottom"/>
          </w:tcPr>
          <w:p>
            <w:pPr>
              <w:spacing w:after="0"/>
              <w:rPr>
                <w:sz w:val="1"/>
                <w:szCs w:val="1"/>
                <w:color w:val="auto"/>
              </w:rPr>
            </w:pPr>
          </w:p>
        </w:tc>
      </w:tr>
      <w:tr>
        <w:trPr>
          <w:trHeight w:val="28"/>
        </w:trPr>
        <w:tc>
          <w:tcPr>
            <w:tcW w:w="300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Chief Operations and Technology Officer</w:t>
            </w: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Borders>
              <w:right w:val="single" w:sz="8" w:color="AFAFAF"/>
            </w:tcBorders>
            <w:vMerge w:val="continue"/>
          </w:tcPr>
          <w:p>
            <w:pPr>
              <w:spacing w:after="0"/>
              <w:rPr>
                <w:sz w:val="12"/>
                <w:szCs w:val="12"/>
                <w:color w:val="auto"/>
              </w:rPr>
            </w:pPr>
          </w:p>
        </w:tc>
        <w:tc>
          <w:tcPr>
            <w:tcW w:w="54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4"/>
                <w:szCs w:val="14"/>
                <w:color w:val="auto"/>
              </w:rPr>
              <w:t>2022</w:t>
            </w:r>
          </w:p>
        </w:tc>
        <w:tc>
          <w:tcPr>
            <w:tcW w:w="96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716,038</w:t>
            </w:r>
          </w:p>
        </w:tc>
        <w:tc>
          <w:tcPr>
            <w:tcW w:w="100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1,389,138</w:t>
            </w:r>
          </w:p>
        </w:tc>
        <w:tc>
          <w:tcPr>
            <w:tcW w:w="98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463,028</w:t>
            </w:r>
          </w:p>
        </w:tc>
        <w:tc>
          <w:tcPr>
            <w:tcW w:w="134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1,074,056</w:t>
            </w:r>
          </w:p>
        </w:tc>
        <w:tc>
          <w:tcPr>
            <w:tcW w:w="82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149,799</w:t>
            </w:r>
          </w:p>
        </w:tc>
        <w:tc>
          <w:tcPr>
            <w:tcW w:w="116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6,037</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3,798,096</w:t>
            </w:r>
          </w:p>
        </w:tc>
        <w:tc>
          <w:tcPr>
            <w:tcW w:w="0" w:type="dxa"/>
            <w:vAlign w:val="bottom"/>
          </w:tcPr>
          <w:p>
            <w:pPr>
              <w:spacing w:after="0"/>
              <w:rPr>
                <w:sz w:val="1"/>
                <w:szCs w:val="1"/>
                <w:color w:val="auto"/>
              </w:rPr>
            </w:pPr>
          </w:p>
        </w:tc>
      </w:tr>
      <w:tr>
        <w:trPr>
          <w:trHeight w:val="67"/>
        </w:trPr>
        <w:tc>
          <w:tcPr>
            <w:tcW w:w="3000" w:type="dxa"/>
            <w:vAlign w:val="bottom"/>
            <w:tcBorders>
              <w:right w:val="single" w:sz="8" w:color="AFAFAF"/>
            </w:tcBorders>
          </w:tcPr>
          <w:p>
            <w:pPr>
              <w:spacing w:after="0"/>
              <w:rPr>
                <w:sz w:val="5"/>
                <w:szCs w:val="5"/>
                <w:color w:val="auto"/>
              </w:rPr>
            </w:pPr>
          </w:p>
        </w:tc>
        <w:tc>
          <w:tcPr>
            <w:tcW w:w="540" w:type="dxa"/>
            <w:vAlign w:val="bottom"/>
            <w:tcBorders>
              <w:right w:val="single" w:sz="8" w:color="AFAFAF"/>
            </w:tcBorders>
            <w:vMerge w:val="continue"/>
          </w:tcPr>
          <w:p>
            <w:pPr>
              <w:spacing w:after="0"/>
              <w:rPr>
                <w:sz w:val="5"/>
                <w:szCs w:val="5"/>
                <w:color w:val="auto"/>
              </w:rPr>
            </w:pPr>
          </w:p>
        </w:tc>
        <w:tc>
          <w:tcPr>
            <w:tcW w:w="960" w:type="dxa"/>
            <w:vAlign w:val="bottom"/>
            <w:tcBorders>
              <w:right w:val="single" w:sz="8" w:color="AFAFAF"/>
            </w:tcBorders>
            <w:vMerge w:val="continue"/>
          </w:tcPr>
          <w:p>
            <w:pPr>
              <w:spacing w:after="0"/>
              <w:rPr>
                <w:sz w:val="5"/>
                <w:szCs w:val="5"/>
                <w:color w:val="auto"/>
              </w:rPr>
            </w:pPr>
          </w:p>
        </w:tc>
        <w:tc>
          <w:tcPr>
            <w:tcW w:w="1000" w:type="dxa"/>
            <w:vAlign w:val="bottom"/>
            <w:tcBorders>
              <w:right w:val="single" w:sz="8" w:color="AFAFAF"/>
            </w:tcBorders>
            <w:vMerge w:val="continue"/>
          </w:tcPr>
          <w:p>
            <w:pPr>
              <w:spacing w:after="0"/>
              <w:rPr>
                <w:sz w:val="5"/>
                <w:szCs w:val="5"/>
                <w:color w:val="auto"/>
              </w:rPr>
            </w:pPr>
          </w:p>
        </w:tc>
        <w:tc>
          <w:tcPr>
            <w:tcW w:w="980" w:type="dxa"/>
            <w:vAlign w:val="bottom"/>
            <w:tcBorders>
              <w:right w:val="single" w:sz="8" w:color="AFAFAF"/>
            </w:tcBorders>
            <w:vMerge w:val="continue"/>
          </w:tcPr>
          <w:p>
            <w:pPr>
              <w:spacing w:after="0"/>
              <w:rPr>
                <w:sz w:val="5"/>
                <w:szCs w:val="5"/>
                <w:color w:val="auto"/>
              </w:rPr>
            </w:pPr>
          </w:p>
        </w:tc>
        <w:tc>
          <w:tcPr>
            <w:tcW w:w="1340" w:type="dxa"/>
            <w:vAlign w:val="bottom"/>
            <w:tcBorders>
              <w:right w:val="single" w:sz="8" w:color="AFAFAF"/>
            </w:tcBorders>
            <w:vMerge w:val="continue"/>
          </w:tcPr>
          <w:p>
            <w:pPr>
              <w:spacing w:after="0"/>
              <w:rPr>
                <w:sz w:val="5"/>
                <w:szCs w:val="5"/>
                <w:color w:val="auto"/>
              </w:rPr>
            </w:pPr>
          </w:p>
        </w:tc>
        <w:tc>
          <w:tcPr>
            <w:tcW w:w="820" w:type="dxa"/>
            <w:vAlign w:val="bottom"/>
            <w:tcBorders>
              <w:right w:val="single" w:sz="8" w:color="AFAFAF"/>
            </w:tcBorders>
            <w:vMerge w:val="continue"/>
          </w:tcPr>
          <w:p>
            <w:pPr>
              <w:spacing w:after="0"/>
              <w:rPr>
                <w:sz w:val="5"/>
                <w:szCs w:val="5"/>
                <w:color w:val="auto"/>
              </w:rPr>
            </w:pPr>
          </w:p>
        </w:tc>
        <w:tc>
          <w:tcPr>
            <w:tcW w:w="1160" w:type="dxa"/>
            <w:vAlign w:val="bottom"/>
            <w:tcBorders>
              <w:right w:val="single" w:sz="8" w:color="AFAFAF"/>
            </w:tcBorders>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000" w:type="dxa"/>
            <w:vAlign w:val="bottom"/>
            <w:tcBorders>
              <w:right w:val="single" w:sz="8" w:color="AFAFAF"/>
            </w:tcBorders>
          </w:tcPr>
          <w:p>
            <w:pPr>
              <w:spacing w:after="0"/>
              <w:rPr>
                <w:sz w:val="2"/>
                <w:szCs w:val="2"/>
                <w:color w:val="auto"/>
              </w:rPr>
            </w:pP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right w:val="single" w:sz="8" w:color="AFAFAF"/>
            </w:tcBorders>
          </w:tcPr>
          <w:p>
            <w:pPr>
              <w:spacing w:after="0"/>
              <w:rPr>
                <w:sz w:val="18"/>
                <w:szCs w:val="18"/>
                <w:color w:val="auto"/>
              </w:rPr>
            </w:pP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color w:val="auto"/>
              </w:rPr>
              <w:t>2021</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738,054</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1,288,704</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429,536</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1,540,687</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237,614</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7,850</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4,242,445</w:t>
            </w:r>
          </w:p>
        </w:tc>
        <w:tc>
          <w:tcPr>
            <w:tcW w:w="0" w:type="dxa"/>
            <w:vAlign w:val="bottom"/>
          </w:tcPr>
          <w:p>
            <w:pPr>
              <w:spacing w:after="0"/>
              <w:rPr>
                <w:sz w:val="1"/>
                <w:szCs w:val="1"/>
                <w:color w:val="auto"/>
              </w:rPr>
            </w:pPr>
          </w:p>
        </w:tc>
      </w:tr>
      <w:tr>
        <w:trPr>
          <w:trHeight w:val="34"/>
        </w:trPr>
        <w:tc>
          <w:tcPr>
            <w:tcW w:w="3000" w:type="dxa"/>
            <w:vAlign w:val="bottom"/>
            <w:tcBorders>
              <w:bottom w:val="single" w:sz="8" w:color="B94831"/>
              <w:right w:val="single" w:sz="8" w:color="AFAFAF"/>
            </w:tcBorders>
          </w:tcPr>
          <w:p>
            <w:pPr>
              <w:spacing w:after="0"/>
              <w:rPr>
                <w:sz w:val="2"/>
                <w:szCs w:val="2"/>
                <w:color w:val="auto"/>
              </w:rPr>
            </w:pPr>
          </w:p>
        </w:tc>
        <w:tc>
          <w:tcPr>
            <w:tcW w:w="540" w:type="dxa"/>
            <w:vAlign w:val="bottom"/>
            <w:tcBorders>
              <w:bottom w:val="single" w:sz="8" w:color="B94831"/>
              <w:right w:val="single" w:sz="8" w:color="AFAFAF"/>
            </w:tcBorders>
          </w:tcPr>
          <w:p>
            <w:pPr>
              <w:spacing w:after="0"/>
              <w:rPr>
                <w:sz w:val="2"/>
                <w:szCs w:val="2"/>
                <w:color w:val="auto"/>
              </w:rPr>
            </w:pPr>
          </w:p>
        </w:tc>
        <w:tc>
          <w:tcPr>
            <w:tcW w:w="960" w:type="dxa"/>
            <w:vAlign w:val="bottom"/>
            <w:tcBorders>
              <w:bottom w:val="single" w:sz="8" w:color="B94831"/>
              <w:right w:val="single" w:sz="8" w:color="AFAFAF"/>
            </w:tcBorders>
          </w:tcPr>
          <w:p>
            <w:pPr>
              <w:spacing w:after="0"/>
              <w:rPr>
                <w:sz w:val="2"/>
                <w:szCs w:val="2"/>
                <w:color w:val="auto"/>
              </w:rPr>
            </w:pPr>
          </w:p>
        </w:tc>
        <w:tc>
          <w:tcPr>
            <w:tcW w:w="1000" w:type="dxa"/>
            <w:vAlign w:val="bottom"/>
            <w:tcBorders>
              <w:bottom w:val="single" w:sz="8" w:color="B94831"/>
              <w:right w:val="single" w:sz="8" w:color="AFAFAF"/>
            </w:tcBorders>
          </w:tcPr>
          <w:p>
            <w:pPr>
              <w:spacing w:after="0"/>
              <w:rPr>
                <w:sz w:val="2"/>
                <w:szCs w:val="2"/>
                <w:color w:val="auto"/>
              </w:rPr>
            </w:pPr>
          </w:p>
        </w:tc>
        <w:tc>
          <w:tcPr>
            <w:tcW w:w="980" w:type="dxa"/>
            <w:vAlign w:val="bottom"/>
            <w:tcBorders>
              <w:bottom w:val="single" w:sz="8" w:color="B94831"/>
              <w:right w:val="single" w:sz="8" w:color="AFAFAF"/>
            </w:tcBorders>
          </w:tcPr>
          <w:p>
            <w:pPr>
              <w:spacing w:after="0"/>
              <w:rPr>
                <w:sz w:val="2"/>
                <w:szCs w:val="2"/>
                <w:color w:val="auto"/>
              </w:rPr>
            </w:pPr>
          </w:p>
        </w:tc>
        <w:tc>
          <w:tcPr>
            <w:tcW w:w="1340" w:type="dxa"/>
            <w:vAlign w:val="bottom"/>
            <w:tcBorders>
              <w:bottom w:val="single" w:sz="8" w:color="B94831"/>
              <w:right w:val="single" w:sz="8" w:color="AFAFAF"/>
            </w:tcBorders>
          </w:tcPr>
          <w:p>
            <w:pPr>
              <w:spacing w:after="0"/>
              <w:rPr>
                <w:sz w:val="2"/>
                <w:szCs w:val="2"/>
                <w:color w:val="auto"/>
              </w:rPr>
            </w:pPr>
          </w:p>
        </w:tc>
        <w:tc>
          <w:tcPr>
            <w:tcW w:w="820" w:type="dxa"/>
            <w:vAlign w:val="bottom"/>
            <w:tcBorders>
              <w:bottom w:val="single" w:sz="8" w:color="B94831"/>
              <w:right w:val="single" w:sz="8" w:color="AFAFAF"/>
            </w:tcBorders>
          </w:tcPr>
          <w:p>
            <w:pPr>
              <w:spacing w:after="0"/>
              <w:rPr>
                <w:sz w:val="2"/>
                <w:szCs w:val="2"/>
                <w:color w:val="auto"/>
              </w:rPr>
            </w:pPr>
          </w:p>
        </w:tc>
        <w:tc>
          <w:tcPr>
            <w:tcW w:w="1160" w:type="dxa"/>
            <w:vAlign w:val="bottom"/>
            <w:tcBorders>
              <w:bottom w:val="single" w:sz="8" w:color="B94831"/>
              <w:right w:val="single" w:sz="8" w:color="AFAFAF"/>
            </w:tcBorders>
          </w:tcPr>
          <w:p>
            <w:pPr>
              <w:spacing w:after="0"/>
              <w:rPr>
                <w:sz w:val="2"/>
                <w:szCs w:val="2"/>
                <w:color w:val="auto"/>
              </w:rPr>
            </w:pPr>
          </w:p>
        </w:tc>
        <w:tc>
          <w:tcPr>
            <w:tcW w:w="1120" w:type="dxa"/>
            <w:vAlign w:val="bottom"/>
            <w:tcBorders>
              <w:bottom w:val="single" w:sz="8" w:color="B94831"/>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0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Paul Bascobert</w:t>
            </w: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750,000</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1,125,095</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375,007</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b w:val="1"/>
                <w:bCs w:val="1"/>
                <w:color w:val="auto"/>
              </w:rPr>
              <w:t>918,750</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b w:val="1"/>
                <w:bCs w:val="1"/>
                <w:color w:val="auto"/>
              </w:rPr>
              <w:t>40,124</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3,208,976</w:t>
            </w:r>
          </w:p>
        </w:tc>
        <w:tc>
          <w:tcPr>
            <w:tcW w:w="0" w:type="dxa"/>
            <w:vAlign w:val="bottom"/>
          </w:tcPr>
          <w:p>
            <w:pPr>
              <w:spacing w:after="0"/>
              <w:rPr>
                <w:sz w:val="1"/>
                <w:szCs w:val="1"/>
                <w:color w:val="auto"/>
              </w:rPr>
            </w:pPr>
          </w:p>
        </w:tc>
      </w:tr>
      <w:tr>
        <w:trPr>
          <w:trHeight w:val="28"/>
        </w:trPr>
        <w:tc>
          <w:tcPr>
            <w:tcW w:w="3000" w:type="dxa"/>
            <w:vAlign w:val="bottom"/>
            <w:tcBorders>
              <w:right w:val="single" w:sz="8" w:color="AFAFAF"/>
            </w:tcBorders>
            <w:vMerge w:val="restart"/>
          </w:tcPr>
          <w:p>
            <w:pPr>
              <w:ind w:left="100"/>
              <w:spacing w:after="0"/>
              <w:rPr>
                <w:sz w:val="20"/>
                <w:szCs w:val="20"/>
                <w:color w:val="auto"/>
              </w:rPr>
            </w:pPr>
            <w:r>
              <w:rPr>
                <w:rFonts w:ascii="Arial" w:cs="Arial" w:eastAsia="Arial" w:hAnsi="Arial"/>
                <w:sz w:val="14"/>
                <w:szCs w:val="14"/>
                <w:color w:val="auto"/>
              </w:rPr>
              <w:t>President, Reuters News</w:t>
            </w: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Borders>
              <w:right w:val="single" w:sz="8" w:color="AFAFAF"/>
            </w:tcBorders>
            <w:vMerge w:val="continue"/>
          </w:tcPr>
          <w:p>
            <w:pPr>
              <w:spacing w:after="0"/>
              <w:rPr>
                <w:sz w:val="12"/>
                <w:szCs w:val="12"/>
                <w:color w:val="auto"/>
              </w:rPr>
            </w:pPr>
          </w:p>
        </w:tc>
        <w:tc>
          <w:tcPr>
            <w:tcW w:w="540" w:type="dxa"/>
            <w:vAlign w:val="bottom"/>
            <w:tcBorders>
              <w:right w:val="single" w:sz="8" w:color="AFAFAF"/>
            </w:tcBorders>
            <w:vMerge w:val="restart"/>
          </w:tcPr>
          <w:p>
            <w:pPr>
              <w:ind w:left="120"/>
              <w:spacing w:after="0"/>
              <w:rPr>
                <w:sz w:val="20"/>
                <w:szCs w:val="20"/>
                <w:color w:val="auto"/>
              </w:rPr>
            </w:pPr>
            <w:r>
              <w:rPr>
                <w:rFonts w:ascii="Arial" w:cs="Arial" w:eastAsia="Arial" w:hAnsi="Arial"/>
                <w:sz w:val="14"/>
                <w:szCs w:val="14"/>
                <w:color w:val="auto"/>
              </w:rPr>
              <w:t>2022</w:t>
            </w:r>
          </w:p>
        </w:tc>
        <w:tc>
          <w:tcPr>
            <w:tcW w:w="96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213,699</w:t>
            </w:r>
          </w:p>
        </w:tc>
        <w:tc>
          <w:tcPr>
            <w:tcW w:w="100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300,028</w:t>
            </w:r>
          </w:p>
        </w:tc>
        <w:tc>
          <w:tcPr>
            <w:tcW w:w="98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FAFAF"/>
            </w:tcBorders>
            <w:vMerge w:val="restart"/>
          </w:tcPr>
          <w:p>
            <w:pPr>
              <w:jc w:val="right"/>
              <w:ind w:right="28"/>
              <w:spacing w:after="0"/>
              <w:rPr>
                <w:sz w:val="20"/>
                <w:szCs w:val="20"/>
                <w:color w:val="auto"/>
              </w:rPr>
            </w:pPr>
            <w:r>
              <w:rPr>
                <w:rFonts w:ascii="Arial" w:cs="Arial" w:eastAsia="Arial" w:hAnsi="Arial"/>
                <w:sz w:val="14"/>
                <w:szCs w:val="14"/>
                <w:color w:val="auto"/>
              </w:rPr>
              <w:t>320,548</w:t>
            </w:r>
          </w:p>
        </w:tc>
        <w:tc>
          <w:tcPr>
            <w:tcW w:w="82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vMerge w:val="restart"/>
          </w:tcPr>
          <w:p>
            <w:pPr>
              <w:jc w:val="right"/>
              <w:ind w:right="29"/>
              <w:spacing w:after="0"/>
              <w:rPr>
                <w:sz w:val="20"/>
                <w:szCs w:val="20"/>
                <w:color w:val="auto"/>
              </w:rPr>
            </w:pPr>
            <w:r>
              <w:rPr>
                <w:rFonts w:ascii="Arial" w:cs="Arial" w:eastAsia="Arial" w:hAnsi="Arial"/>
                <w:sz w:val="14"/>
                <w:szCs w:val="14"/>
                <w:color w:val="auto"/>
              </w:rPr>
              <w:t>10,082</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844,357</w:t>
            </w:r>
          </w:p>
        </w:tc>
        <w:tc>
          <w:tcPr>
            <w:tcW w:w="0" w:type="dxa"/>
            <w:vAlign w:val="bottom"/>
          </w:tcPr>
          <w:p>
            <w:pPr>
              <w:spacing w:after="0"/>
              <w:rPr>
                <w:sz w:val="1"/>
                <w:szCs w:val="1"/>
                <w:color w:val="auto"/>
              </w:rPr>
            </w:pPr>
          </w:p>
        </w:tc>
      </w:tr>
      <w:tr>
        <w:trPr>
          <w:trHeight w:val="67"/>
        </w:trPr>
        <w:tc>
          <w:tcPr>
            <w:tcW w:w="3000" w:type="dxa"/>
            <w:vAlign w:val="bottom"/>
            <w:tcBorders>
              <w:right w:val="single" w:sz="8" w:color="AFAFAF"/>
            </w:tcBorders>
          </w:tcPr>
          <w:p>
            <w:pPr>
              <w:spacing w:after="0"/>
              <w:rPr>
                <w:sz w:val="5"/>
                <w:szCs w:val="5"/>
                <w:color w:val="auto"/>
              </w:rPr>
            </w:pPr>
          </w:p>
        </w:tc>
        <w:tc>
          <w:tcPr>
            <w:tcW w:w="540" w:type="dxa"/>
            <w:vAlign w:val="bottom"/>
            <w:tcBorders>
              <w:right w:val="single" w:sz="8" w:color="AFAFAF"/>
            </w:tcBorders>
            <w:vMerge w:val="continue"/>
          </w:tcPr>
          <w:p>
            <w:pPr>
              <w:spacing w:after="0"/>
              <w:rPr>
                <w:sz w:val="5"/>
                <w:szCs w:val="5"/>
                <w:color w:val="auto"/>
              </w:rPr>
            </w:pPr>
          </w:p>
        </w:tc>
        <w:tc>
          <w:tcPr>
            <w:tcW w:w="960" w:type="dxa"/>
            <w:vAlign w:val="bottom"/>
            <w:tcBorders>
              <w:right w:val="single" w:sz="8" w:color="AFAFAF"/>
            </w:tcBorders>
            <w:vMerge w:val="continue"/>
          </w:tcPr>
          <w:p>
            <w:pPr>
              <w:spacing w:after="0"/>
              <w:rPr>
                <w:sz w:val="5"/>
                <w:szCs w:val="5"/>
                <w:color w:val="auto"/>
              </w:rPr>
            </w:pPr>
          </w:p>
        </w:tc>
        <w:tc>
          <w:tcPr>
            <w:tcW w:w="1000" w:type="dxa"/>
            <w:vAlign w:val="bottom"/>
            <w:tcBorders>
              <w:right w:val="single" w:sz="8" w:color="AFAFAF"/>
            </w:tcBorders>
            <w:vMerge w:val="continue"/>
          </w:tcPr>
          <w:p>
            <w:pPr>
              <w:spacing w:after="0"/>
              <w:rPr>
                <w:sz w:val="5"/>
                <w:szCs w:val="5"/>
                <w:color w:val="auto"/>
              </w:rPr>
            </w:pPr>
          </w:p>
        </w:tc>
        <w:tc>
          <w:tcPr>
            <w:tcW w:w="980" w:type="dxa"/>
            <w:vAlign w:val="bottom"/>
            <w:tcBorders>
              <w:right w:val="single" w:sz="8" w:color="AFAFAF"/>
            </w:tcBorders>
            <w:vMerge w:val="continue"/>
          </w:tcPr>
          <w:p>
            <w:pPr>
              <w:spacing w:after="0"/>
              <w:rPr>
                <w:sz w:val="5"/>
                <w:szCs w:val="5"/>
                <w:color w:val="auto"/>
              </w:rPr>
            </w:pPr>
          </w:p>
        </w:tc>
        <w:tc>
          <w:tcPr>
            <w:tcW w:w="1340" w:type="dxa"/>
            <w:vAlign w:val="bottom"/>
            <w:tcBorders>
              <w:right w:val="single" w:sz="8" w:color="AFAFAF"/>
            </w:tcBorders>
            <w:vMerge w:val="continue"/>
          </w:tcPr>
          <w:p>
            <w:pPr>
              <w:spacing w:after="0"/>
              <w:rPr>
                <w:sz w:val="5"/>
                <w:szCs w:val="5"/>
                <w:color w:val="auto"/>
              </w:rPr>
            </w:pPr>
          </w:p>
        </w:tc>
        <w:tc>
          <w:tcPr>
            <w:tcW w:w="820" w:type="dxa"/>
            <w:vAlign w:val="bottom"/>
            <w:tcBorders>
              <w:right w:val="single" w:sz="8" w:color="AFAFAF"/>
            </w:tcBorders>
            <w:vMerge w:val="continue"/>
          </w:tcPr>
          <w:p>
            <w:pPr>
              <w:spacing w:after="0"/>
              <w:rPr>
                <w:sz w:val="5"/>
                <w:szCs w:val="5"/>
                <w:color w:val="auto"/>
              </w:rPr>
            </w:pPr>
          </w:p>
        </w:tc>
        <w:tc>
          <w:tcPr>
            <w:tcW w:w="1160" w:type="dxa"/>
            <w:vAlign w:val="bottom"/>
            <w:tcBorders>
              <w:right w:val="single" w:sz="8" w:color="AFAFAF"/>
            </w:tcBorders>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000" w:type="dxa"/>
            <w:vAlign w:val="bottom"/>
            <w:tcBorders>
              <w:right w:val="single" w:sz="8" w:color="AFAFAF"/>
            </w:tcBorders>
          </w:tcPr>
          <w:p>
            <w:pPr>
              <w:spacing w:after="0"/>
              <w:rPr>
                <w:sz w:val="2"/>
                <w:szCs w:val="2"/>
                <w:color w:val="auto"/>
              </w:rPr>
            </w:pPr>
          </w:p>
        </w:tc>
        <w:tc>
          <w:tcPr>
            <w:tcW w:w="540" w:type="dxa"/>
            <w:vAlign w:val="bottom"/>
            <w:tcBorders>
              <w:bottom w:val="single" w:sz="8" w:color="auto"/>
              <w:right w:val="single" w:sz="8" w:color="AFAFAF"/>
            </w:tcBorders>
          </w:tcPr>
          <w:p>
            <w:pPr>
              <w:spacing w:after="0"/>
              <w:rPr>
                <w:sz w:val="2"/>
                <w:szCs w:val="2"/>
                <w:color w:val="auto"/>
              </w:rPr>
            </w:pPr>
          </w:p>
        </w:tc>
        <w:tc>
          <w:tcPr>
            <w:tcW w:w="960" w:type="dxa"/>
            <w:vAlign w:val="bottom"/>
            <w:tcBorders>
              <w:bottom w:val="single" w:sz="8" w:color="auto"/>
              <w:right w:val="single" w:sz="8" w:color="AFAFAF"/>
            </w:tcBorders>
          </w:tcPr>
          <w:p>
            <w:pPr>
              <w:spacing w:after="0"/>
              <w:rPr>
                <w:sz w:val="2"/>
                <w:szCs w:val="2"/>
                <w:color w:val="auto"/>
              </w:rPr>
            </w:pPr>
          </w:p>
        </w:tc>
        <w:tc>
          <w:tcPr>
            <w:tcW w:w="1000" w:type="dxa"/>
            <w:vAlign w:val="bottom"/>
            <w:tcBorders>
              <w:bottom w:val="single" w:sz="8" w:color="auto"/>
              <w:right w:val="single" w:sz="8" w:color="AFAFAF"/>
            </w:tcBorders>
          </w:tcPr>
          <w:p>
            <w:pPr>
              <w:spacing w:after="0"/>
              <w:rPr>
                <w:sz w:val="2"/>
                <w:szCs w:val="2"/>
                <w:color w:val="auto"/>
              </w:rPr>
            </w:pPr>
          </w:p>
        </w:tc>
        <w:tc>
          <w:tcPr>
            <w:tcW w:w="980" w:type="dxa"/>
            <w:vAlign w:val="bottom"/>
            <w:tcBorders>
              <w:bottom w:val="single" w:sz="8" w:color="auto"/>
              <w:right w:val="single" w:sz="8" w:color="AFAFAF"/>
            </w:tcBorders>
          </w:tcPr>
          <w:p>
            <w:pPr>
              <w:spacing w:after="0"/>
              <w:rPr>
                <w:sz w:val="2"/>
                <w:szCs w:val="2"/>
                <w:color w:val="auto"/>
              </w:rPr>
            </w:pPr>
          </w:p>
        </w:tc>
        <w:tc>
          <w:tcPr>
            <w:tcW w:w="1340" w:type="dxa"/>
            <w:vAlign w:val="bottom"/>
            <w:tcBorders>
              <w:bottom w:val="single" w:sz="8" w:color="auto"/>
              <w:right w:val="single" w:sz="8" w:color="AFAFAF"/>
            </w:tcBorders>
          </w:tcPr>
          <w:p>
            <w:pPr>
              <w:spacing w:after="0"/>
              <w:rPr>
                <w:sz w:val="2"/>
                <w:szCs w:val="2"/>
                <w:color w:val="auto"/>
              </w:rPr>
            </w:pPr>
          </w:p>
        </w:tc>
        <w:tc>
          <w:tcPr>
            <w:tcW w:w="820" w:type="dxa"/>
            <w:vAlign w:val="bottom"/>
            <w:tcBorders>
              <w:bottom w:val="single" w:sz="8" w:color="auto"/>
              <w:right w:val="single" w:sz="8" w:color="AFAFAF"/>
            </w:tcBorders>
          </w:tcPr>
          <w:p>
            <w:pPr>
              <w:spacing w:after="0"/>
              <w:rPr>
                <w:sz w:val="2"/>
                <w:szCs w:val="2"/>
                <w:color w:val="auto"/>
              </w:rPr>
            </w:pPr>
          </w:p>
        </w:tc>
        <w:tc>
          <w:tcPr>
            <w:tcW w:w="1160" w:type="dxa"/>
            <w:vAlign w:val="bottom"/>
            <w:tcBorders>
              <w:bottom w:val="single" w:sz="8" w:color="auto"/>
              <w:right w:val="single" w:sz="8" w:color="AFAFA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0" w:type="dxa"/>
            <w:vAlign w:val="bottom"/>
            <w:tcBorders>
              <w:right w:val="single" w:sz="8" w:color="AFAFAF"/>
            </w:tcBorders>
          </w:tcPr>
          <w:p>
            <w:pPr>
              <w:spacing w:after="0"/>
              <w:rPr>
                <w:sz w:val="18"/>
                <w:szCs w:val="18"/>
                <w:color w:val="auto"/>
              </w:rPr>
            </w:pPr>
          </w:p>
        </w:tc>
        <w:tc>
          <w:tcPr>
            <w:tcW w:w="540" w:type="dxa"/>
            <w:vAlign w:val="bottom"/>
            <w:tcBorders>
              <w:right w:val="single" w:sz="8" w:color="AFAFAF"/>
            </w:tcBorders>
          </w:tcPr>
          <w:p>
            <w:pPr>
              <w:ind w:left="120"/>
              <w:spacing w:after="0"/>
              <w:rPr>
                <w:sz w:val="20"/>
                <w:szCs w:val="20"/>
                <w:color w:val="auto"/>
              </w:rPr>
            </w:pPr>
            <w:r>
              <w:rPr>
                <w:rFonts w:ascii="Arial" w:cs="Arial" w:eastAsia="Arial" w:hAnsi="Arial"/>
                <w:sz w:val="14"/>
                <w:szCs w:val="14"/>
                <w:color w:val="auto"/>
              </w:rPr>
              <w:t>2021</w:t>
            </w:r>
          </w:p>
        </w:tc>
        <w:tc>
          <w:tcPr>
            <w:tcW w:w="96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FAFAF"/>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FAFAF"/>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3000" w:type="dxa"/>
            <w:vAlign w:val="bottom"/>
            <w:tcBorders>
              <w:bottom w:val="single" w:sz="8" w:color="B94831"/>
              <w:right w:val="single" w:sz="8" w:color="AFAFAF"/>
            </w:tcBorders>
          </w:tcPr>
          <w:p>
            <w:pPr>
              <w:spacing w:after="0"/>
              <w:rPr>
                <w:sz w:val="2"/>
                <w:szCs w:val="2"/>
                <w:color w:val="auto"/>
              </w:rPr>
            </w:pPr>
          </w:p>
        </w:tc>
        <w:tc>
          <w:tcPr>
            <w:tcW w:w="540" w:type="dxa"/>
            <w:vAlign w:val="bottom"/>
            <w:tcBorders>
              <w:bottom w:val="single" w:sz="8" w:color="B94831"/>
              <w:right w:val="single" w:sz="8" w:color="AFAFAF"/>
            </w:tcBorders>
          </w:tcPr>
          <w:p>
            <w:pPr>
              <w:spacing w:after="0"/>
              <w:rPr>
                <w:sz w:val="2"/>
                <w:szCs w:val="2"/>
                <w:color w:val="auto"/>
              </w:rPr>
            </w:pPr>
          </w:p>
        </w:tc>
        <w:tc>
          <w:tcPr>
            <w:tcW w:w="960" w:type="dxa"/>
            <w:vAlign w:val="bottom"/>
            <w:tcBorders>
              <w:bottom w:val="single" w:sz="8" w:color="B94831"/>
              <w:right w:val="single" w:sz="8" w:color="AFAFAF"/>
            </w:tcBorders>
          </w:tcPr>
          <w:p>
            <w:pPr>
              <w:spacing w:after="0"/>
              <w:rPr>
                <w:sz w:val="2"/>
                <w:szCs w:val="2"/>
                <w:color w:val="auto"/>
              </w:rPr>
            </w:pPr>
          </w:p>
        </w:tc>
        <w:tc>
          <w:tcPr>
            <w:tcW w:w="1000" w:type="dxa"/>
            <w:vAlign w:val="bottom"/>
            <w:tcBorders>
              <w:bottom w:val="single" w:sz="8" w:color="B94831"/>
              <w:right w:val="single" w:sz="8" w:color="AFAFAF"/>
            </w:tcBorders>
          </w:tcPr>
          <w:p>
            <w:pPr>
              <w:spacing w:after="0"/>
              <w:rPr>
                <w:sz w:val="2"/>
                <w:szCs w:val="2"/>
                <w:color w:val="auto"/>
              </w:rPr>
            </w:pPr>
          </w:p>
        </w:tc>
        <w:tc>
          <w:tcPr>
            <w:tcW w:w="980" w:type="dxa"/>
            <w:vAlign w:val="bottom"/>
            <w:tcBorders>
              <w:bottom w:val="single" w:sz="8" w:color="B94831"/>
              <w:right w:val="single" w:sz="8" w:color="AFAFAF"/>
            </w:tcBorders>
          </w:tcPr>
          <w:p>
            <w:pPr>
              <w:spacing w:after="0"/>
              <w:rPr>
                <w:sz w:val="2"/>
                <w:szCs w:val="2"/>
                <w:color w:val="auto"/>
              </w:rPr>
            </w:pPr>
          </w:p>
        </w:tc>
        <w:tc>
          <w:tcPr>
            <w:tcW w:w="1340" w:type="dxa"/>
            <w:vAlign w:val="bottom"/>
            <w:tcBorders>
              <w:bottom w:val="single" w:sz="8" w:color="B94831"/>
              <w:right w:val="single" w:sz="8" w:color="AFAFAF"/>
            </w:tcBorders>
          </w:tcPr>
          <w:p>
            <w:pPr>
              <w:spacing w:after="0"/>
              <w:rPr>
                <w:sz w:val="2"/>
                <w:szCs w:val="2"/>
                <w:color w:val="auto"/>
              </w:rPr>
            </w:pPr>
          </w:p>
        </w:tc>
        <w:tc>
          <w:tcPr>
            <w:tcW w:w="820" w:type="dxa"/>
            <w:vAlign w:val="bottom"/>
            <w:tcBorders>
              <w:bottom w:val="single" w:sz="8" w:color="B94831"/>
              <w:right w:val="single" w:sz="8" w:color="AFAFAF"/>
            </w:tcBorders>
          </w:tcPr>
          <w:p>
            <w:pPr>
              <w:spacing w:after="0"/>
              <w:rPr>
                <w:sz w:val="2"/>
                <w:szCs w:val="2"/>
                <w:color w:val="auto"/>
              </w:rPr>
            </w:pPr>
          </w:p>
        </w:tc>
        <w:tc>
          <w:tcPr>
            <w:tcW w:w="1160" w:type="dxa"/>
            <w:vAlign w:val="bottom"/>
            <w:tcBorders>
              <w:bottom w:val="single" w:sz="8" w:color="B94831"/>
              <w:right w:val="single" w:sz="8" w:color="AFAFAF"/>
            </w:tcBorders>
          </w:tcPr>
          <w:p>
            <w:pPr>
              <w:spacing w:after="0"/>
              <w:rPr>
                <w:sz w:val="2"/>
                <w:szCs w:val="2"/>
                <w:color w:val="auto"/>
              </w:rPr>
            </w:pPr>
          </w:p>
        </w:tc>
        <w:tc>
          <w:tcPr>
            <w:tcW w:w="1120" w:type="dxa"/>
            <w:vAlign w:val="bottom"/>
            <w:tcBorders>
              <w:bottom w:val="single" w:sz="8" w:color="B9483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-2894965</wp:posOffset>
            </wp:positionV>
            <wp:extent cx="8255" cy="3479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34798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-2894965</wp:posOffset>
            </wp:positionV>
            <wp:extent cx="8255" cy="3479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34798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-2894965</wp:posOffset>
            </wp:positionV>
            <wp:extent cx="8255" cy="3479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34798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-2894965</wp:posOffset>
            </wp:positionV>
            <wp:extent cx="8255" cy="3479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34798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-2894965</wp:posOffset>
            </wp:positionV>
            <wp:extent cx="8255" cy="3479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347980"/>
                    </a:xfrm>
                    <a:prstGeom prst="rect">
                      <a:avLst/>
                    </a:prstGeom>
                    <a:noFill/>
                  </pic:spPr>
                </pic:pic>
              </a:graphicData>
            </a:graphic>
          </wp:anchor>
        </w:drawing>
      </w:r>
    </w:p>
    <w:p>
      <w:pPr>
        <w:spacing w:after="0" w:line="88" w:lineRule="exact"/>
        <w:rPr>
          <w:sz w:val="20"/>
          <w:szCs w:val="20"/>
          <w:color w:val="auto"/>
        </w:rPr>
      </w:pPr>
    </w:p>
    <w:p>
      <w:pPr>
        <w:ind w:left="480" w:right="120" w:hanging="173"/>
        <w:spacing w:after="0" w:line="249" w:lineRule="auto"/>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Steve Hasker’s and Mike Eastwood’s 2023, 2022 and 2021 compensation was paid in Canadian dollars and amounts in the table have been translated to U.S. dollars. Kirsty Roth’s 2023, 2022 and 2021 compensation was paid in Swiss francs and amounts in the table have been translated to U.S. dollars. Laura Clayton McDonnell joined the company in March 2023 and Paul Bascobert joined the company in September 2022. 2023 base salary information for Laura Clayton McDonnell and 2022 base salary information for Paul Bascobert reflect amounts earned from their respective start dates at our company through year-end.</w:t>
      </w:r>
    </w:p>
    <w:p>
      <w:pPr>
        <w:spacing w:after="0" w:line="88" w:lineRule="exact"/>
        <w:rPr>
          <w:sz w:val="20"/>
          <w:szCs w:val="20"/>
          <w:color w:val="auto"/>
        </w:rPr>
      </w:pPr>
    </w:p>
    <w:p>
      <w:pPr>
        <w:ind w:left="480" w:right="40" w:hanging="173"/>
        <w:spacing w:after="0" w:line="249" w:lineRule="auto"/>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Share-based awards reflect the grant date fair value of RSUs granted as long-term incentive awards in 2023, 2022 and 2021. The grant date fair value of all 2023, 2022 and 2021 awards were based on the closing price of our common shares on the NYSE on the date prior to the grant date. PRSUs are valued assuming target performance. In May 2023, Laura Clayton McDonnell received PRSU and TRSU awards representing a 2023 annual grant in addition to a one-time TRSU award to replace forfeited compensation at her prior employer. Additional information about our long-term incentive awards is provided in the “Compensation Discussion and Analysis” section of this circular.</w:t>
      </w:r>
    </w:p>
    <w:p>
      <w:pPr>
        <w:spacing w:after="0" w:line="88" w:lineRule="exact"/>
        <w:rPr>
          <w:sz w:val="20"/>
          <w:szCs w:val="20"/>
          <w:color w:val="auto"/>
        </w:rPr>
      </w:pPr>
    </w:p>
    <w:p>
      <w:pPr>
        <w:ind w:left="480" w:right="20" w:hanging="173"/>
        <w:spacing w:after="0" w:line="246" w:lineRule="auto"/>
        <w:tabs>
          <w:tab w:leader="none" w:pos="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For options granted in 2023, 2022 and 2021, we calculated the grant date fair value based on the closing common share price on the date prior to the grant date and used a Black-Scholes valuation of this share price. The grant date fair value of stock options granted in 2023, 2022 and 2021 was essentially the same as the accounting fair value of those stock options. Laura Clayton McDonnell received an option award representing an annual grant in May 2023. Additional information is provided in note 26 of our 2023 annual consolidated financial statements, which is included in our 2023 annual report. The following table provides additional information about options granted to named executive officers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336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4"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87</w:t>
      </w:r>
    </w:p>
    <w:p>
      <w:pPr>
        <w:sectPr>
          <w:pgSz w:w="11900" w:h="16838" w:orient="portrait"/>
          <w:cols w:equalWidth="0" w:num="1">
            <w:col w:w="11080"/>
          </w:cols>
          <w:pgMar w:left="320" w:top="454"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203835</wp:posOffset>
            </wp:positionV>
            <wp:extent cx="8255" cy="3568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356870"/>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203835</wp:posOffset>
            </wp:positionV>
            <wp:extent cx="8255" cy="3568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35687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203835</wp:posOffset>
            </wp:positionV>
            <wp:extent cx="8255" cy="3568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356870"/>
                    </a:xfrm>
                    <a:prstGeom prst="rect">
                      <a:avLst/>
                    </a:prstGeom>
                    <a:noFill/>
                  </pic:spPr>
                </pic:pic>
              </a:graphicData>
            </a:graphic>
          </wp:anchor>
        </w:drawing>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520" w:type="dxa"/>
            <w:vAlign w:val="bottom"/>
            <w:tcBorders>
              <w:right w:val="single" w:sz="8" w:color="262626"/>
            </w:tcBorders>
            <w:shd w:val="clear" w:color="auto" w:fill="262626"/>
          </w:tcPr>
          <w:p>
            <w:pPr>
              <w:spacing w:after="0"/>
              <w:rPr>
                <w:sz w:val="14"/>
                <w:szCs w:val="14"/>
                <w:color w:val="auto"/>
              </w:rPr>
            </w:pPr>
          </w:p>
        </w:tc>
        <w:tc>
          <w:tcPr>
            <w:tcW w:w="2240" w:type="dxa"/>
            <w:vAlign w:val="bottom"/>
            <w:tcBorders>
              <w:right w:val="single" w:sz="8" w:color="262626"/>
            </w:tcBorders>
            <w:shd w:val="clear" w:color="auto" w:fill="262626"/>
          </w:tcPr>
          <w:p>
            <w:pPr>
              <w:jc w:val="right"/>
              <w:ind w:right="307"/>
              <w:spacing w:after="0"/>
              <w:rPr>
                <w:sz w:val="20"/>
                <w:szCs w:val="20"/>
                <w:color w:val="auto"/>
              </w:rPr>
            </w:pPr>
            <w:r>
              <w:rPr>
                <w:rFonts w:ascii="Arial" w:cs="Arial" w:eastAsia="Arial" w:hAnsi="Arial"/>
                <w:sz w:val="15"/>
                <w:szCs w:val="15"/>
                <w:b w:val="1"/>
                <w:bCs w:val="1"/>
                <w:color w:val="FFFFFF"/>
              </w:rPr>
              <w:t>Grant Date Fair</w:t>
            </w:r>
          </w:p>
        </w:tc>
        <w:tc>
          <w:tcPr>
            <w:tcW w:w="1660" w:type="dxa"/>
            <w:vAlign w:val="bottom"/>
            <w:tcBorders>
              <w:right w:val="single" w:sz="8" w:color="262626"/>
            </w:tcBorders>
            <w:vMerge w:val="restart"/>
            <w:shd w:val="clear" w:color="auto" w:fill="262626"/>
          </w:tcPr>
          <w:p>
            <w:pPr>
              <w:jc w:val="right"/>
              <w:ind w:right="387"/>
              <w:spacing w:after="0"/>
              <w:rPr>
                <w:sz w:val="20"/>
                <w:szCs w:val="20"/>
                <w:color w:val="auto"/>
              </w:rPr>
            </w:pPr>
            <w:r>
              <w:rPr>
                <w:rFonts w:ascii="Arial" w:cs="Arial" w:eastAsia="Arial" w:hAnsi="Arial"/>
                <w:sz w:val="15"/>
                <w:szCs w:val="15"/>
                <w:b w:val="1"/>
                <w:bCs w:val="1"/>
                <w:color w:val="FFFFFF"/>
              </w:rPr>
              <w:t>Applicable</w:t>
            </w:r>
          </w:p>
        </w:tc>
        <w:tc>
          <w:tcPr>
            <w:tcW w:w="1500" w:type="dxa"/>
            <w:vAlign w:val="bottom"/>
            <w:shd w:val="clear" w:color="auto" w:fill="262626"/>
          </w:tcPr>
          <w:p>
            <w:pPr>
              <w:jc w:val="right"/>
              <w:ind w:right="387"/>
              <w:spacing w:after="0"/>
              <w:rPr>
                <w:sz w:val="20"/>
                <w:szCs w:val="20"/>
                <w:color w:val="auto"/>
              </w:rPr>
            </w:pPr>
            <w:r>
              <w:rPr>
                <w:rFonts w:ascii="Arial" w:cs="Arial" w:eastAsia="Arial" w:hAnsi="Arial"/>
                <w:sz w:val="15"/>
                <w:szCs w:val="15"/>
                <w:b w:val="1"/>
                <w:bCs w:val="1"/>
                <w:color w:val="FFFFFF"/>
              </w:rPr>
              <w:t>Black-</w:t>
            </w:r>
          </w:p>
        </w:tc>
        <w:tc>
          <w:tcPr>
            <w:tcW w:w="0" w:type="dxa"/>
            <w:vAlign w:val="bottom"/>
          </w:tcPr>
          <w:p>
            <w:pPr>
              <w:spacing w:after="0"/>
              <w:rPr>
                <w:sz w:val="1"/>
                <w:szCs w:val="1"/>
                <w:color w:val="auto"/>
              </w:rPr>
            </w:pPr>
          </w:p>
        </w:tc>
      </w:tr>
      <w:tr>
        <w:trPr>
          <w:trHeight w:val="160"/>
        </w:trPr>
        <w:tc>
          <w:tcPr>
            <w:tcW w:w="5520" w:type="dxa"/>
            <w:vAlign w:val="bottom"/>
            <w:tcBorders>
              <w:right w:val="single" w:sz="8" w:color="262626"/>
            </w:tcBorders>
            <w:shd w:val="clear" w:color="auto" w:fill="262626"/>
          </w:tcPr>
          <w:p>
            <w:pPr>
              <w:spacing w:after="0"/>
              <w:rPr>
                <w:sz w:val="13"/>
                <w:szCs w:val="13"/>
                <w:color w:val="auto"/>
              </w:rPr>
            </w:pPr>
          </w:p>
        </w:tc>
        <w:tc>
          <w:tcPr>
            <w:tcW w:w="2240" w:type="dxa"/>
            <w:vAlign w:val="bottom"/>
            <w:tcBorders>
              <w:right w:val="single" w:sz="8" w:color="262626"/>
            </w:tcBorders>
            <w:shd w:val="clear" w:color="auto" w:fill="262626"/>
          </w:tcPr>
          <w:p>
            <w:pPr>
              <w:jc w:val="right"/>
              <w:ind w:right="307"/>
              <w:spacing w:after="0" w:line="161" w:lineRule="exact"/>
              <w:rPr>
                <w:sz w:val="20"/>
                <w:szCs w:val="20"/>
                <w:color w:val="auto"/>
              </w:rPr>
            </w:pPr>
            <w:r>
              <w:rPr>
                <w:rFonts w:ascii="Arial" w:cs="Arial" w:eastAsia="Arial" w:hAnsi="Arial"/>
                <w:sz w:val="15"/>
                <w:szCs w:val="15"/>
                <w:b w:val="1"/>
                <w:bCs w:val="1"/>
                <w:color w:val="FFFFFF"/>
              </w:rPr>
              <w:t>Value and Accounting</w:t>
            </w:r>
          </w:p>
        </w:tc>
        <w:tc>
          <w:tcPr>
            <w:tcW w:w="1660" w:type="dxa"/>
            <w:vAlign w:val="bottom"/>
            <w:tcBorders>
              <w:right w:val="single" w:sz="8" w:color="262626"/>
            </w:tcBorders>
            <w:vMerge w:val="continue"/>
            <w:shd w:val="clear" w:color="auto" w:fill="262626"/>
          </w:tcPr>
          <w:p>
            <w:pPr>
              <w:spacing w:after="0"/>
              <w:rPr>
                <w:sz w:val="13"/>
                <w:szCs w:val="13"/>
                <w:color w:val="auto"/>
              </w:rPr>
            </w:pPr>
          </w:p>
        </w:tc>
        <w:tc>
          <w:tcPr>
            <w:tcW w:w="1500" w:type="dxa"/>
            <w:vAlign w:val="bottom"/>
            <w:shd w:val="clear" w:color="auto" w:fill="262626"/>
          </w:tcPr>
          <w:p>
            <w:pPr>
              <w:jc w:val="right"/>
              <w:ind w:right="387"/>
              <w:spacing w:after="0" w:line="161" w:lineRule="exact"/>
              <w:rPr>
                <w:sz w:val="20"/>
                <w:szCs w:val="20"/>
                <w:color w:val="auto"/>
              </w:rPr>
            </w:pPr>
            <w:r>
              <w:rPr>
                <w:rFonts w:ascii="Arial" w:cs="Arial" w:eastAsia="Arial" w:hAnsi="Arial"/>
                <w:sz w:val="15"/>
                <w:szCs w:val="15"/>
                <w:b w:val="1"/>
                <w:bCs w:val="1"/>
                <w:color w:val="FFFFFF"/>
              </w:rPr>
              <w:t>Scholes</w:t>
            </w:r>
          </w:p>
        </w:tc>
        <w:tc>
          <w:tcPr>
            <w:tcW w:w="0" w:type="dxa"/>
            <w:vAlign w:val="bottom"/>
          </w:tcPr>
          <w:p>
            <w:pPr>
              <w:spacing w:after="0"/>
              <w:rPr>
                <w:sz w:val="1"/>
                <w:szCs w:val="1"/>
                <w:color w:val="auto"/>
              </w:rPr>
            </w:pPr>
          </w:p>
        </w:tc>
      </w:tr>
      <w:tr>
        <w:trPr>
          <w:trHeight w:val="231"/>
        </w:trPr>
        <w:tc>
          <w:tcPr>
            <w:tcW w:w="552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Grant Date</w:t>
            </w:r>
          </w:p>
        </w:tc>
        <w:tc>
          <w:tcPr>
            <w:tcW w:w="2240" w:type="dxa"/>
            <w:vAlign w:val="bottom"/>
            <w:tcBorders>
              <w:right w:val="single" w:sz="8" w:color="262626"/>
            </w:tcBorders>
            <w:shd w:val="clear" w:color="auto" w:fill="262626"/>
          </w:tcPr>
          <w:p>
            <w:pPr>
              <w:jc w:val="right"/>
              <w:ind w:right="307"/>
              <w:spacing w:after="0"/>
              <w:rPr>
                <w:sz w:val="20"/>
                <w:szCs w:val="20"/>
                <w:color w:val="auto"/>
              </w:rPr>
            </w:pPr>
            <w:r>
              <w:rPr>
                <w:rFonts w:ascii="Arial" w:cs="Arial" w:eastAsia="Arial" w:hAnsi="Arial"/>
                <w:sz w:val="15"/>
                <w:szCs w:val="15"/>
                <w:b w:val="1"/>
                <w:bCs w:val="1"/>
                <w:color w:val="FFFFFF"/>
              </w:rPr>
              <w:t>Fair Value (per option)</w:t>
            </w:r>
          </w:p>
        </w:tc>
        <w:tc>
          <w:tcPr>
            <w:tcW w:w="1660" w:type="dxa"/>
            <w:vAlign w:val="bottom"/>
            <w:tcBorders>
              <w:right w:val="single" w:sz="8" w:color="262626"/>
            </w:tcBorders>
            <w:shd w:val="clear" w:color="auto" w:fill="262626"/>
          </w:tcPr>
          <w:p>
            <w:pPr>
              <w:jc w:val="right"/>
              <w:ind w:right="387"/>
              <w:spacing w:after="0"/>
              <w:rPr>
                <w:sz w:val="20"/>
                <w:szCs w:val="20"/>
                <w:color w:val="auto"/>
              </w:rPr>
            </w:pPr>
            <w:r>
              <w:rPr>
                <w:rFonts w:ascii="Arial" w:cs="Arial" w:eastAsia="Arial" w:hAnsi="Arial"/>
                <w:sz w:val="15"/>
                <w:szCs w:val="15"/>
                <w:b w:val="1"/>
                <w:bCs w:val="1"/>
                <w:color w:val="FFFFFF"/>
              </w:rPr>
              <w:t>Share Price</w:t>
            </w:r>
          </w:p>
        </w:tc>
        <w:tc>
          <w:tcPr>
            <w:tcW w:w="1500" w:type="dxa"/>
            <w:vAlign w:val="bottom"/>
            <w:shd w:val="clear" w:color="auto" w:fill="262626"/>
          </w:tcPr>
          <w:p>
            <w:pPr>
              <w:jc w:val="right"/>
              <w:ind w:right="387"/>
              <w:spacing w:after="0"/>
              <w:rPr>
                <w:sz w:val="20"/>
                <w:szCs w:val="20"/>
                <w:color w:val="auto"/>
              </w:rPr>
            </w:pPr>
            <w:r>
              <w:rPr>
                <w:rFonts w:ascii="Arial" w:cs="Arial" w:eastAsia="Arial" w:hAnsi="Arial"/>
                <w:sz w:val="15"/>
                <w:szCs w:val="15"/>
                <w:b w:val="1"/>
                <w:bCs w:val="1"/>
                <w:color w:val="FFFFFF"/>
              </w:rPr>
              <w:t>Valuation</w:t>
            </w:r>
          </w:p>
        </w:tc>
        <w:tc>
          <w:tcPr>
            <w:tcW w:w="0" w:type="dxa"/>
            <w:vAlign w:val="bottom"/>
          </w:tcPr>
          <w:p>
            <w:pPr>
              <w:spacing w:after="0"/>
              <w:rPr>
                <w:sz w:val="1"/>
                <w:szCs w:val="1"/>
                <w:color w:val="auto"/>
              </w:rPr>
            </w:pPr>
          </w:p>
        </w:tc>
      </w:tr>
      <w:tr>
        <w:trPr>
          <w:trHeight w:val="227"/>
        </w:trPr>
        <w:tc>
          <w:tcPr>
            <w:tcW w:w="552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May 10, 2023</w:t>
            </w:r>
          </w:p>
        </w:tc>
        <w:tc>
          <w:tcPr>
            <w:tcW w:w="2240" w:type="dxa"/>
            <w:vAlign w:val="bottom"/>
            <w:tcBorders>
              <w:bottom w:val="single" w:sz="8" w:color="AFAFAF"/>
              <w:right w:val="single" w:sz="8" w:color="AFAFAF"/>
            </w:tcBorders>
          </w:tcPr>
          <w:p>
            <w:pPr>
              <w:jc w:val="right"/>
              <w:ind w:right="307"/>
              <w:spacing w:after="0"/>
              <w:rPr>
                <w:sz w:val="20"/>
                <w:szCs w:val="20"/>
                <w:color w:val="auto"/>
              </w:rPr>
            </w:pPr>
            <w:r>
              <w:rPr>
                <w:rFonts w:ascii="Arial" w:cs="Arial" w:eastAsia="Arial" w:hAnsi="Arial"/>
                <w:sz w:val="14"/>
                <w:szCs w:val="14"/>
                <w:color w:val="auto"/>
              </w:rPr>
              <w:t>$25.22</w:t>
            </w:r>
          </w:p>
        </w:tc>
        <w:tc>
          <w:tcPr>
            <w:tcW w:w="1660" w:type="dxa"/>
            <w:vAlign w:val="bottom"/>
            <w:tcBorders>
              <w:bottom w:val="single" w:sz="8" w:color="AFAFAF"/>
              <w:right w:val="single" w:sz="8" w:color="AFAFAF"/>
            </w:tcBorders>
          </w:tcPr>
          <w:p>
            <w:pPr>
              <w:jc w:val="right"/>
              <w:ind w:right="387"/>
              <w:spacing w:after="0"/>
              <w:rPr>
                <w:sz w:val="20"/>
                <w:szCs w:val="20"/>
                <w:color w:val="auto"/>
              </w:rPr>
            </w:pPr>
            <w:r>
              <w:rPr>
                <w:rFonts w:ascii="Arial" w:cs="Arial" w:eastAsia="Arial" w:hAnsi="Arial"/>
                <w:sz w:val="14"/>
                <w:szCs w:val="14"/>
                <w:color w:val="auto"/>
              </w:rPr>
              <w:t>$123.39</w:t>
            </w:r>
          </w:p>
        </w:tc>
        <w:tc>
          <w:tcPr>
            <w:tcW w:w="1500" w:type="dxa"/>
            <w:vAlign w:val="bottom"/>
            <w:tcBorders>
              <w:bottom w:val="single" w:sz="8" w:color="AFAFAF"/>
            </w:tcBorders>
          </w:tcPr>
          <w:p>
            <w:pPr>
              <w:jc w:val="right"/>
              <w:ind w:right="267"/>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March 1, 2023</w:t>
            </w:r>
          </w:p>
        </w:tc>
        <w:tc>
          <w:tcPr>
            <w:tcW w:w="2240" w:type="dxa"/>
            <w:vAlign w:val="bottom"/>
            <w:tcBorders>
              <w:bottom w:val="single" w:sz="8" w:color="AFAFAF"/>
              <w:right w:val="single" w:sz="8" w:color="AFAFAF"/>
            </w:tcBorders>
          </w:tcPr>
          <w:p>
            <w:pPr>
              <w:jc w:val="right"/>
              <w:ind w:right="307"/>
              <w:spacing w:after="0"/>
              <w:rPr>
                <w:sz w:val="20"/>
                <w:szCs w:val="20"/>
                <w:color w:val="auto"/>
              </w:rPr>
            </w:pPr>
            <w:r>
              <w:rPr>
                <w:rFonts w:ascii="Arial" w:cs="Arial" w:eastAsia="Arial" w:hAnsi="Arial"/>
                <w:sz w:val="14"/>
                <w:szCs w:val="14"/>
                <w:color w:val="auto"/>
              </w:rPr>
              <w:t>$25.97</w:t>
            </w:r>
          </w:p>
        </w:tc>
        <w:tc>
          <w:tcPr>
            <w:tcW w:w="1660" w:type="dxa"/>
            <w:vAlign w:val="bottom"/>
            <w:tcBorders>
              <w:bottom w:val="single" w:sz="8" w:color="AFAFAF"/>
              <w:right w:val="single" w:sz="8" w:color="AFAFAF"/>
            </w:tcBorders>
          </w:tcPr>
          <w:p>
            <w:pPr>
              <w:jc w:val="right"/>
              <w:ind w:right="387"/>
              <w:spacing w:after="0"/>
              <w:rPr>
                <w:sz w:val="20"/>
                <w:szCs w:val="20"/>
                <w:color w:val="auto"/>
              </w:rPr>
            </w:pPr>
            <w:r>
              <w:rPr>
                <w:rFonts w:ascii="Arial" w:cs="Arial" w:eastAsia="Arial" w:hAnsi="Arial"/>
                <w:sz w:val="14"/>
                <w:szCs w:val="14"/>
                <w:color w:val="auto"/>
              </w:rPr>
              <w:t>$121.03</w:t>
            </w:r>
          </w:p>
        </w:tc>
        <w:tc>
          <w:tcPr>
            <w:tcW w:w="1500" w:type="dxa"/>
            <w:vAlign w:val="bottom"/>
            <w:tcBorders>
              <w:bottom w:val="single" w:sz="8" w:color="AFAFAF"/>
            </w:tcBorders>
          </w:tcPr>
          <w:p>
            <w:pPr>
              <w:jc w:val="right"/>
              <w:ind w:right="267"/>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March 2, 2022</w:t>
            </w:r>
          </w:p>
        </w:tc>
        <w:tc>
          <w:tcPr>
            <w:tcW w:w="2240" w:type="dxa"/>
            <w:vAlign w:val="bottom"/>
            <w:tcBorders>
              <w:bottom w:val="single" w:sz="8" w:color="AFAFAF"/>
              <w:right w:val="single" w:sz="8" w:color="AFAFAF"/>
            </w:tcBorders>
          </w:tcPr>
          <w:p>
            <w:pPr>
              <w:jc w:val="right"/>
              <w:ind w:right="307"/>
              <w:spacing w:after="0"/>
              <w:rPr>
                <w:sz w:val="20"/>
                <w:szCs w:val="20"/>
                <w:color w:val="auto"/>
              </w:rPr>
            </w:pPr>
            <w:r>
              <w:rPr>
                <w:rFonts w:ascii="Arial" w:cs="Arial" w:eastAsia="Arial" w:hAnsi="Arial"/>
                <w:sz w:val="14"/>
                <w:szCs w:val="14"/>
                <w:color w:val="auto"/>
              </w:rPr>
              <w:t>$15.69</w:t>
            </w:r>
          </w:p>
        </w:tc>
        <w:tc>
          <w:tcPr>
            <w:tcW w:w="1660" w:type="dxa"/>
            <w:vAlign w:val="bottom"/>
            <w:tcBorders>
              <w:bottom w:val="single" w:sz="8" w:color="AFAFAF"/>
              <w:right w:val="single" w:sz="8" w:color="AFAFAF"/>
            </w:tcBorders>
          </w:tcPr>
          <w:p>
            <w:pPr>
              <w:jc w:val="right"/>
              <w:ind w:right="387"/>
              <w:spacing w:after="0"/>
              <w:rPr>
                <w:sz w:val="20"/>
                <w:szCs w:val="20"/>
                <w:color w:val="auto"/>
              </w:rPr>
            </w:pPr>
            <w:r>
              <w:rPr>
                <w:rFonts w:ascii="Arial" w:cs="Arial" w:eastAsia="Arial" w:hAnsi="Arial"/>
                <w:sz w:val="14"/>
                <w:szCs w:val="14"/>
                <w:color w:val="auto"/>
              </w:rPr>
              <w:t>$102.00</w:t>
            </w:r>
          </w:p>
        </w:tc>
        <w:tc>
          <w:tcPr>
            <w:tcW w:w="1500" w:type="dxa"/>
            <w:vAlign w:val="bottom"/>
            <w:tcBorders>
              <w:bottom w:val="single" w:sz="8" w:color="AFAFAF"/>
            </w:tcBorders>
          </w:tcPr>
          <w:p>
            <w:pPr>
              <w:jc w:val="right"/>
              <w:ind w:right="267"/>
              <w:spacing w:after="0"/>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March 3, 2021</w:t>
            </w:r>
          </w:p>
        </w:tc>
        <w:tc>
          <w:tcPr>
            <w:tcW w:w="2240" w:type="dxa"/>
            <w:vAlign w:val="bottom"/>
            <w:tcBorders>
              <w:bottom w:val="single" w:sz="8" w:color="B94831"/>
              <w:right w:val="single" w:sz="8" w:color="AFAFAF"/>
            </w:tcBorders>
          </w:tcPr>
          <w:p>
            <w:pPr>
              <w:jc w:val="right"/>
              <w:ind w:right="307"/>
              <w:spacing w:after="0"/>
              <w:rPr>
                <w:sz w:val="20"/>
                <w:szCs w:val="20"/>
                <w:color w:val="auto"/>
              </w:rPr>
            </w:pPr>
            <w:r>
              <w:rPr>
                <w:rFonts w:ascii="Arial" w:cs="Arial" w:eastAsia="Arial" w:hAnsi="Arial"/>
                <w:sz w:val="14"/>
                <w:szCs w:val="14"/>
                <w:color w:val="auto"/>
              </w:rPr>
              <w:t>$11.37</w:t>
            </w:r>
          </w:p>
        </w:tc>
        <w:tc>
          <w:tcPr>
            <w:tcW w:w="1660" w:type="dxa"/>
            <w:vAlign w:val="bottom"/>
            <w:tcBorders>
              <w:bottom w:val="single" w:sz="8" w:color="B94831"/>
              <w:right w:val="single" w:sz="8" w:color="AFAFAF"/>
            </w:tcBorders>
          </w:tcPr>
          <w:p>
            <w:pPr>
              <w:jc w:val="right"/>
              <w:ind w:right="387"/>
              <w:spacing w:after="0"/>
              <w:rPr>
                <w:sz w:val="20"/>
                <w:szCs w:val="20"/>
                <w:color w:val="auto"/>
              </w:rPr>
            </w:pPr>
            <w:r>
              <w:rPr>
                <w:rFonts w:ascii="Arial" w:cs="Arial" w:eastAsia="Arial" w:hAnsi="Arial"/>
                <w:sz w:val="14"/>
                <w:szCs w:val="14"/>
                <w:color w:val="auto"/>
              </w:rPr>
              <w:t>$88.87</w:t>
            </w:r>
          </w:p>
        </w:tc>
        <w:tc>
          <w:tcPr>
            <w:tcW w:w="1500" w:type="dxa"/>
            <w:vAlign w:val="bottom"/>
            <w:tcBorders>
              <w:bottom w:val="single" w:sz="8" w:color="B94831"/>
            </w:tcBorders>
          </w:tcPr>
          <w:p>
            <w:pPr>
              <w:jc w:val="right"/>
              <w:ind w:right="267"/>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80"/>
        <w:spacing w:after="0" w:line="277" w:lineRule="auto"/>
        <w:rPr>
          <w:sz w:val="20"/>
          <w:szCs w:val="20"/>
          <w:color w:val="auto"/>
        </w:rPr>
      </w:pPr>
      <w:r>
        <w:rPr>
          <w:rFonts w:ascii="Arial" w:cs="Arial" w:eastAsia="Arial" w:hAnsi="Arial"/>
          <w:sz w:val="13"/>
          <w:szCs w:val="13"/>
          <w:color w:val="auto"/>
        </w:rPr>
        <w:t>The number of stock options granted to each named executive officer that were outstanding as of December 31, 2023 is set forth in the “Incentive Plan Awards” subsection that follows later in this circular.</w:t>
      </w:r>
    </w:p>
    <w:p>
      <w:pPr>
        <w:spacing w:after="0" w:line="70" w:lineRule="exact"/>
        <w:rPr>
          <w:sz w:val="20"/>
          <w:szCs w:val="20"/>
          <w:color w:val="auto"/>
        </w:rPr>
      </w:pPr>
    </w:p>
    <w:p>
      <w:pPr>
        <w:ind w:left="480" w:hanging="173"/>
        <w:spacing w:after="0" w:line="249" w:lineRule="auto"/>
        <w:tabs>
          <w:tab w:leader="none" w:pos="4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Annual cash incentive payouts are with respect to performance during 2023, 2022 and 2021. Payouts were made in the first quarter of 2024, 2023 and 2022, respectively, following certification of the achievement of applicable performance goals. Laura Clayton McDonnell’s annual cash incentive represents a full year incentive with no proration for her March 2023 start date, adjusted for business and individual performance, in connection with joining our company. Additional information is provided in the “Compensation Discussion and Analysis” section of this circular.</w:t>
      </w:r>
    </w:p>
    <w:p>
      <w:pPr>
        <w:spacing w:after="0" w:line="88" w:lineRule="exact"/>
        <w:rPr>
          <w:sz w:val="20"/>
          <w:szCs w:val="20"/>
          <w:color w:val="auto"/>
        </w:rPr>
      </w:pPr>
    </w:p>
    <w:p>
      <w:pPr>
        <w:ind w:left="480" w:right="180" w:hanging="173"/>
        <w:spacing w:after="0" w:line="277" w:lineRule="auto"/>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Pension value represents the compensatory portion of the change in the accrued defined benefit pension obligation. Additional information is provided in the “Pension and Other Retirement Benefits” section of this circular.</w:t>
      </w:r>
    </w:p>
    <w:p>
      <w:pPr>
        <w:spacing w:after="0" w:line="70" w:lineRule="exact"/>
        <w:rPr>
          <w:sz w:val="20"/>
          <w:szCs w:val="20"/>
          <w:color w:val="auto"/>
        </w:rPr>
      </w:pPr>
    </w:p>
    <w:p>
      <w:pPr>
        <w:ind w:left="480" w:hanging="173"/>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All other compensation for 2023 for our named executive officers also includes the following perquisites:</w:t>
      </w:r>
    </w:p>
    <w:p>
      <w:pPr>
        <w:spacing w:after="0" w:line="131" w:lineRule="exact"/>
        <w:rPr>
          <w:rFonts w:ascii="Arial" w:cs="Arial" w:eastAsia="Arial" w:hAnsi="Arial"/>
          <w:sz w:val="13"/>
          <w:szCs w:val="13"/>
          <w:color w:val="auto"/>
        </w:rPr>
      </w:pPr>
    </w:p>
    <w:p>
      <w:pPr>
        <w:ind w:left="800" w:hanging="312"/>
        <w:spacing w:after="0"/>
        <w:tabs>
          <w:tab w:leader="none" w:pos="800" w:val="left"/>
        </w:tabs>
        <w:numPr>
          <w:ilvl w:val="1"/>
          <w:numId w:val="50"/>
        </w:numPr>
        <w:rPr>
          <w:rFonts w:ascii="Times New Roman" w:cs="Times New Roman" w:eastAsia="Times New Roman" w:hAnsi="Times New Roman"/>
          <w:sz w:val="10"/>
          <w:szCs w:val="10"/>
          <w:color w:val="auto"/>
        </w:rPr>
      </w:pPr>
      <w:r>
        <w:rPr>
          <w:rFonts w:ascii="Arial" w:cs="Arial" w:eastAsia="Arial" w:hAnsi="Arial"/>
          <w:sz w:val="13"/>
          <w:szCs w:val="13"/>
          <w:color w:val="auto"/>
        </w:rPr>
        <w:t>For Steve Hasker, a supplemental retirement plan allocation of $166,436;</w:t>
      </w:r>
    </w:p>
    <w:p>
      <w:pPr>
        <w:spacing w:after="0" w:line="9" w:lineRule="exact"/>
        <w:rPr>
          <w:rFonts w:ascii="Times New Roman" w:cs="Times New Roman" w:eastAsia="Times New Roman" w:hAnsi="Times New Roman"/>
          <w:sz w:val="10"/>
          <w:szCs w:val="10"/>
          <w:color w:val="auto"/>
        </w:rPr>
      </w:pPr>
    </w:p>
    <w:p>
      <w:pPr>
        <w:ind w:left="800" w:hanging="312"/>
        <w:spacing w:after="0" w:line="236" w:lineRule="auto"/>
        <w:tabs>
          <w:tab w:leader="none" w:pos="800" w:val="left"/>
        </w:tabs>
        <w:numPr>
          <w:ilvl w:val="1"/>
          <w:numId w:val="50"/>
        </w:numPr>
        <w:rPr>
          <w:rFonts w:ascii="Times New Roman" w:cs="Times New Roman" w:eastAsia="Times New Roman" w:hAnsi="Times New Roman"/>
          <w:sz w:val="10"/>
          <w:szCs w:val="10"/>
          <w:color w:val="auto"/>
        </w:rPr>
      </w:pPr>
      <w:r>
        <w:rPr>
          <w:rFonts w:ascii="Arial" w:cs="Arial" w:eastAsia="Arial" w:hAnsi="Arial"/>
          <w:sz w:val="13"/>
          <w:szCs w:val="13"/>
          <w:color w:val="auto"/>
        </w:rPr>
        <w:t>For Mike Eastwood, a supplemental retirement plan allocation of $105,066;</w:t>
      </w:r>
    </w:p>
    <w:p>
      <w:pPr>
        <w:ind w:left="800" w:hanging="312"/>
        <w:spacing w:after="0" w:line="236" w:lineRule="auto"/>
        <w:tabs>
          <w:tab w:leader="none" w:pos="800" w:val="left"/>
        </w:tabs>
        <w:numPr>
          <w:ilvl w:val="1"/>
          <w:numId w:val="50"/>
        </w:numPr>
        <w:rPr>
          <w:rFonts w:ascii="Times New Roman" w:cs="Times New Roman" w:eastAsia="Times New Roman" w:hAnsi="Times New Roman"/>
          <w:sz w:val="10"/>
          <w:szCs w:val="10"/>
          <w:color w:val="auto"/>
        </w:rPr>
      </w:pPr>
      <w:r>
        <w:rPr>
          <w:rFonts w:ascii="Arial" w:cs="Arial" w:eastAsia="Arial" w:hAnsi="Arial"/>
          <w:sz w:val="13"/>
          <w:szCs w:val="13"/>
          <w:color w:val="auto"/>
        </w:rPr>
        <w:t>For Laura Clayton McDonnell, a supplemental retirement plan allocation of $20,894;</w:t>
      </w:r>
    </w:p>
    <w:p>
      <w:pPr>
        <w:ind w:left="800" w:hanging="312"/>
        <w:spacing w:after="0" w:line="236" w:lineRule="auto"/>
        <w:tabs>
          <w:tab w:leader="none" w:pos="800" w:val="left"/>
        </w:tabs>
        <w:numPr>
          <w:ilvl w:val="1"/>
          <w:numId w:val="50"/>
        </w:numPr>
        <w:rPr>
          <w:rFonts w:ascii="Times New Roman" w:cs="Times New Roman" w:eastAsia="Times New Roman" w:hAnsi="Times New Roman"/>
          <w:sz w:val="10"/>
          <w:szCs w:val="10"/>
          <w:color w:val="auto"/>
        </w:rPr>
      </w:pPr>
      <w:r>
        <w:rPr>
          <w:rFonts w:ascii="Arial" w:cs="Arial" w:eastAsia="Arial" w:hAnsi="Arial"/>
          <w:sz w:val="13"/>
          <w:szCs w:val="13"/>
          <w:color w:val="auto"/>
        </w:rPr>
        <w:t>For Kirsty Roth, financial planning of $360; and</w:t>
      </w:r>
    </w:p>
    <w:p>
      <w:pPr>
        <w:ind w:left="800" w:hanging="312"/>
        <w:spacing w:after="0"/>
        <w:tabs>
          <w:tab w:leader="none" w:pos="800" w:val="left"/>
        </w:tabs>
        <w:numPr>
          <w:ilvl w:val="1"/>
          <w:numId w:val="50"/>
        </w:numPr>
        <w:rPr>
          <w:rFonts w:ascii="Times New Roman" w:cs="Times New Roman" w:eastAsia="Times New Roman" w:hAnsi="Times New Roman"/>
          <w:sz w:val="10"/>
          <w:szCs w:val="10"/>
          <w:color w:val="auto"/>
        </w:rPr>
      </w:pPr>
      <w:r>
        <w:rPr>
          <w:rFonts w:ascii="Arial" w:cs="Arial" w:eastAsia="Arial" w:hAnsi="Arial"/>
          <w:sz w:val="13"/>
          <w:szCs w:val="13"/>
          <w:color w:val="auto"/>
        </w:rPr>
        <w:t>For Paul Bascobert, a supplemental retirement plan allocation of $37,500.</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 additional information regarding the supplemental retirement plan allocations, please see the “Pension and Other Retirement Benefits” section of this circular.</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All other compensation for 2023 for Laura Clayton McDonnell includes a special cash sign-on bonus of $575,000 to replace compensation forfeited at her prior employer.</w:t>
      </w:r>
    </w:p>
    <w:p>
      <w:pPr>
        <w:spacing w:after="0" w:line="105" w:lineRule="exact"/>
        <w:rPr>
          <w:sz w:val="20"/>
          <w:szCs w:val="20"/>
          <w:color w:val="auto"/>
        </w:rPr>
      </w:pPr>
    </w:p>
    <w:p>
      <w:pPr>
        <w:ind w:left="500" w:right="160"/>
        <w:spacing w:after="0" w:line="277" w:lineRule="auto"/>
        <w:rPr>
          <w:sz w:val="20"/>
          <w:szCs w:val="20"/>
          <w:color w:val="auto"/>
        </w:rPr>
      </w:pPr>
      <w:r>
        <w:rPr>
          <w:rFonts w:ascii="Arial" w:cs="Arial" w:eastAsia="Arial" w:hAnsi="Arial"/>
          <w:sz w:val="13"/>
          <w:szCs w:val="13"/>
          <w:color w:val="auto"/>
        </w:rPr>
        <w:t>The value of DSU and RSU dividend equivalents credited or paid to named executive officers is not included within “All other compensation” as the right to receive dividends has been factored into the reported grant date fair value of the awards.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Steve Hasker does not receive additional compensation for serving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133985</wp:posOffset>
            </wp:positionV>
            <wp:extent cx="6929755" cy="336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5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88 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Incentive Plan Awards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Outstanding Share-Based Awards and Option-Based Awards</w:t>
      </w:r>
    </w:p>
    <w:p>
      <w:pPr>
        <w:spacing w:after="0" w:line="51"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The following table sets forth certain information regarding outstanding stock option and RSU awards granted to our named executive officers as of December 31, 2023. The value of unexercised in-the -money options is based on the difference between the closing price of our common shares on the NYSE on December 31, 2023 and the exercise price of the applicable option. The market or payout value of share-based awards that have not vested is based on the total of TRSUs and the target amount of PRSUs granted for long-term incentive awards, using the closing price of our common shares on the NYSE on December 31, 2023. PRSU awards may or may not pay out, depending on our company’s performance against targets. For more information regarding these awards,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144145</wp:posOffset>
            </wp:positionV>
            <wp:extent cx="8255" cy="9340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93408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144145</wp:posOffset>
            </wp:positionV>
            <wp:extent cx="8255" cy="9340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934085"/>
                    </a:xfrm>
                    <a:prstGeom prst="rect">
                      <a:avLst/>
                    </a:prstGeom>
                    <a:noFill/>
                  </pic:spPr>
                </pic:pic>
              </a:graphicData>
            </a:graphic>
          </wp:anchor>
        </w:drawing>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140" w:type="dxa"/>
            <w:vAlign w:val="bottom"/>
            <w:shd w:val="clear" w:color="auto" w:fill="BFBFBF"/>
          </w:tcPr>
          <w:p>
            <w:pPr>
              <w:spacing w:after="0"/>
              <w:rPr>
                <w:sz w:val="22"/>
                <w:szCs w:val="22"/>
                <w:color w:val="auto"/>
              </w:rPr>
            </w:pPr>
          </w:p>
        </w:tc>
        <w:tc>
          <w:tcPr>
            <w:tcW w:w="440" w:type="dxa"/>
            <w:vAlign w:val="bottom"/>
            <w:shd w:val="clear" w:color="auto" w:fill="BFBFBF"/>
          </w:tcPr>
          <w:p>
            <w:pPr>
              <w:spacing w:after="0"/>
              <w:rPr>
                <w:sz w:val="22"/>
                <w:szCs w:val="22"/>
                <w:color w:val="auto"/>
              </w:rPr>
            </w:pPr>
          </w:p>
        </w:tc>
        <w:tc>
          <w:tcPr>
            <w:tcW w:w="2340" w:type="dxa"/>
            <w:vAlign w:val="bottom"/>
            <w:gridSpan w:val="2"/>
            <w:shd w:val="clear" w:color="auto" w:fill="BFBFBF"/>
          </w:tcPr>
          <w:p>
            <w:pPr>
              <w:jc w:val="right"/>
              <w:ind w:right="528"/>
              <w:spacing w:after="0"/>
              <w:rPr>
                <w:sz w:val="20"/>
                <w:szCs w:val="20"/>
                <w:color w:val="auto"/>
              </w:rPr>
            </w:pPr>
            <w:r>
              <w:rPr>
                <w:rFonts w:ascii="Arial" w:cs="Arial" w:eastAsia="Arial" w:hAnsi="Arial"/>
                <w:sz w:val="14"/>
                <w:szCs w:val="14"/>
                <w:b w:val="1"/>
                <w:bCs w:val="1"/>
                <w:color w:val="auto"/>
              </w:rPr>
              <w:t>Option-Based Awards</w:t>
            </w:r>
          </w:p>
        </w:tc>
        <w:tc>
          <w:tcPr>
            <w:tcW w:w="200" w:type="dxa"/>
            <w:vAlign w:val="bottom"/>
            <w:shd w:val="clear" w:color="auto" w:fill="BFBFBF"/>
          </w:tcPr>
          <w:p>
            <w:pPr>
              <w:spacing w:after="0"/>
              <w:rPr>
                <w:sz w:val="22"/>
                <w:szCs w:val="22"/>
                <w:color w:val="auto"/>
              </w:rPr>
            </w:pPr>
          </w:p>
        </w:tc>
        <w:tc>
          <w:tcPr>
            <w:tcW w:w="1020" w:type="dxa"/>
            <w:vAlign w:val="bottom"/>
            <w:shd w:val="clear" w:color="auto" w:fill="BFBFBF"/>
          </w:tcPr>
          <w:p>
            <w:pPr>
              <w:spacing w:after="0"/>
              <w:rPr>
                <w:sz w:val="22"/>
                <w:szCs w:val="22"/>
                <w:color w:val="auto"/>
              </w:rPr>
            </w:pPr>
          </w:p>
        </w:tc>
        <w:tc>
          <w:tcPr>
            <w:tcW w:w="1320" w:type="dxa"/>
            <w:vAlign w:val="bottom"/>
            <w:shd w:val="clear" w:color="auto" w:fill="BFBFBF"/>
          </w:tcPr>
          <w:p>
            <w:pPr>
              <w:spacing w:after="0"/>
              <w:rPr>
                <w:sz w:val="22"/>
                <w:szCs w:val="22"/>
                <w:color w:val="auto"/>
              </w:rPr>
            </w:pPr>
          </w:p>
        </w:tc>
        <w:tc>
          <w:tcPr>
            <w:tcW w:w="1540" w:type="dxa"/>
            <w:vAlign w:val="bottom"/>
            <w:gridSpan w:val="2"/>
            <w:shd w:val="clear" w:color="auto" w:fill="BFBFBF"/>
          </w:tcPr>
          <w:p>
            <w:pPr>
              <w:jc w:val="right"/>
              <w:spacing w:after="0"/>
              <w:rPr>
                <w:sz w:val="20"/>
                <w:szCs w:val="20"/>
                <w:color w:val="auto"/>
              </w:rPr>
            </w:pPr>
            <w:r>
              <w:rPr>
                <w:rFonts w:ascii="Arial" w:cs="Arial" w:eastAsia="Arial" w:hAnsi="Arial"/>
                <w:sz w:val="14"/>
                <w:szCs w:val="14"/>
                <w:b w:val="1"/>
                <w:bCs w:val="1"/>
                <w:color w:val="auto"/>
              </w:rPr>
              <w:t>Share-Based Awards</w:t>
            </w:r>
          </w:p>
        </w:tc>
        <w:tc>
          <w:tcPr>
            <w:tcW w:w="1240" w:type="dxa"/>
            <w:vAlign w:val="bottom"/>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80" w:type="dxa"/>
            <w:vAlign w:val="bottom"/>
            <w:shd w:val="clear" w:color="auto" w:fill="262626"/>
          </w:tcPr>
          <w:p>
            <w:pPr>
              <w:spacing w:after="0"/>
              <w:rPr>
                <w:sz w:val="17"/>
                <w:szCs w:val="17"/>
                <w:color w:val="auto"/>
              </w:rPr>
            </w:pPr>
          </w:p>
        </w:tc>
        <w:tc>
          <w:tcPr>
            <w:tcW w:w="1140" w:type="dxa"/>
            <w:vAlign w:val="bottom"/>
            <w:shd w:val="clear" w:color="auto" w:fill="262626"/>
          </w:tcPr>
          <w:p>
            <w:pPr>
              <w:spacing w:after="0"/>
              <w:rPr>
                <w:sz w:val="17"/>
                <w:szCs w:val="17"/>
                <w:color w:val="auto"/>
              </w:rPr>
            </w:pPr>
          </w:p>
        </w:tc>
        <w:tc>
          <w:tcPr>
            <w:tcW w:w="440" w:type="dxa"/>
            <w:vAlign w:val="bottom"/>
            <w:shd w:val="clear" w:color="auto" w:fill="262626"/>
          </w:tcPr>
          <w:p>
            <w:pPr>
              <w:spacing w:after="0"/>
              <w:rPr>
                <w:sz w:val="17"/>
                <w:szCs w:val="17"/>
                <w:color w:val="auto"/>
              </w:rPr>
            </w:pPr>
          </w:p>
        </w:tc>
        <w:tc>
          <w:tcPr>
            <w:tcW w:w="980" w:type="dxa"/>
            <w:vAlign w:val="bottom"/>
            <w:shd w:val="clear" w:color="auto" w:fill="262626"/>
          </w:tcPr>
          <w:p>
            <w:pPr>
              <w:spacing w:after="0"/>
              <w:rPr>
                <w:sz w:val="17"/>
                <w:szCs w:val="17"/>
                <w:color w:val="auto"/>
              </w:rPr>
            </w:pPr>
          </w:p>
        </w:tc>
        <w:tc>
          <w:tcPr>
            <w:tcW w:w="1360" w:type="dxa"/>
            <w:vAlign w:val="bottom"/>
            <w:shd w:val="clear" w:color="auto" w:fill="262626"/>
          </w:tcPr>
          <w:p>
            <w:pPr>
              <w:spacing w:after="0"/>
              <w:rPr>
                <w:sz w:val="17"/>
                <w:szCs w:val="17"/>
                <w:color w:val="auto"/>
              </w:rPr>
            </w:pPr>
          </w:p>
        </w:tc>
        <w:tc>
          <w:tcPr>
            <w:tcW w:w="200" w:type="dxa"/>
            <w:vAlign w:val="bottom"/>
            <w:shd w:val="clear" w:color="auto" w:fill="262626"/>
          </w:tcPr>
          <w:p>
            <w:pPr>
              <w:spacing w:after="0"/>
              <w:rPr>
                <w:sz w:val="17"/>
                <w:szCs w:val="17"/>
                <w:color w:val="auto"/>
              </w:rPr>
            </w:pPr>
          </w:p>
        </w:tc>
        <w:tc>
          <w:tcPr>
            <w:tcW w:w="1020" w:type="dxa"/>
            <w:vAlign w:val="bottom"/>
            <w:shd w:val="clear" w:color="auto" w:fill="262626"/>
          </w:tcPr>
          <w:p>
            <w:pPr>
              <w:spacing w:after="0"/>
              <w:rPr>
                <w:sz w:val="17"/>
                <w:szCs w:val="17"/>
                <w:color w:val="auto"/>
              </w:rPr>
            </w:pPr>
          </w:p>
        </w:tc>
        <w:tc>
          <w:tcPr>
            <w:tcW w:w="1320" w:type="dxa"/>
            <w:vAlign w:val="bottom"/>
            <w:shd w:val="clear" w:color="auto" w:fill="262626"/>
          </w:tcPr>
          <w:p>
            <w:pPr>
              <w:spacing w:after="0"/>
              <w:rPr>
                <w:sz w:val="17"/>
                <w:szCs w:val="17"/>
                <w:color w:val="auto"/>
              </w:rPr>
            </w:pPr>
          </w:p>
        </w:tc>
        <w:tc>
          <w:tcPr>
            <w:tcW w:w="320" w:type="dxa"/>
            <w:vAlign w:val="bottom"/>
            <w:shd w:val="clear" w:color="auto" w:fill="262626"/>
          </w:tcPr>
          <w:p>
            <w:pPr>
              <w:spacing w:after="0"/>
              <w:rPr>
                <w:sz w:val="17"/>
                <w:szCs w:val="17"/>
                <w:color w:val="auto"/>
              </w:rPr>
            </w:pPr>
          </w:p>
        </w:tc>
        <w:tc>
          <w:tcPr>
            <w:tcW w:w="1220" w:type="dxa"/>
            <w:vAlign w:val="bottom"/>
            <w:vMerge w:val="restart"/>
            <w:shd w:val="clear" w:color="auto" w:fill="262626"/>
          </w:tcPr>
          <w:p>
            <w:pPr>
              <w:jc w:val="right"/>
              <w:ind w:right="166"/>
              <w:spacing w:after="0"/>
              <w:rPr>
                <w:sz w:val="20"/>
                <w:szCs w:val="20"/>
                <w:color w:val="auto"/>
              </w:rPr>
            </w:pPr>
            <w:r>
              <w:rPr>
                <w:rFonts w:ascii="Arial" w:cs="Arial" w:eastAsia="Arial" w:hAnsi="Arial"/>
                <w:sz w:val="15"/>
                <w:szCs w:val="15"/>
                <w:b w:val="1"/>
                <w:bCs w:val="1"/>
                <w:color w:val="FFFFFF"/>
              </w:rPr>
              <w:t>Market or</w:t>
            </w:r>
          </w:p>
        </w:tc>
        <w:tc>
          <w:tcPr>
            <w:tcW w:w="1240" w:type="dxa"/>
            <w:vAlign w:val="bottom"/>
            <w:shd w:val="clear" w:color="auto" w:fill="262626"/>
          </w:tcPr>
          <w:p>
            <w:pPr>
              <w:jc w:val="right"/>
              <w:ind w:right="6"/>
              <w:spacing w:after="0"/>
              <w:rPr>
                <w:sz w:val="20"/>
                <w:szCs w:val="20"/>
                <w:color w:val="auto"/>
              </w:rPr>
            </w:pPr>
            <w:r>
              <w:rPr>
                <w:rFonts w:ascii="Arial" w:cs="Arial" w:eastAsia="Arial" w:hAnsi="Arial"/>
                <w:sz w:val="15"/>
                <w:szCs w:val="15"/>
                <w:b w:val="1"/>
                <w:bCs w:val="1"/>
                <w:color w:val="FFFFFF"/>
              </w:rPr>
              <w:t>Market or</w:t>
            </w:r>
          </w:p>
        </w:tc>
        <w:tc>
          <w:tcPr>
            <w:tcW w:w="0" w:type="dxa"/>
            <w:vAlign w:val="bottom"/>
          </w:tcPr>
          <w:p>
            <w:pPr>
              <w:spacing w:after="0"/>
              <w:rPr>
                <w:sz w:val="1"/>
                <w:szCs w:val="1"/>
                <w:color w:val="auto"/>
              </w:rPr>
            </w:pPr>
          </w:p>
        </w:tc>
      </w:tr>
      <w:tr>
        <w:trPr>
          <w:trHeight w:val="160"/>
        </w:trPr>
        <w:tc>
          <w:tcPr>
            <w:tcW w:w="1680" w:type="dxa"/>
            <w:vAlign w:val="bottom"/>
            <w:shd w:val="clear" w:color="auto" w:fill="262626"/>
          </w:tcPr>
          <w:p>
            <w:pPr>
              <w:spacing w:after="0"/>
              <w:rPr>
                <w:sz w:val="13"/>
                <w:szCs w:val="13"/>
                <w:color w:val="auto"/>
              </w:rPr>
            </w:pPr>
          </w:p>
        </w:tc>
        <w:tc>
          <w:tcPr>
            <w:tcW w:w="1140" w:type="dxa"/>
            <w:vAlign w:val="bottom"/>
            <w:vMerge w:val="restart"/>
            <w:shd w:val="clear" w:color="auto" w:fill="262626"/>
          </w:tcPr>
          <w:p>
            <w:pPr>
              <w:jc w:val="right"/>
              <w:ind w:right="47"/>
              <w:spacing w:after="0"/>
              <w:rPr>
                <w:sz w:val="20"/>
                <w:szCs w:val="20"/>
                <w:color w:val="auto"/>
              </w:rPr>
            </w:pPr>
            <w:r>
              <w:rPr>
                <w:rFonts w:ascii="Arial" w:cs="Arial" w:eastAsia="Arial" w:hAnsi="Arial"/>
                <w:sz w:val="15"/>
                <w:szCs w:val="15"/>
                <w:b w:val="1"/>
                <w:bCs w:val="1"/>
                <w:color w:val="FFFFFF"/>
              </w:rPr>
              <w:t>Number of</w:t>
            </w:r>
          </w:p>
        </w:tc>
        <w:tc>
          <w:tcPr>
            <w:tcW w:w="440" w:type="dxa"/>
            <w:vAlign w:val="bottom"/>
            <w:shd w:val="clear" w:color="auto" w:fill="262626"/>
          </w:tcPr>
          <w:p>
            <w:pPr>
              <w:spacing w:after="0"/>
              <w:rPr>
                <w:sz w:val="13"/>
                <w:szCs w:val="13"/>
                <w:color w:val="auto"/>
              </w:rPr>
            </w:pPr>
          </w:p>
        </w:tc>
        <w:tc>
          <w:tcPr>
            <w:tcW w:w="980" w:type="dxa"/>
            <w:vAlign w:val="bottom"/>
            <w:shd w:val="clear" w:color="auto" w:fill="262626"/>
          </w:tcPr>
          <w:p>
            <w:pPr>
              <w:spacing w:after="0"/>
              <w:rPr>
                <w:sz w:val="13"/>
                <w:szCs w:val="13"/>
                <w:color w:val="auto"/>
              </w:rPr>
            </w:pPr>
          </w:p>
        </w:tc>
        <w:tc>
          <w:tcPr>
            <w:tcW w:w="1360" w:type="dxa"/>
            <w:vAlign w:val="bottom"/>
            <w:shd w:val="clear" w:color="auto" w:fill="262626"/>
          </w:tcPr>
          <w:p>
            <w:pPr>
              <w:spacing w:after="0"/>
              <w:rPr>
                <w:sz w:val="13"/>
                <w:szCs w:val="13"/>
                <w:color w:val="auto"/>
              </w:rPr>
            </w:pPr>
          </w:p>
        </w:tc>
        <w:tc>
          <w:tcPr>
            <w:tcW w:w="200" w:type="dxa"/>
            <w:vAlign w:val="bottom"/>
            <w:shd w:val="clear" w:color="auto" w:fill="262626"/>
          </w:tcPr>
          <w:p>
            <w:pPr>
              <w:spacing w:after="0"/>
              <w:rPr>
                <w:sz w:val="13"/>
                <w:szCs w:val="13"/>
                <w:color w:val="auto"/>
              </w:rPr>
            </w:pPr>
          </w:p>
        </w:tc>
        <w:tc>
          <w:tcPr>
            <w:tcW w:w="1020" w:type="dxa"/>
            <w:vAlign w:val="bottom"/>
            <w:shd w:val="clear" w:color="auto" w:fill="262626"/>
          </w:tcPr>
          <w:p>
            <w:pPr>
              <w:spacing w:after="0"/>
              <w:rPr>
                <w:sz w:val="13"/>
                <w:szCs w:val="13"/>
                <w:color w:val="auto"/>
              </w:rPr>
            </w:pPr>
          </w:p>
        </w:tc>
        <w:tc>
          <w:tcPr>
            <w:tcW w:w="1320" w:type="dxa"/>
            <w:vAlign w:val="bottom"/>
            <w:vMerge w:val="restart"/>
            <w:shd w:val="clear" w:color="auto" w:fill="262626"/>
          </w:tcPr>
          <w:p>
            <w:pPr>
              <w:jc w:val="right"/>
              <w:spacing w:after="0"/>
              <w:rPr>
                <w:sz w:val="20"/>
                <w:szCs w:val="20"/>
                <w:color w:val="auto"/>
              </w:rPr>
            </w:pPr>
            <w:r>
              <w:rPr>
                <w:rFonts w:ascii="Arial" w:cs="Arial" w:eastAsia="Arial" w:hAnsi="Arial"/>
                <w:sz w:val="15"/>
                <w:szCs w:val="15"/>
                <w:b w:val="1"/>
                <w:bCs w:val="1"/>
                <w:color w:val="FFFFFF"/>
              </w:rPr>
              <w:t>Number of</w:t>
            </w:r>
          </w:p>
        </w:tc>
        <w:tc>
          <w:tcPr>
            <w:tcW w:w="320" w:type="dxa"/>
            <w:vAlign w:val="bottom"/>
            <w:shd w:val="clear" w:color="auto" w:fill="262626"/>
          </w:tcPr>
          <w:p>
            <w:pPr>
              <w:spacing w:after="0"/>
              <w:rPr>
                <w:sz w:val="13"/>
                <w:szCs w:val="13"/>
                <w:color w:val="auto"/>
              </w:rPr>
            </w:pPr>
          </w:p>
        </w:tc>
        <w:tc>
          <w:tcPr>
            <w:tcW w:w="1220" w:type="dxa"/>
            <w:vAlign w:val="bottom"/>
            <w:vMerge w:val="continue"/>
            <w:shd w:val="clear" w:color="auto" w:fill="262626"/>
          </w:tcPr>
          <w:p>
            <w:pPr>
              <w:spacing w:after="0"/>
              <w:rPr>
                <w:sz w:val="13"/>
                <w:szCs w:val="13"/>
                <w:color w:val="auto"/>
              </w:rPr>
            </w:pPr>
          </w:p>
        </w:tc>
        <w:tc>
          <w:tcPr>
            <w:tcW w:w="1240" w:type="dxa"/>
            <w:vAlign w:val="bottom"/>
            <w:shd w:val="clear" w:color="auto" w:fill="262626"/>
          </w:tcPr>
          <w:p>
            <w:pPr>
              <w:jc w:val="right"/>
              <w:ind w:right="6"/>
              <w:spacing w:after="0" w:line="161" w:lineRule="exact"/>
              <w:rPr>
                <w:sz w:val="20"/>
                <w:szCs w:val="20"/>
                <w:color w:val="auto"/>
              </w:rPr>
            </w:pPr>
            <w:r>
              <w:rPr>
                <w:rFonts w:ascii="Arial" w:cs="Arial" w:eastAsia="Arial" w:hAnsi="Arial"/>
                <w:sz w:val="15"/>
                <w:szCs w:val="15"/>
                <w:b w:val="1"/>
                <w:bCs w:val="1"/>
                <w:color w:val="FFFFFF"/>
              </w:rPr>
              <w:t>Payout Value of</w:t>
            </w:r>
          </w:p>
        </w:tc>
        <w:tc>
          <w:tcPr>
            <w:tcW w:w="0" w:type="dxa"/>
            <w:vAlign w:val="bottom"/>
          </w:tcPr>
          <w:p>
            <w:pPr>
              <w:spacing w:after="0"/>
              <w:rPr>
                <w:sz w:val="1"/>
                <w:szCs w:val="1"/>
                <w:color w:val="auto"/>
              </w:rPr>
            </w:pPr>
          </w:p>
        </w:tc>
      </w:tr>
      <w:tr>
        <w:trPr>
          <w:trHeight w:val="160"/>
        </w:trPr>
        <w:tc>
          <w:tcPr>
            <w:tcW w:w="1680" w:type="dxa"/>
            <w:vAlign w:val="bottom"/>
            <w:shd w:val="clear" w:color="auto" w:fill="262626"/>
          </w:tcPr>
          <w:p>
            <w:pPr>
              <w:spacing w:after="0"/>
              <w:rPr>
                <w:sz w:val="13"/>
                <w:szCs w:val="13"/>
                <w:color w:val="auto"/>
              </w:rPr>
            </w:pPr>
          </w:p>
        </w:tc>
        <w:tc>
          <w:tcPr>
            <w:tcW w:w="1140" w:type="dxa"/>
            <w:vAlign w:val="bottom"/>
            <w:vMerge w:val="continue"/>
            <w:shd w:val="clear" w:color="auto" w:fill="262626"/>
          </w:tcPr>
          <w:p>
            <w:pPr>
              <w:spacing w:after="0"/>
              <w:rPr>
                <w:sz w:val="13"/>
                <w:szCs w:val="13"/>
                <w:color w:val="auto"/>
              </w:rPr>
            </w:pPr>
          </w:p>
        </w:tc>
        <w:tc>
          <w:tcPr>
            <w:tcW w:w="440" w:type="dxa"/>
            <w:vAlign w:val="bottom"/>
            <w:shd w:val="clear" w:color="auto" w:fill="262626"/>
          </w:tcPr>
          <w:p>
            <w:pPr>
              <w:spacing w:after="0"/>
              <w:rPr>
                <w:sz w:val="13"/>
                <w:szCs w:val="13"/>
                <w:color w:val="auto"/>
              </w:rPr>
            </w:pPr>
          </w:p>
        </w:tc>
        <w:tc>
          <w:tcPr>
            <w:tcW w:w="980" w:type="dxa"/>
            <w:vAlign w:val="bottom"/>
            <w:shd w:val="clear" w:color="auto" w:fill="262626"/>
          </w:tcPr>
          <w:p>
            <w:pPr>
              <w:spacing w:after="0"/>
              <w:rPr>
                <w:sz w:val="13"/>
                <w:szCs w:val="13"/>
                <w:color w:val="auto"/>
              </w:rPr>
            </w:pPr>
          </w:p>
        </w:tc>
        <w:tc>
          <w:tcPr>
            <w:tcW w:w="1360" w:type="dxa"/>
            <w:vAlign w:val="bottom"/>
            <w:shd w:val="clear" w:color="auto" w:fill="262626"/>
          </w:tcPr>
          <w:p>
            <w:pPr>
              <w:spacing w:after="0"/>
              <w:rPr>
                <w:sz w:val="13"/>
                <w:szCs w:val="13"/>
                <w:color w:val="auto"/>
              </w:rPr>
            </w:pPr>
          </w:p>
        </w:tc>
        <w:tc>
          <w:tcPr>
            <w:tcW w:w="200" w:type="dxa"/>
            <w:vAlign w:val="bottom"/>
            <w:shd w:val="clear" w:color="auto" w:fill="262626"/>
          </w:tcPr>
          <w:p>
            <w:pPr>
              <w:spacing w:after="0"/>
              <w:rPr>
                <w:sz w:val="13"/>
                <w:szCs w:val="13"/>
                <w:color w:val="auto"/>
              </w:rPr>
            </w:pPr>
          </w:p>
        </w:tc>
        <w:tc>
          <w:tcPr>
            <w:tcW w:w="1020" w:type="dxa"/>
            <w:vAlign w:val="bottom"/>
            <w:vMerge w:val="restart"/>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Value of</w:t>
            </w:r>
          </w:p>
        </w:tc>
        <w:tc>
          <w:tcPr>
            <w:tcW w:w="1320" w:type="dxa"/>
            <w:vAlign w:val="bottom"/>
            <w:vMerge w:val="continue"/>
            <w:shd w:val="clear" w:color="auto" w:fill="262626"/>
          </w:tcPr>
          <w:p>
            <w:pPr>
              <w:spacing w:after="0"/>
              <w:rPr>
                <w:sz w:val="13"/>
                <w:szCs w:val="13"/>
                <w:color w:val="auto"/>
              </w:rPr>
            </w:pPr>
          </w:p>
        </w:tc>
        <w:tc>
          <w:tcPr>
            <w:tcW w:w="1540" w:type="dxa"/>
            <w:vAlign w:val="bottom"/>
            <w:gridSpan w:val="2"/>
            <w:shd w:val="clear" w:color="auto" w:fill="262626"/>
          </w:tcPr>
          <w:p>
            <w:pPr>
              <w:ind w:left="180"/>
              <w:spacing w:after="0" w:line="161" w:lineRule="exact"/>
              <w:rPr>
                <w:sz w:val="20"/>
                <w:szCs w:val="20"/>
                <w:color w:val="auto"/>
              </w:rPr>
            </w:pPr>
            <w:r>
              <w:rPr>
                <w:rFonts w:ascii="Arial" w:cs="Arial" w:eastAsia="Arial" w:hAnsi="Arial"/>
                <w:sz w:val="15"/>
                <w:szCs w:val="15"/>
                <w:b w:val="1"/>
                <w:bCs w:val="1"/>
                <w:color w:val="FFFFFF"/>
              </w:rPr>
              <w:t>Payout Value of</w:t>
            </w:r>
          </w:p>
        </w:tc>
        <w:tc>
          <w:tcPr>
            <w:tcW w:w="1240" w:type="dxa"/>
            <w:vAlign w:val="bottom"/>
            <w:shd w:val="clear" w:color="auto" w:fill="262626"/>
          </w:tcPr>
          <w:p>
            <w:pPr>
              <w:jc w:val="right"/>
              <w:ind w:right="6"/>
              <w:spacing w:after="0" w:line="161" w:lineRule="exact"/>
              <w:rPr>
                <w:sz w:val="20"/>
                <w:szCs w:val="20"/>
                <w:color w:val="auto"/>
              </w:rPr>
            </w:pPr>
            <w:r>
              <w:rPr>
                <w:rFonts w:ascii="Arial" w:cs="Arial" w:eastAsia="Arial" w:hAnsi="Arial"/>
                <w:sz w:val="15"/>
                <w:szCs w:val="15"/>
                <w:b w:val="1"/>
                <w:bCs w:val="1"/>
                <w:color w:val="FFFFFF"/>
              </w:rPr>
              <w:t>Vested Share-</w:t>
            </w:r>
          </w:p>
        </w:tc>
        <w:tc>
          <w:tcPr>
            <w:tcW w:w="0" w:type="dxa"/>
            <w:vAlign w:val="bottom"/>
          </w:tcPr>
          <w:p>
            <w:pPr>
              <w:spacing w:after="0"/>
              <w:rPr>
                <w:sz w:val="1"/>
                <w:szCs w:val="1"/>
                <w:color w:val="auto"/>
              </w:rPr>
            </w:pPr>
          </w:p>
        </w:tc>
      </w:tr>
      <w:tr>
        <w:trPr>
          <w:trHeight w:val="160"/>
        </w:trPr>
        <w:tc>
          <w:tcPr>
            <w:tcW w:w="1680" w:type="dxa"/>
            <w:vAlign w:val="bottom"/>
            <w:shd w:val="clear" w:color="auto" w:fill="262626"/>
          </w:tcPr>
          <w:p>
            <w:pPr>
              <w:spacing w:after="0"/>
              <w:rPr>
                <w:sz w:val="13"/>
                <w:szCs w:val="13"/>
                <w:color w:val="auto"/>
              </w:rPr>
            </w:pPr>
          </w:p>
        </w:tc>
        <w:tc>
          <w:tcPr>
            <w:tcW w:w="1140" w:type="dxa"/>
            <w:vAlign w:val="bottom"/>
            <w:shd w:val="clear" w:color="auto" w:fill="262626"/>
          </w:tcPr>
          <w:p>
            <w:pPr>
              <w:jc w:val="right"/>
              <w:ind w:right="47"/>
              <w:spacing w:after="0" w:line="161" w:lineRule="exact"/>
              <w:rPr>
                <w:sz w:val="20"/>
                <w:szCs w:val="20"/>
                <w:color w:val="auto"/>
              </w:rPr>
            </w:pPr>
            <w:r>
              <w:rPr>
                <w:rFonts w:ascii="Arial" w:cs="Arial" w:eastAsia="Arial" w:hAnsi="Arial"/>
                <w:sz w:val="15"/>
                <w:szCs w:val="15"/>
                <w:b w:val="1"/>
                <w:bCs w:val="1"/>
                <w:color w:val="FFFFFF"/>
              </w:rPr>
              <w:t>Securities</w:t>
            </w:r>
          </w:p>
        </w:tc>
        <w:tc>
          <w:tcPr>
            <w:tcW w:w="440" w:type="dxa"/>
            <w:vAlign w:val="bottom"/>
            <w:shd w:val="clear" w:color="auto" w:fill="262626"/>
          </w:tcPr>
          <w:p>
            <w:pPr>
              <w:spacing w:after="0"/>
              <w:rPr>
                <w:sz w:val="13"/>
                <w:szCs w:val="13"/>
                <w:color w:val="auto"/>
              </w:rPr>
            </w:pPr>
          </w:p>
        </w:tc>
        <w:tc>
          <w:tcPr>
            <w:tcW w:w="980" w:type="dxa"/>
            <w:vAlign w:val="bottom"/>
            <w:shd w:val="clear" w:color="auto" w:fill="262626"/>
          </w:tcPr>
          <w:p>
            <w:pPr>
              <w:spacing w:after="0"/>
              <w:rPr>
                <w:sz w:val="13"/>
                <w:szCs w:val="13"/>
                <w:color w:val="auto"/>
              </w:rPr>
            </w:pPr>
          </w:p>
        </w:tc>
        <w:tc>
          <w:tcPr>
            <w:tcW w:w="1360" w:type="dxa"/>
            <w:vAlign w:val="bottom"/>
            <w:shd w:val="clear" w:color="auto" w:fill="262626"/>
          </w:tcPr>
          <w:p>
            <w:pPr>
              <w:spacing w:after="0"/>
              <w:rPr>
                <w:sz w:val="13"/>
                <w:szCs w:val="13"/>
                <w:color w:val="auto"/>
              </w:rPr>
            </w:pPr>
          </w:p>
        </w:tc>
        <w:tc>
          <w:tcPr>
            <w:tcW w:w="200" w:type="dxa"/>
            <w:vAlign w:val="bottom"/>
            <w:shd w:val="clear" w:color="auto" w:fill="262626"/>
          </w:tcPr>
          <w:p>
            <w:pPr>
              <w:spacing w:after="0"/>
              <w:rPr>
                <w:sz w:val="13"/>
                <w:szCs w:val="13"/>
                <w:color w:val="auto"/>
              </w:rPr>
            </w:pPr>
          </w:p>
        </w:tc>
        <w:tc>
          <w:tcPr>
            <w:tcW w:w="1020" w:type="dxa"/>
            <w:vAlign w:val="bottom"/>
            <w:vMerge w:val="continue"/>
            <w:shd w:val="clear" w:color="auto" w:fill="262626"/>
          </w:tcPr>
          <w:p>
            <w:pPr>
              <w:spacing w:after="0"/>
              <w:rPr>
                <w:sz w:val="13"/>
                <w:szCs w:val="13"/>
                <w:color w:val="auto"/>
              </w:rPr>
            </w:pPr>
          </w:p>
        </w:tc>
        <w:tc>
          <w:tcPr>
            <w:tcW w:w="1320" w:type="dxa"/>
            <w:vAlign w:val="bottom"/>
            <w:shd w:val="clear" w:color="auto" w:fill="262626"/>
          </w:tcPr>
          <w:p>
            <w:pPr>
              <w:jc w:val="right"/>
              <w:spacing w:after="0" w:line="161" w:lineRule="exact"/>
              <w:rPr>
                <w:sz w:val="20"/>
                <w:szCs w:val="20"/>
                <w:color w:val="auto"/>
              </w:rPr>
            </w:pPr>
            <w:r>
              <w:rPr>
                <w:rFonts w:ascii="Arial" w:cs="Arial" w:eastAsia="Arial" w:hAnsi="Arial"/>
                <w:sz w:val="15"/>
                <w:szCs w:val="15"/>
                <w:b w:val="1"/>
                <w:bCs w:val="1"/>
                <w:color w:val="FFFFFF"/>
              </w:rPr>
              <w:t>Shares or Units</w:t>
            </w:r>
          </w:p>
        </w:tc>
        <w:tc>
          <w:tcPr>
            <w:tcW w:w="320" w:type="dxa"/>
            <w:vAlign w:val="bottom"/>
            <w:shd w:val="clear" w:color="auto" w:fill="262626"/>
          </w:tcPr>
          <w:p>
            <w:pPr>
              <w:spacing w:after="0"/>
              <w:rPr>
                <w:sz w:val="13"/>
                <w:szCs w:val="13"/>
                <w:color w:val="auto"/>
              </w:rPr>
            </w:pPr>
          </w:p>
        </w:tc>
        <w:tc>
          <w:tcPr>
            <w:tcW w:w="1220" w:type="dxa"/>
            <w:vAlign w:val="bottom"/>
            <w:shd w:val="clear" w:color="auto" w:fill="262626"/>
          </w:tcPr>
          <w:p>
            <w:pPr>
              <w:jc w:val="right"/>
              <w:ind w:right="166"/>
              <w:spacing w:after="0" w:line="161" w:lineRule="exact"/>
              <w:rPr>
                <w:sz w:val="20"/>
                <w:szCs w:val="20"/>
                <w:color w:val="auto"/>
              </w:rPr>
            </w:pPr>
            <w:r>
              <w:rPr>
                <w:rFonts w:ascii="Arial" w:cs="Arial" w:eastAsia="Arial" w:hAnsi="Arial"/>
                <w:sz w:val="15"/>
                <w:szCs w:val="15"/>
                <w:b w:val="1"/>
                <w:bCs w:val="1"/>
                <w:color w:val="FFFFFF"/>
              </w:rPr>
              <w:t>Share-Based</w:t>
            </w:r>
          </w:p>
        </w:tc>
        <w:tc>
          <w:tcPr>
            <w:tcW w:w="1240" w:type="dxa"/>
            <w:vAlign w:val="bottom"/>
            <w:shd w:val="clear" w:color="auto" w:fill="262626"/>
          </w:tcPr>
          <w:p>
            <w:pPr>
              <w:jc w:val="right"/>
              <w:ind w:right="6"/>
              <w:spacing w:after="0" w:line="161" w:lineRule="exact"/>
              <w:rPr>
                <w:sz w:val="20"/>
                <w:szCs w:val="20"/>
                <w:color w:val="auto"/>
              </w:rPr>
            </w:pPr>
            <w:r>
              <w:rPr>
                <w:rFonts w:ascii="Arial" w:cs="Arial" w:eastAsia="Arial" w:hAnsi="Arial"/>
                <w:sz w:val="15"/>
                <w:szCs w:val="15"/>
                <w:b w:val="1"/>
                <w:bCs w:val="1"/>
                <w:color w:val="FFFFFF"/>
              </w:rPr>
              <w:t>Based</w:t>
            </w:r>
          </w:p>
        </w:tc>
        <w:tc>
          <w:tcPr>
            <w:tcW w:w="0" w:type="dxa"/>
            <w:vAlign w:val="bottom"/>
          </w:tcPr>
          <w:p>
            <w:pPr>
              <w:spacing w:after="0"/>
              <w:rPr>
                <w:sz w:val="1"/>
                <w:szCs w:val="1"/>
                <w:color w:val="auto"/>
              </w:rPr>
            </w:pPr>
          </w:p>
        </w:tc>
      </w:tr>
      <w:tr>
        <w:trPr>
          <w:trHeight w:val="160"/>
        </w:trPr>
        <w:tc>
          <w:tcPr>
            <w:tcW w:w="1680" w:type="dxa"/>
            <w:vAlign w:val="bottom"/>
            <w:shd w:val="clear" w:color="auto" w:fill="262626"/>
          </w:tcPr>
          <w:p>
            <w:pPr>
              <w:spacing w:after="0"/>
              <w:rPr>
                <w:sz w:val="13"/>
                <w:szCs w:val="13"/>
                <w:color w:val="auto"/>
              </w:rPr>
            </w:pPr>
          </w:p>
        </w:tc>
        <w:tc>
          <w:tcPr>
            <w:tcW w:w="1140" w:type="dxa"/>
            <w:vAlign w:val="bottom"/>
            <w:shd w:val="clear" w:color="auto" w:fill="262626"/>
          </w:tcPr>
          <w:p>
            <w:pPr>
              <w:jc w:val="right"/>
              <w:ind w:right="47"/>
              <w:spacing w:after="0" w:line="161" w:lineRule="exact"/>
              <w:rPr>
                <w:sz w:val="20"/>
                <w:szCs w:val="20"/>
                <w:color w:val="auto"/>
              </w:rPr>
            </w:pPr>
            <w:r>
              <w:rPr>
                <w:rFonts w:ascii="Arial" w:cs="Arial" w:eastAsia="Arial" w:hAnsi="Arial"/>
                <w:sz w:val="15"/>
                <w:szCs w:val="15"/>
                <w:b w:val="1"/>
                <w:bCs w:val="1"/>
                <w:color w:val="FFFFFF"/>
              </w:rPr>
              <w:t>Underlying</w:t>
            </w:r>
          </w:p>
        </w:tc>
        <w:tc>
          <w:tcPr>
            <w:tcW w:w="1420" w:type="dxa"/>
            <w:vAlign w:val="bottom"/>
            <w:gridSpan w:val="2"/>
            <w:vMerge w:val="restart"/>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Option Exercise</w:t>
            </w:r>
          </w:p>
        </w:tc>
        <w:tc>
          <w:tcPr>
            <w:tcW w:w="1360" w:type="dxa"/>
            <w:vAlign w:val="bottom"/>
            <w:vMerge w:val="restart"/>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Option</w:t>
            </w:r>
          </w:p>
        </w:tc>
        <w:tc>
          <w:tcPr>
            <w:tcW w:w="200" w:type="dxa"/>
            <w:vAlign w:val="bottom"/>
            <w:shd w:val="clear" w:color="auto" w:fill="262626"/>
          </w:tcPr>
          <w:p>
            <w:pPr>
              <w:spacing w:after="0"/>
              <w:rPr>
                <w:sz w:val="13"/>
                <w:szCs w:val="13"/>
                <w:color w:val="auto"/>
              </w:rPr>
            </w:pPr>
          </w:p>
        </w:tc>
        <w:tc>
          <w:tcPr>
            <w:tcW w:w="1020" w:type="dxa"/>
            <w:vAlign w:val="bottom"/>
            <w:shd w:val="clear" w:color="auto" w:fill="262626"/>
          </w:tcPr>
          <w:p>
            <w:pPr>
              <w:jc w:val="right"/>
              <w:ind w:right="48"/>
              <w:spacing w:after="0" w:line="161" w:lineRule="exact"/>
              <w:rPr>
                <w:sz w:val="20"/>
                <w:szCs w:val="20"/>
                <w:color w:val="auto"/>
              </w:rPr>
            </w:pPr>
            <w:r>
              <w:rPr>
                <w:rFonts w:ascii="Arial" w:cs="Arial" w:eastAsia="Arial" w:hAnsi="Arial"/>
                <w:sz w:val="15"/>
                <w:szCs w:val="15"/>
                <w:b w:val="1"/>
                <w:bCs w:val="1"/>
                <w:color w:val="FFFFFF"/>
                <w:w w:val="98"/>
              </w:rPr>
              <w:t>Unexercised</w:t>
            </w:r>
          </w:p>
        </w:tc>
        <w:tc>
          <w:tcPr>
            <w:tcW w:w="1320" w:type="dxa"/>
            <w:vAlign w:val="bottom"/>
            <w:shd w:val="clear" w:color="auto" w:fill="262626"/>
          </w:tcPr>
          <w:p>
            <w:pPr>
              <w:jc w:val="right"/>
              <w:spacing w:after="0" w:line="161" w:lineRule="exact"/>
              <w:rPr>
                <w:sz w:val="20"/>
                <w:szCs w:val="20"/>
                <w:color w:val="auto"/>
              </w:rPr>
            </w:pPr>
            <w:r>
              <w:rPr>
                <w:rFonts w:ascii="Arial" w:cs="Arial" w:eastAsia="Arial" w:hAnsi="Arial"/>
                <w:sz w:val="15"/>
                <w:szCs w:val="15"/>
                <w:b w:val="1"/>
                <w:bCs w:val="1"/>
                <w:color w:val="FFFFFF"/>
              </w:rPr>
              <w:t>of Shares That</w:t>
            </w:r>
          </w:p>
        </w:tc>
        <w:tc>
          <w:tcPr>
            <w:tcW w:w="320" w:type="dxa"/>
            <w:vAlign w:val="bottom"/>
            <w:shd w:val="clear" w:color="auto" w:fill="262626"/>
          </w:tcPr>
          <w:p>
            <w:pPr>
              <w:spacing w:after="0"/>
              <w:rPr>
                <w:sz w:val="13"/>
                <w:szCs w:val="13"/>
                <w:color w:val="auto"/>
              </w:rPr>
            </w:pPr>
          </w:p>
        </w:tc>
        <w:tc>
          <w:tcPr>
            <w:tcW w:w="1220" w:type="dxa"/>
            <w:vAlign w:val="bottom"/>
            <w:shd w:val="clear" w:color="auto" w:fill="262626"/>
          </w:tcPr>
          <w:p>
            <w:pPr>
              <w:jc w:val="right"/>
              <w:ind w:right="166"/>
              <w:spacing w:after="0" w:line="161" w:lineRule="exact"/>
              <w:rPr>
                <w:sz w:val="20"/>
                <w:szCs w:val="20"/>
                <w:color w:val="auto"/>
              </w:rPr>
            </w:pPr>
            <w:r>
              <w:rPr>
                <w:rFonts w:ascii="Arial" w:cs="Arial" w:eastAsia="Arial" w:hAnsi="Arial"/>
                <w:sz w:val="15"/>
                <w:szCs w:val="15"/>
                <w:b w:val="1"/>
                <w:bCs w:val="1"/>
                <w:color w:val="FFFFFF"/>
              </w:rPr>
              <w:t>Awards That</w:t>
            </w:r>
          </w:p>
        </w:tc>
        <w:tc>
          <w:tcPr>
            <w:tcW w:w="1240" w:type="dxa"/>
            <w:vAlign w:val="bottom"/>
            <w:shd w:val="clear" w:color="auto" w:fill="262626"/>
          </w:tcPr>
          <w:p>
            <w:pPr>
              <w:jc w:val="right"/>
              <w:ind w:right="6"/>
              <w:spacing w:after="0" w:line="161" w:lineRule="exact"/>
              <w:rPr>
                <w:sz w:val="20"/>
                <w:szCs w:val="20"/>
                <w:color w:val="auto"/>
              </w:rPr>
            </w:pPr>
            <w:r>
              <w:rPr>
                <w:rFonts w:ascii="Arial" w:cs="Arial" w:eastAsia="Arial" w:hAnsi="Arial"/>
                <w:sz w:val="15"/>
                <w:szCs w:val="15"/>
                <w:b w:val="1"/>
                <w:bCs w:val="1"/>
                <w:color w:val="FFFFFF"/>
              </w:rPr>
              <w:t>Awards Not</w:t>
            </w:r>
          </w:p>
        </w:tc>
        <w:tc>
          <w:tcPr>
            <w:tcW w:w="0" w:type="dxa"/>
            <w:vAlign w:val="bottom"/>
          </w:tcPr>
          <w:p>
            <w:pPr>
              <w:spacing w:after="0"/>
              <w:rPr>
                <w:sz w:val="1"/>
                <w:szCs w:val="1"/>
                <w:color w:val="auto"/>
              </w:rPr>
            </w:pPr>
          </w:p>
        </w:tc>
      </w:tr>
      <w:tr>
        <w:trPr>
          <w:trHeight w:val="160"/>
        </w:trPr>
        <w:tc>
          <w:tcPr>
            <w:tcW w:w="1680" w:type="dxa"/>
            <w:vAlign w:val="bottom"/>
            <w:vMerge w:val="restart"/>
            <w:shd w:val="clear" w:color="auto" w:fill="262626"/>
          </w:tcPr>
          <w:p>
            <w:pPr>
              <w:ind w:left="100"/>
              <w:spacing w:after="0"/>
              <w:rPr>
                <w:sz w:val="20"/>
                <w:szCs w:val="20"/>
                <w:color w:val="auto"/>
              </w:rPr>
            </w:pPr>
            <w:r>
              <w:rPr>
                <w:rFonts w:ascii="Arial" w:cs="Arial" w:eastAsia="Arial" w:hAnsi="Arial"/>
                <w:sz w:val="15"/>
                <w:szCs w:val="15"/>
                <w:b w:val="1"/>
                <w:bCs w:val="1"/>
                <w:color w:val="FFFFFF"/>
              </w:rPr>
              <w:t>Name</w:t>
            </w:r>
          </w:p>
        </w:tc>
        <w:tc>
          <w:tcPr>
            <w:tcW w:w="1140" w:type="dxa"/>
            <w:vAlign w:val="bottom"/>
            <w:shd w:val="clear" w:color="auto" w:fill="262626"/>
          </w:tcPr>
          <w:p>
            <w:pPr>
              <w:jc w:val="right"/>
              <w:ind w:right="47"/>
              <w:spacing w:after="0" w:line="161" w:lineRule="exact"/>
              <w:rPr>
                <w:sz w:val="20"/>
                <w:szCs w:val="20"/>
                <w:color w:val="auto"/>
              </w:rPr>
            </w:pPr>
            <w:r>
              <w:rPr>
                <w:rFonts w:ascii="Arial" w:cs="Arial" w:eastAsia="Arial" w:hAnsi="Arial"/>
                <w:sz w:val="15"/>
                <w:szCs w:val="15"/>
                <w:b w:val="1"/>
                <w:bCs w:val="1"/>
                <w:color w:val="FFFFFF"/>
              </w:rPr>
              <w:t>Unexercised</w:t>
            </w:r>
          </w:p>
        </w:tc>
        <w:tc>
          <w:tcPr>
            <w:tcW w:w="1420" w:type="dxa"/>
            <w:vAlign w:val="bottom"/>
            <w:gridSpan w:val="2"/>
            <w:vMerge w:val="continue"/>
            <w:shd w:val="clear" w:color="auto" w:fill="262626"/>
          </w:tcPr>
          <w:p>
            <w:pPr>
              <w:spacing w:after="0"/>
              <w:rPr>
                <w:sz w:val="13"/>
                <w:szCs w:val="13"/>
                <w:color w:val="auto"/>
              </w:rPr>
            </w:pPr>
          </w:p>
        </w:tc>
        <w:tc>
          <w:tcPr>
            <w:tcW w:w="1360" w:type="dxa"/>
            <w:vAlign w:val="bottom"/>
            <w:vMerge w:val="continue"/>
            <w:shd w:val="clear" w:color="auto" w:fill="262626"/>
          </w:tcPr>
          <w:p>
            <w:pPr>
              <w:spacing w:after="0"/>
              <w:rPr>
                <w:sz w:val="13"/>
                <w:szCs w:val="13"/>
                <w:color w:val="auto"/>
              </w:rPr>
            </w:pPr>
          </w:p>
        </w:tc>
        <w:tc>
          <w:tcPr>
            <w:tcW w:w="1220" w:type="dxa"/>
            <w:vAlign w:val="bottom"/>
            <w:gridSpan w:val="2"/>
            <w:shd w:val="clear" w:color="auto" w:fill="262626"/>
          </w:tcPr>
          <w:p>
            <w:pPr>
              <w:jc w:val="right"/>
              <w:ind w:right="48"/>
              <w:spacing w:after="0" w:line="161" w:lineRule="exact"/>
              <w:rPr>
                <w:sz w:val="20"/>
                <w:szCs w:val="20"/>
                <w:color w:val="auto"/>
              </w:rPr>
            </w:pPr>
            <w:r>
              <w:rPr>
                <w:rFonts w:ascii="Arial" w:cs="Arial" w:eastAsia="Arial" w:hAnsi="Arial"/>
                <w:sz w:val="15"/>
                <w:szCs w:val="15"/>
                <w:b w:val="1"/>
                <w:bCs w:val="1"/>
                <w:color w:val="FFFFFF"/>
              </w:rPr>
              <w:t>In-The-Money</w:t>
            </w:r>
          </w:p>
        </w:tc>
        <w:tc>
          <w:tcPr>
            <w:tcW w:w="1320" w:type="dxa"/>
            <w:vAlign w:val="bottom"/>
            <w:shd w:val="clear" w:color="auto" w:fill="262626"/>
          </w:tcPr>
          <w:p>
            <w:pPr>
              <w:jc w:val="right"/>
              <w:spacing w:after="0" w:line="161" w:lineRule="exact"/>
              <w:rPr>
                <w:sz w:val="20"/>
                <w:szCs w:val="20"/>
                <w:color w:val="auto"/>
              </w:rPr>
            </w:pPr>
            <w:r>
              <w:rPr>
                <w:rFonts w:ascii="Arial" w:cs="Arial" w:eastAsia="Arial" w:hAnsi="Arial"/>
                <w:sz w:val="15"/>
                <w:szCs w:val="15"/>
                <w:b w:val="1"/>
                <w:bCs w:val="1"/>
                <w:color w:val="FFFFFF"/>
              </w:rPr>
              <w:t>Have Not</w:t>
            </w:r>
          </w:p>
        </w:tc>
        <w:tc>
          <w:tcPr>
            <w:tcW w:w="320" w:type="dxa"/>
            <w:vAlign w:val="bottom"/>
            <w:shd w:val="clear" w:color="auto" w:fill="262626"/>
          </w:tcPr>
          <w:p>
            <w:pPr>
              <w:spacing w:after="0"/>
              <w:rPr>
                <w:sz w:val="13"/>
                <w:szCs w:val="13"/>
                <w:color w:val="auto"/>
              </w:rPr>
            </w:pPr>
          </w:p>
        </w:tc>
        <w:tc>
          <w:tcPr>
            <w:tcW w:w="1220" w:type="dxa"/>
            <w:vAlign w:val="bottom"/>
            <w:shd w:val="clear" w:color="auto" w:fill="262626"/>
          </w:tcPr>
          <w:p>
            <w:pPr>
              <w:jc w:val="right"/>
              <w:ind w:right="166"/>
              <w:spacing w:after="0" w:line="161" w:lineRule="exact"/>
              <w:rPr>
                <w:sz w:val="20"/>
                <w:szCs w:val="20"/>
                <w:color w:val="auto"/>
              </w:rPr>
            </w:pPr>
            <w:r>
              <w:rPr>
                <w:rFonts w:ascii="Arial" w:cs="Arial" w:eastAsia="Arial" w:hAnsi="Arial"/>
                <w:sz w:val="15"/>
                <w:szCs w:val="15"/>
                <w:b w:val="1"/>
                <w:bCs w:val="1"/>
                <w:color w:val="FFFFFF"/>
              </w:rPr>
              <w:t>Have Not</w:t>
            </w:r>
          </w:p>
        </w:tc>
        <w:tc>
          <w:tcPr>
            <w:tcW w:w="1240" w:type="dxa"/>
            <w:vAlign w:val="bottom"/>
            <w:shd w:val="clear" w:color="auto" w:fill="262626"/>
          </w:tcPr>
          <w:p>
            <w:pPr>
              <w:jc w:val="right"/>
              <w:ind w:right="6"/>
              <w:spacing w:after="0" w:line="161" w:lineRule="exact"/>
              <w:rPr>
                <w:sz w:val="20"/>
                <w:szCs w:val="20"/>
                <w:color w:val="auto"/>
              </w:rPr>
            </w:pPr>
            <w:r>
              <w:rPr>
                <w:rFonts w:ascii="Arial" w:cs="Arial" w:eastAsia="Arial" w:hAnsi="Arial"/>
                <w:sz w:val="15"/>
                <w:szCs w:val="15"/>
                <w:b w:val="1"/>
                <w:bCs w:val="1"/>
                <w:color w:val="FFFFFF"/>
              </w:rPr>
              <w:t>Paid Out or</w:t>
            </w:r>
          </w:p>
        </w:tc>
        <w:tc>
          <w:tcPr>
            <w:tcW w:w="0" w:type="dxa"/>
            <w:vAlign w:val="bottom"/>
          </w:tcPr>
          <w:p>
            <w:pPr>
              <w:spacing w:after="0"/>
              <w:rPr>
                <w:sz w:val="1"/>
                <w:szCs w:val="1"/>
                <w:color w:val="auto"/>
              </w:rPr>
            </w:pPr>
          </w:p>
        </w:tc>
      </w:tr>
      <w:tr>
        <w:trPr>
          <w:trHeight w:val="218"/>
        </w:trPr>
        <w:tc>
          <w:tcPr>
            <w:tcW w:w="1680" w:type="dxa"/>
            <w:vAlign w:val="bottom"/>
            <w:vMerge w:val="continue"/>
            <w:shd w:val="clear" w:color="auto" w:fill="262626"/>
          </w:tcPr>
          <w:p>
            <w:pPr>
              <w:spacing w:after="0"/>
              <w:rPr>
                <w:sz w:val="18"/>
                <w:szCs w:val="18"/>
                <w:color w:val="auto"/>
              </w:rPr>
            </w:pPr>
          </w:p>
        </w:tc>
        <w:tc>
          <w:tcPr>
            <w:tcW w:w="1140" w:type="dxa"/>
            <w:vAlign w:val="bottom"/>
            <w:shd w:val="clear" w:color="auto" w:fill="262626"/>
          </w:tcPr>
          <w:p>
            <w:pPr>
              <w:jc w:val="right"/>
              <w:ind w:right="47"/>
              <w:spacing w:after="0"/>
              <w:rPr>
                <w:sz w:val="20"/>
                <w:szCs w:val="20"/>
                <w:color w:val="auto"/>
              </w:rPr>
            </w:pPr>
            <w:r>
              <w:rPr>
                <w:rFonts w:ascii="Arial" w:cs="Arial" w:eastAsia="Arial" w:hAnsi="Arial"/>
                <w:sz w:val="15"/>
                <w:szCs w:val="15"/>
                <w:b w:val="1"/>
                <w:bCs w:val="1"/>
                <w:color w:val="FFFFFF"/>
              </w:rPr>
              <w:t>Options (#)</w:t>
            </w:r>
          </w:p>
        </w:tc>
        <w:tc>
          <w:tcPr>
            <w:tcW w:w="440" w:type="dxa"/>
            <w:vAlign w:val="bottom"/>
            <w:shd w:val="clear" w:color="auto" w:fill="262626"/>
          </w:tcPr>
          <w:p>
            <w:pPr>
              <w:spacing w:after="0"/>
              <w:rPr>
                <w:sz w:val="18"/>
                <w:szCs w:val="18"/>
                <w:color w:val="auto"/>
              </w:rPr>
            </w:pPr>
          </w:p>
        </w:tc>
        <w:tc>
          <w:tcPr>
            <w:tcW w:w="980" w:type="dxa"/>
            <w:vAlign w:val="bottom"/>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Price ($)</w:t>
            </w:r>
          </w:p>
        </w:tc>
        <w:tc>
          <w:tcPr>
            <w:tcW w:w="1360" w:type="dxa"/>
            <w:vAlign w:val="bottom"/>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Expiration Date</w:t>
            </w:r>
          </w:p>
        </w:tc>
        <w:tc>
          <w:tcPr>
            <w:tcW w:w="200" w:type="dxa"/>
            <w:vAlign w:val="bottom"/>
            <w:shd w:val="clear" w:color="auto" w:fill="262626"/>
          </w:tcPr>
          <w:p>
            <w:pPr>
              <w:spacing w:after="0"/>
              <w:rPr>
                <w:sz w:val="18"/>
                <w:szCs w:val="18"/>
                <w:color w:val="auto"/>
              </w:rPr>
            </w:pPr>
          </w:p>
        </w:tc>
        <w:tc>
          <w:tcPr>
            <w:tcW w:w="1020" w:type="dxa"/>
            <w:vAlign w:val="bottom"/>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Options ($)</w:t>
            </w:r>
          </w:p>
        </w:tc>
        <w:tc>
          <w:tcPr>
            <w:tcW w:w="1320" w:type="dxa"/>
            <w:vAlign w:val="bottom"/>
            <w:shd w:val="clear" w:color="auto" w:fill="262626"/>
          </w:tcPr>
          <w:p>
            <w:pPr>
              <w:jc w:val="right"/>
              <w:spacing w:after="0"/>
              <w:rPr>
                <w:sz w:val="20"/>
                <w:szCs w:val="20"/>
                <w:color w:val="auto"/>
              </w:rPr>
            </w:pPr>
            <w:r>
              <w:rPr>
                <w:rFonts w:ascii="Arial" w:cs="Arial" w:eastAsia="Arial" w:hAnsi="Arial"/>
                <w:sz w:val="15"/>
                <w:szCs w:val="15"/>
                <w:b w:val="1"/>
                <w:bCs w:val="1"/>
                <w:color w:val="FFFFFF"/>
              </w:rPr>
              <w:t>Vested (#)</w:t>
            </w:r>
          </w:p>
        </w:tc>
        <w:tc>
          <w:tcPr>
            <w:tcW w:w="320" w:type="dxa"/>
            <w:vAlign w:val="bottom"/>
            <w:shd w:val="clear" w:color="auto" w:fill="262626"/>
          </w:tcPr>
          <w:p>
            <w:pPr>
              <w:spacing w:after="0"/>
              <w:rPr>
                <w:sz w:val="18"/>
                <w:szCs w:val="18"/>
                <w:color w:val="auto"/>
              </w:rPr>
            </w:pPr>
          </w:p>
        </w:tc>
        <w:tc>
          <w:tcPr>
            <w:tcW w:w="1220" w:type="dxa"/>
            <w:vAlign w:val="bottom"/>
            <w:shd w:val="clear" w:color="auto" w:fill="262626"/>
          </w:tcPr>
          <w:p>
            <w:pPr>
              <w:jc w:val="right"/>
              <w:ind w:right="166"/>
              <w:spacing w:after="0"/>
              <w:rPr>
                <w:sz w:val="20"/>
                <w:szCs w:val="20"/>
                <w:color w:val="auto"/>
              </w:rPr>
            </w:pPr>
            <w:r>
              <w:rPr>
                <w:rFonts w:ascii="Arial" w:cs="Arial" w:eastAsia="Arial" w:hAnsi="Arial"/>
                <w:sz w:val="15"/>
                <w:szCs w:val="15"/>
                <w:b w:val="1"/>
                <w:bCs w:val="1"/>
                <w:color w:val="FFFFFF"/>
              </w:rPr>
              <w:t>Vested ($)</w:t>
            </w:r>
          </w:p>
        </w:tc>
        <w:tc>
          <w:tcPr>
            <w:tcW w:w="1240" w:type="dxa"/>
            <w:vAlign w:val="bottom"/>
            <w:shd w:val="clear" w:color="auto" w:fill="262626"/>
          </w:tcPr>
          <w:p>
            <w:pPr>
              <w:jc w:val="right"/>
              <w:ind w:right="6"/>
              <w:spacing w:after="0"/>
              <w:rPr>
                <w:sz w:val="20"/>
                <w:szCs w:val="20"/>
                <w:color w:val="auto"/>
              </w:rPr>
            </w:pPr>
            <w:r>
              <w:rPr>
                <w:rFonts w:ascii="Arial" w:cs="Arial" w:eastAsia="Arial" w:hAnsi="Arial"/>
                <w:sz w:val="15"/>
                <w:szCs w:val="15"/>
                <w:b w:val="1"/>
                <w:bCs w:val="1"/>
                <w:color w:val="FFFFFF"/>
              </w:rPr>
              <w:t>Distributed ($)</w:t>
            </w:r>
          </w:p>
        </w:tc>
        <w:tc>
          <w:tcPr>
            <w:tcW w:w="0" w:type="dxa"/>
            <w:vAlign w:val="bottom"/>
          </w:tcPr>
          <w:p>
            <w:pPr>
              <w:spacing w:after="0"/>
              <w:rPr>
                <w:sz w:val="1"/>
                <w:szCs w:val="1"/>
                <w:color w:val="auto"/>
              </w:rPr>
            </w:pPr>
          </w:p>
        </w:tc>
      </w:tr>
      <w:tr>
        <w:trPr>
          <w:trHeight w:val="227"/>
        </w:trPr>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Steve Hasker</w:t>
            </w: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234,956</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75.96</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3/4/2030</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16,508,009</w:t>
            </w:r>
          </w:p>
        </w:tc>
        <w:tc>
          <w:tcPr>
            <w:tcW w:w="1320" w:type="dxa"/>
            <w:vAlign w:val="bottom"/>
          </w:tcPr>
          <w:p>
            <w:pPr>
              <w:jc w:val="right"/>
              <w:spacing w:after="0"/>
              <w:rPr>
                <w:sz w:val="20"/>
                <w:szCs w:val="20"/>
                <w:color w:val="auto"/>
              </w:rPr>
            </w:pPr>
            <w:r>
              <w:rPr>
                <w:rFonts w:ascii="Arial" w:cs="Arial" w:eastAsia="Arial" w:hAnsi="Arial"/>
                <w:sz w:val="14"/>
                <w:szCs w:val="14"/>
                <w:color w:val="auto"/>
              </w:rPr>
              <w:t>147,782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6"/>
              <w:spacing w:after="0"/>
              <w:rPr>
                <w:sz w:val="20"/>
                <w:szCs w:val="20"/>
                <w:color w:val="auto"/>
              </w:rPr>
            </w:pPr>
            <w:r>
              <w:rPr>
                <w:rFonts w:ascii="Arial" w:cs="Arial" w:eastAsia="Arial" w:hAnsi="Arial"/>
                <w:sz w:val="14"/>
                <w:szCs w:val="14"/>
                <w:color w:val="auto"/>
              </w:rPr>
              <w:t>21,608,684</w:t>
            </w:r>
          </w:p>
        </w:tc>
        <w:tc>
          <w:tcPr>
            <w:tcW w:w="1240" w:type="dxa"/>
            <w:vAlign w:val="bottom"/>
          </w:tcPr>
          <w:p>
            <w:pPr>
              <w:jc w:val="right"/>
              <w:ind w:right="50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141,911</w:t>
            </w:r>
          </w:p>
        </w:tc>
        <w:tc>
          <w:tcPr>
            <w:tcW w:w="440" w:type="dxa"/>
            <w:vAlign w:val="bottom"/>
            <w:tcBorders>
              <w:bottom w:val="single" w:sz="8" w:color="AFAFAF"/>
            </w:tcBorders>
          </w:tcPr>
          <w:p>
            <w:pPr>
              <w:spacing w:after="0"/>
              <w:rPr>
                <w:sz w:val="18"/>
                <w:szCs w:val="18"/>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88.87</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3/3/2031</w:t>
            </w:r>
          </w:p>
        </w:tc>
        <w:tc>
          <w:tcPr>
            <w:tcW w:w="200" w:type="dxa"/>
            <w:vAlign w:val="bottom"/>
            <w:tcBorders>
              <w:bottom w:val="single" w:sz="8" w:color="AFAFAF"/>
            </w:tcBorders>
          </w:tcPr>
          <w:p>
            <w:pPr>
              <w:spacing w:after="0"/>
              <w:rPr>
                <w:sz w:val="18"/>
                <w:szCs w:val="18"/>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8,138,596</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80" w:type="dxa"/>
            <w:vAlign w:val="bottom"/>
          </w:tcPr>
          <w:p>
            <w:pPr>
              <w:spacing w:after="0"/>
              <w:rPr>
                <w:sz w:val="19"/>
                <w:szCs w:val="19"/>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103,721</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102.00</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3/2/2032</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4,586,543</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80" w:type="dxa"/>
            <w:vAlign w:val="bottom"/>
            <w:tcBorders>
              <w:bottom w:val="single" w:sz="8" w:color="AFAFAF"/>
            </w:tcBorders>
          </w:tcPr>
          <w:p>
            <w:pPr>
              <w:spacing w:after="0"/>
              <w:rPr>
                <w:sz w:val="19"/>
                <w:szCs w:val="19"/>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63,730</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121.03</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3/1/2033</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1,605,359</w:t>
            </w:r>
          </w:p>
        </w:tc>
        <w:tc>
          <w:tcPr>
            <w:tcW w:w="1320" w:type="dxa"/>
            <w:vAlign w:val="bottom"/>
            <w:tcBorders>
              <w:bottom w:val="single" w:sz="8" w:color="AFAFAF"/>
            </w:tcBorders>
          </w:tcPr>
          <w:p>
            <w:pPr>
              <w:spacing w:after="0"/>
              <w:rPr>
                <w:sz w:val="19"/>
                <w:szCs w:val="19"/>
                <w:color w:val="auto"/>
              </w:rPr>
            </w:pPr>
          </w:p>
        </w:tc>
        <w:tc>
          <w:tcPr>
            <w:tcW w:w="320" w:type="dxa"/>
            <w:vAlign w:val="bottom"/>
            <w:tcBorders>
              <w:bottom w:val="single" w:sz="8" w:color="AFAFAF"/>
            </w:tcBorders>
          </w:tcPr>
          <w:p>
            <w:pPr>
              <w:spacing w:after="0"/>
              <w:rPr>
                <w:sz w:val="19"/>
                <w:szCs w:val="19"/>
                <w:color w:val="auto"/>
              </w:rPr>
            </w:pPr>
          </w:p>
        </w:tc>
        <w:tc>
          <w:tcPr>
            <w:tcW w:w="1220" w:type="dxa"/>
            <w:vAlign w:val="bottom"/>
            <w:tcBorders>
              <w:bottom w:val="single" w:sz="8" w:color="AFAFAF"/>
            </w:tcBorders>
          </w:tcPr>
          <w:p>
            <w:pPr>
              <w:spacing w:after="0"/>
              <w:rPr>
                <w:sz w:val="19"/>
                <w:szCs w:val="19"/>
                <w:color w:val="auto"/>
              </w:rPr>
            </w:pPr>
          </w:p>
        </w:tc>
        <w:tc>
          <w:tcPr>
            <w:tcW w:w="1240" w:type="dxa"/>
            <w:vAlign w:val="bottom"/>
            <w:tcBorders>
              <w:bottom w:val="single" w:sz="8" w:color="AFAFA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Mike Eastwood</w:t>
            </w: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14,906</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75.96</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3/4/2030</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1,047,296</w:t>
            </w:r>
          </w:p>
        </w:tc>
        <w:tc>
          <w:tcPr>
            <w:tcW w:w="1320" w:type="dxa"/>
            <w:vAlign w:val="bottom"/>
          </w:tcPr>
          <w:p>
            <w:pPr>
              <w:jc w:val="right"/>
              <w:spacing w:after="0"/>
              <w:rPr>
                <w:sz w:val="20"/>
                <w:szCs w:val="20"/>
                <w:color w:val="auto"/>
              </w:rPr>
            </w:pPr>
            <w:r>
              <w:rPr>
                <w:rFonts w:ascii="Arial" w:cs="Arial" w:eastAsia="Arial" w:hAnsi="Arial"/>
                <w:sz w:val="14"/>
                <w:szCs w:val="14"/>
                <w:color w:val="auto"/>
              </w:rPr>
              <w:t>37,601</w:t>
            </w:r>
          </w:p>
        </w:tc>
        <w:tc>
          <w:tcPr>
            <w:tcW w:w="320" w:type="dxa"/>
            <w:vAlign w:val="bottom"/>
          </w:tcPr>
          <w:p>
            <w:pPr>
              <w:spacing w:after="0"/>
              <w:rPr>
                <w:sz w:val="19"/>
                <w:szCs w:val="19"/>
                <w:color w:val="auto"/>
              </w:rPr>
            </w:pPr>
          </w:p>
        </w:tc>
        <w:tc>
          <w:tcPr>
            <w:tcW w:w="1220" w:type="dxa"/>
            <w:vAlign w:val="bottom"/>
          </w:tcPr>
          <w:p>
            <w:pPr>
              <w:jc w:val="right"/>
              <w:ind w:right="166"/>
              <w:spacing w:after="0"/>
              <w:rPr>
                <w:sz w:val="20"/>
                <w:szCs w:val="20"/>
                <w:color w:val="auto"/>
              </w:rPr>
            </w:pPr>
            <w:r>
              <w:rPr>
                <w:rFonts w:ascii="Arial" w:cs="Arial" w:eastAsia="Arial" w:hAnsi="Arial"/>
                <w:sz w:val="14"/>
                <w:szCs w:val="14"/>
                <w:color w:val="auto"/>
              </w:rPr>
              <w:t>5,498,018</w:t>
            </w:r>
          </w:p>
        </w:tc>
        <w:tc>
          <w:tcPr>
            <w:tcW w:w="1240" w:type="dxa"/>
            <w:vAlign w:val="bottom"/>
          </w:tcPr>
          <w:p>
            <w:pPr>
              <w:jc w:val="right"/>
              <w:ind w:right="50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17,960</w:t>
            </w:r>
          </w:p>
        </w:tc>
        <w:tc>
          <w:tcPr>
            <w:tcW w:w="440" w:type="dxa"/>
            <w:vAlign w:val="bottom"/>
            <w:tcBorders>
              <w:bottom w:val="single" w:sz="8" w:color="AFAFAF"/>
            </w:tcBorders>
          </w:tcPr>
          <w:p>
            <w:pPr>
              <w:spacing w:after="0"/>
              <w:rPr>
                <w:sz w:val="18"/>
                <w:szCs w:val="18"/>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88.87</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3/3/2031</w:t>
            </w:r>
          </w:p>
        </w:tc>
        <w:tc>
          <w:tcPr>
            <w:tcW w:w="200" w:type="dxa"/>
            <w:vAlign w:val="bottom"/>
            <w:tcBorders>
              <w:bottom w:val="single" w:sz="8" w:color="AFAFAF"/>
            </w:tcBorders>
          </w:tcPr>
          <w:p>
            <w:pPr>
              <w:spacing w:after="0"/>
              <w:rPr>
                <w:sz w:val="18"/>
                <w:szCs w:val="18"/>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1,030,006</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80" w:type="dxa"/>
            <w:vAlign w:val="bottom"/>
          </w:tcPr>
          <w:p>
            <w:pPr>
              <w:spacing w:after="0"/>
              <w:rPr>
                <w:sz w:val="19"/>
                <w:szCs w:val="19"/>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26,254</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102.00</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3/2/2032</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1,160,952</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80" w:type="dxa"/>
            <w:vAlign w:val="bottom"/>
            <w:tcBorders>
              <w:bottom w:val="single" w:sz="8" w:color="AFAFAF"/>
            </w:tcBorders>
          </w:tcPr>
          <w:p>
            <w:pPr>
              <w:spacing w:after="0"/>
              <w:rPr>
                <w:sz w:val="19"/>
                <w:szCs w:val="19"/>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16,430</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121.03</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3/1/2033</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413,872</w:t>
            </w:r>
          </w:p>
        </w:tc>
        <w:tc>
          <w:tcPr>
            <w:tcW w:w="1320" w:type="dxa"/>
            <w:vAlign w:val="bottom"/>
            <w:tcBorders>
              <w:bottom w:val="single" w:sz="8" w:color="AFAFAF"/>
            </w:tcBorders>
          </w:tcPr>
          <w:p>
            <w:pPr>
              <w:spacing w:after="0"/>
              <w:rPr>
                <w:sz w:val="19"/>
                <w:szCs w:val="19"/>
                <w:color w:val="auto"/>
              </w:rPr>
            </w:pPr>
          </w:p>
        </w:tc>
        <w:tc>
          <w:tcPr>
            <w:tcW w:w="320" w:type="dxa"/>
            <w:vAlign w:val="bottom"/>
            <w:tcBorders>
              <w:bottom w:val="single" w:sz="8" w:color="AFAFAF"/>
            </w:tcBorders>
          </w:tcPr>
          <w:p>
            <w:pPr>
              <w:spacing w:after="0"/>
              <w:rPr>
                <w:sz w:val="19"/>
                <w:szCs w:val="19"/>
                <w:color w:val="auto"/>
              </w:rPr>
            </w:pPr>
          </w:p>
        </w:tc>
        <w:tc>
          <w:tcPr>
            <w:tcW w:w="1220" w:type="dxa"/>
            <w:vAlign w:val="bottom"/>
            <w:tcBorders>
              <w:bottom w:val="single" w:sz="8" w:color="AFAFAF"/>
            </w:tcBorders>
          </w:tcPr>
          <w:p>
            <w:pPr>
              <w:spacing w:after="0"/>
              <w:rPr>
                <w:sz w:val="19"/>
                <w:szCs w:val="19"/>
                <w:color w:val="auto"/>
              </w:rPr>
            </w:pPr>
          </w:p>
        </w:tc>
        <w:tc>
          <w:tcPr>
            <w:tcW w:w="1240" w:type="dxa"/>
            <w:vAlign w:val="bottom"/>
            <w:tcBorders>
              <w:bottom w:val="single" w:sz="8" w:color="AFAFAF"/>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Laura Clayton</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FAFAF"/>
            </w:tcBorders>
          </w:tcPr>
          <w:p>
            <w:pPr>
              <w:ind w:left="100"/>
              <w:spacing w:after="0"/>
              <w:rPr>
                <w:sz w:val="20"/>
                <w:szCs w:val="20"/>
                <w:color w:val="auto"/>
              </w:rPr>
            </w:pPr>
            <w:r>
              <w:rPr>
                <w:rFonts w:ascii="Arial" w:cs="Arial" w:eastAsia="Arial" w:hAnsi="Arial"/>
                <w:sz w:val="14"/>
                <w:szCs w:val="14"/>
                <w:b w:val="1"/>
                <w:bCs w:val="1"/>
                <w:color w:val="auto"/>
              </w:rPr>
              <w:t>McDonnell</w:t>
            </w: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13,135</w:t>
            </w:r>
          </w:p>
        </w:tc>
        <w:tc>
          <w:tcPr>
            <w:tcW w:w="440" w:type="dxa"/>
            <w:vAlign w:val="bottom"/>
            <w:tcBorders>
              <w:bottom w:val="single" w:sz="8" w:color="AFAFAF"/>
            </w:tcBorders>
          </w:tcPr>
          <w:p>
            <w:pPr>
              <w:spacing w:after="0"/>
              <w:rPr>
                <w:sz w:val="17"/>
                <w:szCs w:val="17"/>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123.39</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5/10/2033</w:t>
            </w:r>
          </w:p>
        </w:tc>
        <w:tc>
          <w:tcPr>
            <w:tcW w:w="200" w:type="dxa"/>
            <w:vAlign w:val="bottom"/>
            <w:tcBorders>
              <w:bottom w:val="single" w:sz="8" w:color="AFAFAF"/>
            </w:tcBorders>
          </w:tcPr>
          <w:p>
            <w:pPr>
              <w:spacing w:after="0"/>
              <w:rPr>
                <w:sz w:val="17"/>
                <w:szCs w:val="17"/>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299,872</w:t>
            </w:r>
          </w:p>
        </w:tc>
        <w:tc>
          <w:tcPr>
            <w:tcW w:w="132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14,699</w:t>
            </w:r>
          </w:p>
        </w:tc>
        <w:tc>
          <w:tcPr>
            <w:tcW w:w="32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FAFAF"/>
            </w:tcBorders>
          </w:tcPr>
          <w:p>
            <w:pPr>
              <w:jc w:val="right"/>
              <w:ind w:right="166"/>
              <w:spacing w:after="0"/>
              <w:rPr>
                <w:sz w:val="20"/>
                <w:szCs w:val="20"/>
                <w:color w:val="auto"/>
              </w:rPr>
            </w:pPr>
            <w:r>
              <w:rPr>
                <w:rFonts w:ascii="Arial" w:cs="Arial" w:eastAsia="Arial" w:hAnsi="Arial"/>
                <w:sz w:val="14"/>
                <w:szCs w:val="14"/>
                <w:color w:val="auto"/>
              </w:rPr>
              <w:t>2,149,288</w:t>
            </w:r>
          </w:p>
        </w:tc>
        <w:tc>
          <w:tcPr>
            <w:tcW w:w="1240" w:type="dxa"/>
            <w:vAlign w:val="bottom"/>
            <w:tcBorders>
              <w:bottom w:val="single" w:sz="8" w:color="AFAFAF"/>
            </w:tcBorders>
          </w:tcPr>
          <w:p>
            <w:pPr>
              <w:jc w:val="right"/>
              <w:ind w:right="50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Kirsty Roth</w:t>
            </w: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18,889</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88.87</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3/3/2031</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1,083,284</w:t>
            </w:r>
          </w:p>
        </w:tc>
        <w:tc>
          <w:tcPr>
            <w:tcW w:w="1320" w:type="dxa"/>
            <w:vAlign w:val="bottom"/>
          </w:tcPr>
          <w:p>
            <w:pPr>
              <w:jc w:val="right"/>
              <w:spacing w:after="0"/>
              <w:rPr>
                <w:sz w:val="20"/>
                <w:szCs w:val="20"/>
                <w:color w:val="auto"/>
              </w:rPr>
            </w:pPr>
            <w:r>
              <w:rPr>
                <w:rFonts w:ascii="Arial" w:cs="Arial" w:eastAsia="Arial" w:hAnsi="Arial"/>
                <w:sz w:val="14"/>
                <w:szCs w:val="14"/>
                <w:color w:val="auto"/>
              </w:rPr>
              <w:t>40,798</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6"/>
              <w:spacing w:after="0"/>
              <w:rPr>
                <w:sz w:val="20"/>
                <w:szCs w:val="20"/>
                <w:color w:val="auto"/>
              </w:rPr>
            </w:pPr>
            <w:r>
              <w:rPr>
                <w:rFonts w:ascii="Arial" w:cs="Arial" w:eastAsia="Arial" w:hAnsi="Arial"/>
                <w:sz w:val="14"/>
                <w:szCs w:val="14"/>
                <w:color w:val="auto"/>
              </w:rPr>
              <w:t>5,965,484</w:t>
            </w:r>
          </w:p>
        </w:tc>
        <w:tc>
          <w:tcPr>
            <w:tcW w:w="1240" w:type="dxa"/>
            <w:vAlign w:val="bottom"/>
          </w:tcPr>
          <w:p>
            <w:pPr>
              <w:jc w:val="right"/>
              <w:ind w:right="50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22,134</w:t>
            </w:r>
          </w:p>
        </w:tc>
        <w:tc>
          <w:tcPr>
            <w:tcW w:w="440" w:type="dxa"/>
            <w:vAlign w:val="bottom"/>
            <w:tcBorders>
              <w:bottom w:val="single" w:sz="8" w:color="AFAFAF"/>
            </w:tcBorders>
          </w:tcPr>
          <w:p>
            <w:pPr>
              <w:spacing w:after="0"/>
              <w:rPr>
                <w:sz w:val="18"/>
                <w:szCs w:val="18"/>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102.00</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3/2/2032</w:t>
            </w:r>
          </w:p>
        </w:tc>
        <w:tc>
          <w:tcPr>
            <w:tcW w:w="200" w:type="dxa"/>
            <w:vAlign w:val="bottom"/>
            <w:tcBorders>
              <w:bottom w:val="single" w:sz="8" w:color="AFAFAF"/>
            </w:tcBorders>
          </w:tcPr>
          <w:p>
            <w:pPr>
              <w:spacing w:after="0"/>
              <w:rPr>
                <w:sz w:val="18"/>
                <w:szCs w:val="18"/>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978,765</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80" w:type="dxa"/>
            <w:vAlign w:val="bottom"/>
            <w:tcBorders>
              <w:bottom w:val="single" w:sz="8" w:color="AFAFAF"/>
            </w:tcBorders>
          </w:tcPr>
          <w:p>
            <w:pPr>
              <w:spacing w:after="0"/>
              <w:rPr>
                <w:sz w:val="19"/>
                <w:szCs w:val="19"/>
                <w:color w:val="auto"/>
              </w:rPr>
            </w:pPr>
          </w:p>
        </w:tc>
        <w:tc>
          <w:tcPr>
            <w:tcW w:w="1140" w:type="dxa"/>
            <w:vAlign w:val="bottom"/>
            <w:tcBorders>
              <w:bottom w:val="single" w:sz="8" w:color="AFAFAF"/>
            </w:tcBorders>
          </w:tcPr>
          <w:p>
            <w:pPr>
              <w:jc w:val="right"/>
              <w:ind w:right="47"/>
              <w:spacing w:after="0"/>
              <w:rPr>
                <w:sz w:val="20"/>
                <w:szCs w:val="20"/>
                <w:color w:val="auto"/>
              </w:rPr>
            </w:pPr>
            <w:r>
              <w:rPr>
                <w:rFonts w:ascii="Arial" w:cs="Arial" w:eastAsia="Arial" w:hAnsi="Arial"/>
                <w:sz w:val="14"/>
                <w:szCs w:val="14"/>
                <w:color w:val="auto"/>
              </w:rPr>
              <w:t>17,819</w:t>
            </w:r>
          </w:p>
        </w:tc>
        <w:tc>
          <w:tcPr>
            <w:tcW w:w="440" w:type="dxa"/>
            <w:vAlign w:val="bottom"/>
            <w:tcBorders>
              <w:bottom w:val="single" w:sz="8" w:color="AFAFAF"/>
            </w:tcBorders>
          </w:tcPr>
          <w:p>
            <w:pPr>
              <w:spacing w:after="0"/>
              <w:rPr>
                <w:sz w:val="19"/>
                <w:szCs w:val="19"/>
                <w:color w:val="auto"/>
              </w:rPr>
            </w:pPr>
          </w:p>
        </w:tc>
        <w:tc>
          <w:tcPr>
            <w:tcW w:w="98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121.03</w:t>
            </w:r>
          </w:p>
        </w:tc>
        <w:tc>
          <w:tcPr>
            <w:tcW w:w="136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3/1/2033</w:t>
            </w:r>
          </w:p>
        </w:tc>
        <w:tc>
          <w:tcPr>
            <w:tcW w:w="200" w:type="dxa"/>
            <w:vAlign w:val="bottom"/>
            <w:tcBorders>
              <w:bottom w:val="single" w:sz="8" w:color="AFAFAF"/>
            </w:tcBorders>
          </w:tcPr>
          <w:p>
            <w:pPr>
              <w:spacing w:after="0"/>
              <w:rPr>
                <w:sz w:val="19"/>
                <w:szCs w:val="19"/>
                <w:color w:val="auto"/>
              </w:rPr>
            </w:pPr>
          </w:p>
        </w:tc>
        <w:tc>
          <w:tcPr>
            <w:tcW w:w="1020" w:type="dxa"/>
            <w:vAlign w:val="bottom"/>
            <w:tcBorders>
              <w:bottom w:val="single" w:sz="8" w:color="AFAFAF"/>
            </w:tcBorders>
          </w:tcPr>
          <w:p>
            <w:pPr>
              <w:jc w:val="right"/>
              <w:ind w:right="48"/>
              <w:spacing w:after="0"/>
              <w:rPr>
                <w:sz w:val="20"/>
                <w:szCs w:val="20"/>
                <w:color w:val="auto"/>
              </w:rPr>
            </w:pPr>
            <w:r>
              <w:rPr>
                <w:rFonts w:ascii="Arial" w:cs="Arial" w:eastAsia="Arial" w:hAnsi="Arial"/>
                <w:sz w:val="14"/>
                <w:szCs w:val="14"/>
                <w:color w:val="auto"/>
              </w:rPr>
              <w:t>448,861</w:t>
            </w:r>
          </w:p>
        </w:tc>
        <w:tc>
          <w:tcPr>
            <w:tcW w:w="1320" w:type="dxa"/>
            <w:vAlign w:val="bottom"/>
            <w:tcBorders>
              <w:bottom w:val="single" w:sz="8" w:color="AFAFAF"/>
            </w:tcBorders>
          </w:tcPr>
          <w:p>
            <w:pPr>
              <w:spacing w:after="0"/>
              <w:rPr>
                <w:sz w:val="19"/>
                <w:szCs w:val="19"/>
                <w:color w:val="auto"/>
              </w:rPr>
            </w:pPr>
          </w:p>
        </w:tc>
        <w:tc>
          <w:tcPr>
            <w:tcW w:w="320" w:type="dxa"/>
            <w:vAlign w:val="bottom"/>
            <w:tcBorders>
              <w:bottom w:val="single" w:sz="8" w:color="AFAFAF"/>
            </w:tcBorders>
          </w:tcPr>
          <w:p>
            <w:pPr>
              <w:spacing w:after="0"/>
              <w:rPr>
                <w:sz w:val="19"/>
                <w:szCs w:val="19"/>
                <w:color w:val="auto"/>
              </w:rPr>
            </w:pPr>
          </w:p>
        </w:tc>
        <w:tc>
          <w:tcPr>
            <w:tcW w:w="1220" w:type="dxa"/>
            <w:vAlign w:val="bottom"/>
            <w:tcBorders>
              <w:bottom w:val="single" w:sz="8" w:color="AFAFAF"/>
            </w:tcBorders>
          </w:tcPr>
          <w:p>
            <w:pPr>
              <w:spacing w:after="0"/>
              <w:rPr>
                <w:sz w:val="19"/>
                <w:szCs w:val="19"/>
                <w:color w:val="auto"/>
              </w:rPr>
            </w:pPr>
          </w:p>
        </w:tc>
        <w:tc>
          <w:tcPr>
            <w:tcW w:w="1240" w:type="dxa"/>
            <w:vAlign w:val="bottom"/>
            <w:tcBorders>
              <w:bottom w:val="single" w:sz="8" w:color="AFAFA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80" w:type="dxa"/>
            <w:vAlign w:val="bottom"/>
            <w:tcBorders>
              <w:bottom w:val="single" w:sz="8" w:color="B94831"/>
            </w:tcBorders>
          </w:tcPr>
          <w:p>
            <w:pPr>
              <w:ind w:left="100"/>
              <w:spacing w:after="0"/>
              <w:rPr>
                <w:sz w:val="20"/>
                <w:szCs w:val="20"/>
                <w:color w:val="auto"/>
              </w:rPr>
            </w:pPr>
            <w:r>
              <w:rPr>
                <w:rFonts w:ascii="Arial" w:cs="Arial" w:eastAsia="Arial" w:hAnsi="Arial"/>
                <w:sz w:val="14"/>
                <w:szCs w:val="14"/>
                <w:b w:val="1"/>
                <w:bCs w:val="1"/>
                <w:color w:val="auto"/>
              </w:rPr>
              <w:t>Paul Bascobert</w:t>
            </w:r>
          </w:p>
        </w:tc>
        <w:tc>
          <w:tcPr>
            <w:tcW w:w="1140" w:type="dxa"/>
            <w:vAlign w:val="bottom"/>
            <w:tcBorders>
              <w:bottom w:val="single" w:sz="8" w:color="B94831"/>
            </w:tcBorders>
          </w:tcPr>
          <w:p>
            <w:pPr>
              <w:jc w:val="right"/>
              <w:ind w:right="47"/>
              <w:spacing w:after="0"/>
              <w:rPr>
                <w:sz w:val="20"/>
                <w:szCs w:val="20"/>
                <w:color w:val="auto"/>
              </w:rPr>
            </w:pPr>
            <w:r>
              <w:rPr>
                <w:rFonts w:ascii="Arial" w:cs="Arial" w:eastAsia="Arial" w:hAnsi="Arial"/>
                <w:sz w:val="14"/>
                <w:szCs w:val="14"/>
                <w:color w:val="auto"/>
              </w:rPr>
              <w:t>14,440</w:t>
            </w:r>
          </w:p>
        </w:tc>
        <w:tc>
          <w:tcPr>
            <w:tcW w:w="440" w:type="dxa"/>
            <w:vAlign w:val="bottom"/>
            <w:tcBorders>
              <w:bottom w:val="single" w:sz="8" w:color="B94831"/>
            </w:tcBorders>
          </w:tcPr>
          <w:p>
            <w:pPr>
              <w:jc w:val="right"/>
              <w:ind w:right="166"/>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94831"/>
            </w:tcBorders>
          </w:tcPr>
          <w:p>
            <w:pPr>
              <w:jc w:val="right"/>
              <w:ind w:right="48"/>
              <w:spacing w:after="0"/>
              <w:rPr>
                <w:sz w:val="20"/>
                <w:szCs w:val="20"/>
                <w:color w:val="auto"/>
              </w:rPr>
            </w:pPr>
            <w:r>
              <w:rPr>
                <w:rFonts w:ascii="Arial" w:cs="Arial" w:eastAsia="Arial" w:hAnsi="Arial"/>
                <w:sz w:val="14"/>
                <w:szCs w:val="14"/>
                <w:color w:val="auto"/>
              </w:rPr>
              <w:t>121.03</w:t>
            </w:r>
          </w:p>
        </w:tc>
        <w:tc>
          <w:tcPr>
            <w:tcW w:w="1360" w:type="dxa"/>
            <w:vAlign w:val="bottom"/>
            <w:tcBorders>
              <w:bottom w:val="single" w:sz="8" w:color="B94831"/>
            </w:tcBorders>
          </w:tcPr>
          <w:p>
            <w:pPr>
              <w:jc w:val="right"/>
              <w:ind w:right="48"/>
              <w:spacing w:after="0"/>
              <w:rPr>
                <w:sz w:val="20"/>
                <w:szCs w:val="20"/>
                <w:color w:val="auto"/>
              </w:rPr>
            </w:pPr>
            <w:r>
              <w:rPr>
                <w:rFonts w:ascii="Arial" w:cs="Arial" w:eastAsia="Arial" w:hAnsi="Arial"/>
                <w:sz w:val="14"/>
                <w:szCs w:val="14"/>
                <w:color w:val="auto"/>
              </w:rPr>
              <w:t>3/1/2033</w:t>
            </w:r>
          </w:p>
        </w:tc>
        <w:tc>
          <w:tcPr>
            <w:tcW w:w="200" w:type="dxa"/>
            <w:vAlign w:val="bottom"/>
            <w:tcBorders>
              <w:bottom w:val="single" w:sz="8" w:color="B94831"/>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94831"/>
            </w:tcBorders>
          </w:tcPr>
          <w:p>
            <w:pPr>
              <w:jc w:val="right"/>
              <w:ind w:right="48"/>
              <w:spacing w:after="0"/>
              <w:rPr>
                <w:sz w:val="20"/>
                <w:szCs w:val="20"/>
                <w:color w:val="auto"/>
              </w:rPr>
            </w:pPr>
            <w:r>
              <w:rPr>
                <w:rFonts w:ascii="Arial" w:cs="Arial" w:eastAsia="Arial" w:hAnsi="Arial"/>
                <w:sz w:val="14"/>
                <w:szCs w:val="14"/>
                <w:color w:val="auto"/>
              </w:rPr>
              <w:t>363,744</w:t>
            </w:r>
          </w:p>
        </w:tc>
        <w:tc>
          <w:tcPr>
            <w:tcW w:w="1320" w:type="dxa"/>
            <w:vAlign w:val="bottom"/>
            <w:tcBorders>
              <w:bottom w:val="single" w:sz="8" w:color="B94831"/>
            </w:tcBorders>
          </w:tcPr>
          <w:p>
            <w:pPr>
              <w:jc w:val="right"/>
              <w:spacing w:after="0"/>
              <w:rPr>
                <w:sz w:val="20"/>
                <w:szCs w:val="20"/>
                <w:color w:val="auto"/>
              </w:rPr>
            </w:pPr>
            <w:r>
              <w:rPr>
                <w:rFonts w:ascii="Arial" w:cs="Arial" w:eastAsia="Arial" w:hAnsi="Arial"/>
                <w:sz w:val="14"/>
                <w:szCs w:val="14"/>
                <w:color w:val="auto"/>
              </w:rPr>
              <w:t>10,840</w:t>
            </w:r>
          </w:p>
        </w:tc>
        <w:tc>
          <w:tcPr>
            <w:tcW w:w="32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94831"/>
            </w:tcBorders>
          </w:tcPr>
          <w:p>
            <w:pPr>
              <w:jc w:val="right"/>
              <w:ind w:right="166"/>
              <w:spacing w:after="0"/>
              <w:rPr>
                <w:sz w:val="20"/>
                <w:szCs w:val="20"/>
                <w:color w:val="auto"/>
              </w:rPr>
            </w:pPr>
            <w:r>
              <w:rPr>
                <w:rFonts w:ascii="Arial" w:cs="Arial" w:eastAsia="Arial" w:hAnsi="Arial"/>
                <w:sz w:val="14"/>
                <w:szCs w:val="14"/>
                <w:color w:val="auto"/>
              </w:rPr>
              <w:t>1,585,025</w:t>
            </w:r>
          </w:p>
        </w:tc>
        <w:tc>
          <w:tcPr>
            <w:tcW w:w="1240" w:type="dxa"/>
            <w:vAlign w:val="bottom"/>
            <w:tcBorders>
              <w:bottom w:val="single" w:sz="8" w:color="B94831"/>
            </w:tcBorders>
          </w:tcPr>
          <w:p>
            <w:pPr>
              <w:jc w:val="right"/>
              <w:ind w:right="50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-2861310</wp:posOffset>
            </wp:positionV>
            <wp:extent cx="8255" cy="7727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77279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-2861310</wp:posOffset>
            </wp:positionV>
            <wp:extent cx="8255" cy="7727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77279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-2861310</wp:posOffset>
            </wp:positionV>
            <wp:extent cx="8255" cy="7727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77279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-2861310</wp:posOffset>
            </wp:positionV>
            <wp:extent cx="8255" cy="7727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77279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-2861310</wp:posOffset>
            </wp:positionV>
            <wp:extent cx="8255" cy="7727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772795"/>
                    </a:xfrm>
                    <a:prstGeom prst="rect">
                      <a:avLst/>
                    </a:prstGeom>
                    <a:noFill/>
                  </pic:spPr>
                </pic:pic>
              </a:graphicData>
            </a:graphic>
          </wp:anchor>
        </w:drawing>
      </w:r>
    </w:p>
    <w:p>
      <w:pPr>
        <w:spacing w:after="0" w:line="68"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The closing price of our common shares on December 31, 2023 on the NYSE was $146.22. During 2023, the high and low closing prices for our common shares on the NYSE were $146.22 and $114.07, respectively.</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Restricted Share Units – Aggregate Number and Value</w:t>
      </w:r>
    </w:p>
    <w:p>
      <w:pPr>
        <w:spacing w:after="0" w:line="51" w:lineRule="exact"/>
        <w:rPr>
          <w:sz w:val="20"/>
          <w:szCs w:val="20"/>
          <w:color w:val="auto"/>
        </w:rPr>
      </w:pPr>
    </w:p>
    <w:p>
      <w:pPr>
        <w:ind w:left="160" w:right="60"/>
        <w:spacing w:after="0" w:line="251" w:lineRule="auto"/>
        <w:rPr>
          <w:sz w:val="20"/>
          <w:szCs w:val="20"/>
          <w:color w:val="auto"/>
        </w:rPr>
      </w:pPr>
      <w:r>
        <w:rPr>
          <w:rFonts w:ascii="Arial" w:cs="Arial" w:eastAsia="Arial" w:hAnsi="Arial"/>
          <w:sz w:val="17"/>
          <w:szCs w:val="17"/>
          <w:color w:val="auto"/>
        </w:rPr>
        <w:t>The following table sets forth the aggregate number and the value of RSUs held by our named executive officers as of December 31, 2023, based on the closing price of our common shares on the NYSE on that day. RSU amounts below include additional units received from notional dividend equivalents. In 2023, we granted the following additional units from notional dividend equivalents to our named executive officers: Steve Hasker – 2,131; Mike Eastwood – 541; Laura Clayton McDonnell – 160; Kirsty Roth – 603; and Paul Bascobert –</w:t>
      </w:r>
    </w:p>
    <w:p>
      <w:pPr>
        <w:spacing w:after="0" w:line="3" w:lineRule="exact"/>
        <w:rPr>
          <w:sz w:val="20"/>
          <w:szCs w:val="20"/>
          <w:color w:val="auto"/>
        </w:rPr>
      </w:pPr>
    </w:p>
    <w:p>
      <w:pPr>
        <w:ind w:left="160" w:right="740" w:firstLine="7"/>
        <w:spacing w:after="0" w:line="244" w:lineRule="auto"/>
        <w:tabs>
          <w:tab w:leader="none" w:pos="5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additional units do not vest until the underlying RSUs vest. For additional information about our RSUs,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64770</wp:posOffset>
            </wp:positionV>
            <wp:extent cx="8255" cy="161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1612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64770</wp:posOffset>
            </wp:positionV>
            <wp:extent cx="8255" cy="161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161290"/>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64770</wp:posOffset>
            </wp:positionV>
            <wp:extent cx="8255" cy="161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16129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64770</wp:posOffset>
            </wp:positionV>
            <wp:extent cx="8255" cy="161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161290"/>
                    </a:xfrm>
                    <a:prstGeom prst="rect">
                      <a:avLst/>
                    </a:prstGeom>
                    <a:noFill/>
                  </pic:spPr>
                </pic:pic>
              </a:graphicData>
            </a:graphic>
          </wp:anchor>
        </w:drawing>
      </w:r>
    </w:p>
    <w:p>
      <w:pPr>
        <w:spacing w:after="0" w:line="82" w:lineRule="exact"/>
        <w:rPr>
          <w:sz w:val="20"/>
          <w:szCs w:val="20"/>
          <w:color w:val="auto"/>
        </w:rPr>
      </w:pPr>
    </w:p>
    <w:tbl>
      <w:tblPr>
        <w:tblLayout w:type="fixed"/>
        <w:tblInd w:w="160" w:type="dxa"/>
        <w:tblCellMar>
          <w:top w:w="0" w:type="dxa"/>
          <w:left w:w="0" w:type="dxa"/>
          <w:bottom w:w="0" w:type="dxa"/>
          <w:right w:w="0" w:type="dxa"/>
        </w:tblCellMar>
      </w:tblPr>
      <w:tr>
        <w:trPr>
          <w:trHeight w:val="254"/>
        </w:trPr>
        <w:tc>
          <w:tcPr>
            <w:tcW w:w="618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Name</w:t>
            </w:r>
          </w:p>
        </w:tc>
        <w:tc>
          <w:tcPr>
            <w:tcW w:w="1000" w:type="dxa"/>
            <w:vAlign w:val="bottom"/>
            <w:tcBorders>
              <w:right w:val="single" w:sz="8" w:color="262626"/>
            </w:tcBorders>
            <w:shd w:val="clear" w:color="auto" w:fill="262626"/>
          </w:tcPr>
          <w:p>
            <w:pPr>
              <w:jc w:val="right"/>
              <w:ind w:right="48"/>
              <w:spacing w:after="0"/>
              <w:rPr>
                <w:sz w:val="20"/>
                <w:szCs w:val="20"/>
                <w:color w:val="auto"/>
              </w:rPr>
            </w:pPr>
            <w:r>
              <w:rPr>
                <w:rFonts w:ascii="Arial" w:cs="Arial" w:eastAsia="Arial" w:hAnsi="Arial"/>
                <w:sz w:val="15"/>
                <w:szCs w:val="15"/>
                <w:b w:val="1"/>
                <w:bCs w:val="1"/>
                <w:color w:val="FFFFFF"/>
              </w:rPr>
              <w:t>TRSUs (#)</w:t>
            </w:r>
          </w:p>
        </w:tc>
        <w:tc>
          <w:tcPr>
            <w:tcW w:w="1180" w:type="dxa"/>
            <w:vAlign w:val="bottom"/>
            <w:tcBorders>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rPr>
              <w:t>PRSUs (#)*</w:t>
            </w:r>
          </w:p>
        </w:tc>
        <w:tc>
          <w:tcPr>
            <w:tcW w:w="1460" w:type="dxa"/>
            <w:vAlign w:val="bottom"/>
            <w:tcBorders>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rPr>
              <w:t>Total RSUs (#)*</w:t>
            </w:r>
          </w:p>
        </w:tc>
        <w:tc>
          <w:tcPr>
            <w:tcW w:w="160" w:type="dxa"/>
            <w:vAlign w:val="bottom"/>
            <w:shd w:val="clear" w:color="auto" w:fill="262626"/>
          </w:tcPr>
          <w:p>
            <w:pPr>
              <w:spacing w:after="0"/>
              <w:rPr>
                <w:sz w:val="22"/>
                <w:szCs w:val="22"/>
                <w:color w:val="auto"/>
              </w:rPr>
            </w:pPr>
          </w:p>
        </w:tc>
        <w:tc>
          <w:tcPr>
            <w:tcW w:w="940" w:type="dxa"/>
            <w:vAlign w:val="bottom"/>
            <w:shd w:val="clear" w:color="auto" w:fill="262626"/>
          </w:tcPr>
          <w:p>
            <w:pPr>
              <w:jc w:val="right"/>
              <w:ind w:right="148"/>
              <w:spacing w:after="0"/>
              <w:rPr>
                <w:sz w:val="20"/>
                <w:szCs w:val="20"/>
                <w:color w:val="auto"/>
              </w:rPr>
            </w:pPr>
            <w:r>
              <w:rPr>
                <w:rFonts w:ascii="Arial" w:cs="Arial" w:eastAsia="Arial" w:hAnsi="Arial"/>
                <w:sz w:val="15"/>
                <w:szCs w:val="15"/>
                <w:b w:val="1"/>
                <w:bCs w:val="1"/>
                <w:color w:val="FFFFFF"/>
              </w:rPr>
              <w:t>Value ($)*</w:t>
            </w:r>
          </w:p>
        </w:tc>
      </w:tr>
      <w:tr>
        <w:trPr>
          <w:trHeight w:val="227"/>
        </w:trPr>
        <w:tc>
          <w:tcPr>
            <w:tcW w:w="618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Steve Hasker</w:t>
            </w:r>
          </w:p>
        </w:tc>
        <w:tc>
          <w:tcPr>
            <w:tcW w:w="1000" w:type="dxa"/>
            <w:vAlign w:val="bottom"/>
            <w:tcBorders>
              <w:bottom w:val="single" w:sz="8" w:color="AFAFAF"/>
              <w:right w:val="single" w:sz="8" w:color="AFAFAF"/>
            </w:tcBorders>
          </w:tcPr>
          <w:p>
            <w:pPr>
              <w:jc w:val="right"/>
              <w:ind w:right="48"/>
              <w:spacing w:after="0"/>
              <w:rPr>
                <w:sz w:val="20"/>
                <w:szCs w:val="20"/>
                <w:color w:val="auto"/>
              </w:rPr>
            </w:pPr>
            <w:r>
              <w:rPr>
                <w:rFonts w:ascii="Arial" w:cs="Arial" w:eastAsia="Arial" w:hAnsi="Arial"/>
                <w:sz w:val="14"/>
                <w:szCs w:val="14"/>
                <w:color w:val="auto"/>
              </w:rPr>
              <w:t>49,260</w:t>
            </w:r>
          </w:p>
        </w:tc>
        <w:tc>
          <w:tcPr>
            <w:tcW w:w="118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98,522</w:t>
            </w:r>
          </w:p>
        </w:tc>
        <w:tc>
          <w:tcPr>
            <w:tcW w:w="14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147,782</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w w:val="99"/>
              </w:rPr>
              <w:t>21,608,684</w:t>
            </w:r>
          </w:p>
        </w:tc>
      </w:tr>
      <w:tr>
        <w:trPr>
          <w:trHeight w:val="221"/>
        </w:trPr>
        <w:tc>
          <w:tcPr>
            <w:tcW w:w="618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Mike Eastwood</w:t>
            </w:r>
          </w:p>
        </w:tc>
        <w:tc>
          <w:tcPr>
            <w:tcW w:w="1000" w:type="dxa"/>
            <w:vAlign w:val="bottom"/>
            <w:tcBorders>
              <w:bottom w:val="single" w:sz="8" w:color="AFAFAF"/>
              <w:right w:val="single" w:sz="8" w:color="AFAFAF"/>
            </w:tcBorders>
          </w:tcPr>
          <w:p>
            <w:pPr>
              <w:jc w:val="right"/>
              <w:ind w:right="48"/>
              <w:spacing w:after="0"/>
              <w:rPr>
                <w:sz w:val="20"/>
                <w:szCs w:val="20"/>
                <w:color w:val="auto"/>
              </w:rPr>
            </w:pPr>
            <w:r>
              <w:rPr>
                <w:rFonts w:ascii="Arial" w:cs="Arial" w:eastAsia="Arial" w:hAnsi="Arial"/>
                <w:sz w:val="14"/>
                <w:szCs w:val="14"/>
                <w:color w:val="auto"/>
              </w:rPr>
              <w:t>12,534</w:t>
            </w:r>
          </w:p>
        </w:tc>
        <w:tc>
          <w:tcPr>
            <w:tcW w:w="118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25,067</w:t>
            </w:r>
          </w:p>
        </w:tc>
        <w:tc>
          <w:tcPr>
            <w:tcW w:w="14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37,601</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rPr>
              <w:t>5,498,018</w:t>
            </w:r>
          </w:p>
        </w:tc>
      </w:tr>
      <w:tr>
        <w:trPr>
          <w:trHeight w:val="221"/>
        </w:trPr>
        <w:tc>
          <w:tcPr>
            <w:tcW w:w="618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Laura Clayton McDonnell</w:t>
            </w:r>
          </w:p>
        </w:tc>
        <w:tc>
          <w:tcPr>
            <w:tcW w:w="1000" w:type="dxa"/>
            <w:vAlign w:val="bottom"/>
            <w:tcBorders>
              <w:bottom w:val="single" w:sz="8" w:color="AFAFAF"/>
              <w:right w:val="single" w:sz="8" w:color="AFAFAF"/>
            </w:tcBorders>
          </w:tcPr>
          <w:p>
            <w:pPr>
              <w:jc w:val="right"/>
              <w:ind w:right="48"/>
              <w:spacing w:after="0"/>
              <w:rPr>
                <w:sz w:val="20"/>
                <w:szCs w:val="20"/>
                <w:color w:val="auto"/>
              </w:rPr>
            </w:pPr>
            <w:r>
              <w:rPr>
                <w:rFonts w:ascii="Arial" w:cs="Arial" w:eastAsia="Arial" w:hAnsi="Arial"/>
                <w:sz w:val="14"/>
                <w:szCs w:val="14"/>
                <w:color w:val="auto"/>
              </w:rPr>
              <w:t>9,270</w:t>
            </w:r>
          </w:p>
        </w:tc>
        <w:tc>
          <w:tcPr>
            <w:tcW w:w="118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5,429</w:t>
            </w:r>
          </w:p>
        </w:tc>
        <w:tc>
          <w:tcPr>
            <w:tcW w:w="14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14,699</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rPr>
              <w:t>2,149,288</w:t>
            </w:r>
          </w:p>
        </w:tc>
      </w:tr>
      <w:tr>
        <w:trPr>
          <w:trHeight w:val="221"/>
        </w:trPr>
        <w:tc>
          <w:tcPr>
            <w:tcW w:w="618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Kirsty Roth</w:t>
            </w:r>
          </w:p>
        </w:tc>
        <w:tc>
          <w:tcPr>
            <w:tcW w:w="1000" w:type="dxa"/>
            <w:vAlign w:val="bottom"/>
            <w:tcBorders>
              <w:bottom w:val="single" w:sz="8" w:color="AFAFAF"/>
              <w:right w:val="single" w:sz="8" w:color="AFAFAF"/>
            </w:tcBorders>
          </w:tcPr>
          <w:p>
            <w:pPr>
              <w:jc w:val="right"/>
              <w:ind w:right="48"/>
              <w:spacing w:after="0"/>
              <w:rPr>
                <w:sz w:val="20"/>
                <w:szCs w:val="20"/>
                <w:color w:val="auto"/>
              </w:rPr>
            </w:pPr>
            <w:r>
              <w:rPr>
                <w:rFonts w:ascii="Arial" w:cs="Arial" w:eastAsia="Arial" w:hAnsi="Arial"/>
                <w:sz w:val="14"/>
                <w:szCs w:val="14"/>
                <w:color w:val="auto"/>
              </w:rPr>
              <w:t>13,600</w:t>
            </w:r>
          </w:p>
        </w:tc>
        <w:tc>
          <w:tcPr>
            <w:tcW w:w="118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27,198</w:t>
            </w:r>
          </w:p>
        </w:tc>
        <w:tc>
          <w:tcPr>
            <w:tcW w:w="14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40,798</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rPr>
              <w:t>5,965,484</w:t>
            </w:r>
          </w:p>
        </w:tc>
      </w:tr>
      <w:tr>
        <w:trPr>
          <w:trHeight w:val="221"/>
        </w:trPr>
        <w:tc>
          <w:tcPr>
            <w:tcW w:w="618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b w:val="1"/>
                <w:bCs w:val="1"/>
                <w:color w:val="auto"/>
              </w:rPr>
              <w:t>Paul Bascobert</w:t>
            </w:r>
          </w:p>
        </w:tc>
        <w:tc>
          <w:tcPr>
            <w:tcW w:w="1000" w:type="dxa"/>
            <w:vAlign w:val="bottom"/>
            <w:tcBorders>
              <w:bottom w:val="single" w:sz="8" w:color="B94831"/>
              <w:right w:val="single" w:sz="8" w:color="AFAFAF"/>
            </w:tcBorders>
          </w:tcPr>
          <w:p>
            <w:pPr>
              <w:jc w:val="right"/>
              <w:ind w:right="48"/>
              <w:spacing w:after="0"/>
              <w:rPr>
                <w:sz w:val="20"/>
                <w:szCs w:val="20"/>
                <w:color w:val="auto"/>
              </w:rPr>
            </w:pPr>
            <w:r>
              <w:rPr>
                <w:rFonts w:ascii="Arial" w:cs="Arial" w:eastAsia="Arial" w:hAnsi="Arial"/>
                <w:sz w:val="14"/>
                <w:szCs w:val="14"/>
                <w:color w:val="auto"/>
              </w:rPr>
              <w:t>4,574</w:t>
            </w:r>
          </w:p>
        </w:tc>
        <w:tc>
          <w:tcPr>
            <w:tcW w:w="1180" w:type="dxa"/>
            <w:vAlign w:val="bottom"/>
            <w:tcBorders>
              <w:bottom w:val="single" w:sz="8" w:color="B94831"/>
              <w:right w:val="single" w:sz="8" w:color="AFAFAF"/>
            </w:tcBorders>
          </w:tcPr>
          <w:p>
            <w:pPr>
              <w:jc w:val="right"/>
              <w:ind w:right="168"/>
              <w:spacing w:after="0"/>
              <w:rPr>
                <w:sz w:val="20"/>
                <w:szCs w:val="20"/>
                <w:color w:val="auto"/>
              </w:rPr>
            </w:pPr>
            <w:r>
              <w:rPr>
                <w:rFonts w:ascii="Arial" w:cs="Arial" w:eastAsia="Arial" w:hAnsi="Arial"/>
                <w:sz w:val="14"/>
                <w:szCs w:val="14"/>
                <w:color w:val="auto"/>
              </w:rPr>
              <w:t>6,266</w:t>
            </w:r>
          </w:p>
        </w:tc>
        <w:tc>
          <w:tcPr>
            <w:tcW w:w="1460" w:type="dxa"/>
            <w:vAlign w:val="bottom"/>
            <w:tcBorders>
              <w:bottom w:val="single" w:sz="8" w:color="B94831"/>
              <w:right w:val="single" w:sz="8" w:color="AFAFAF"/>
            </w:tcBorders>
          </w:tcPr>
          <w:p>
            <w:pPr>
              <w:jc w:val="right"/>
              <w:ind w:right="168"/>
              <w:spacing w:after="0"/>
              <w:rPr>
                <w:sz w:val="20"/>
                <w:szCs w:val="20"/>
                <w:color w:val="auto"/>
              </w:rPr>
            </w:pPr>
            <w:r>
              <w:rPr>
                <w:rFonts w:ascii="Arial" w:cs="Arial" w:eastAsia="Arial" w:hAnsi="Arial"/>
                <w:sz w:val="14"/>
                <w:szCs w:val="14"/>
                <w:color w:val="auto"/>
              </w:rPr>
              <w:t>10,840</w:t>
            </w:r>
          </w:p>
        </w:tc>
        <w:tc>
          <w:tcPr>
            <w:tcW w:w="160" w:type="dxa"/>
            <w:vAlign w:val="bottom"/>
            <w:tcBorders>
              <w:bottom w:val="single" w:sz="8" w:color="B94831"/>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94831"/>
            </w:tcBorders>
          </w:tcPr>
          <w:p>
            <w:pPr>
              <w:jc w:val="right"/>
              <w:ind w:right="148"/>
              <w:spacing w:after="0"/>
              <w:rPr>
                <w:sz w:val="20"/>
                <w:szCs w:val="20"/>
                <w:color w:val="auto"/>
              </w:rPr>
            </w:pPr>
            <w:r>
              <w:rPr>
                <w:rFonts w:ascii="Arial" w:cs="Arial" w:eastAsia="Arial" w:hAnsi="Arial"/>
                <w:sz w:val="14"/>
                <w:szCs w:val="14"/>
                <w:color w:val="auto"/>
              </w:rPr>
              <w:t>1,585,025</w:t>
            </w:r>
          </w:p>
        </w:tc>
      </w:tr>
      <w:tr>
        <w:trPr>
          <w:trHeight w:val="281"/>
        </w:trPr>
        <w:tc>
          <w:tcPr>
            <w:tcW w:w="6180" w:type="dxa"/>
            <w:vAlign w:val="bottom"/>
          </w:tcPr>
          <w:p>
            <w:pPr>
              <w:ind w:left="120"/>
              <w:spacing w:after="0"/>
              <w:rPr>
                <w:sz w:val="20"/>
                <w:szCs w:val="20"/>
                <w:color w:val="auto"/>
              </w:rPr>
            </w:pPr>
            <w:r>
              <w:rPr>
                <w:rFonts w:ascii="Arial" w:cs="Arial" w:eastAsia="Arial" w:hAnsi="Arial"/>
                <w:sz w:val="14"/>
                <w:szCs w:val="14"/>
                <w:color w:val="auto"/>
              </w:rPr>
              <w:t>* Assumes vesting of PRSUs at the target amount (100%).</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336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9"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Management Proxy Circular and Notice of Annual Meeting of Shareholders   Page 89</w:t>
      </w:r>
    </w:p>
    <w:p>
      <w:pPr>
        <w:sectPr>
          <w:pgSz w:w="11900" w:h="16838" w:orient="portrait"/>
          <w:cols w:equalWidth="0" w:num="1">
            <w:col w:w="11080"/>
          </w:cols>
          <w:pgMar w:left="320" w:top="454"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Incentive Plan Awards – Value Vested or Earned in 2023</w:t>
      </w:r>
    </w:p>
    <w:p>
      <w:pPr>
        <w:spacing w:after="0" w:line="5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following table sets forth information regarding incentive plan awards that vested or were earned in 2023. The dollar value of share-based awards (PRSUs and TRSUs) reflects the number of units vested multiplied by the closing price of our common shares on the NYSE on the vesting date. The dollar value of vested options reflects the difference between the closing price of our common shares on the NYSE on the vesting date and the exercise price of the applicable options. Non-equity incentive plan compensation reflects the value of annual cash incentive awards earned for 2023. For more information regarding these awards,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67310</wp:posOffset>
            </wp:positionV>
            <wp:extent cx="8255" cy="3733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37338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67310</wp:posOffset>
            </wp:positionV>
            <wp:extent cx="8255" cy="3733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373380"/>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67310</wp:posOffset>
            </wp:positionV>
            <wp:extent cx="8255" cy="3733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373380"/>
                    </a:xfrm>
                    <a:prstGeom prst="rect">
                      <a:avLst/>
                    </a:prstGeom>
                    <a:noFill/>
                  </pic:spPr>
                </pic:pic>
              </a:graphicData>
            </a:graphic>
          </wp:anchor>
        </w:drawing>
      </w:r>
    </w:p>
    <w:p>
      <w:pPr>
        <w:spacing w:after="0" w:line="86"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1960" w:type="dxa"/>
            <w:vAlign w:val="bottom"/>
            <w:tcBorders>
              <w:right w:val="single" w:sz="8" w:color="262626"/>
            </w:tcBorders>
            <w:shd w:val="clear" w:color="auto" w:fill="262626"/>
          </w:tcPr>
          <w:p>
            <w:pPr>
              <w:spacing w:after="0"/>
              <w:rPr>
                <w:sz w:val="17"/>
                <w:szCs w:val="17"/>
                <w:color w:val="auto"/>
              </w:rPr>
            </w:pPr>
          </w:p>
        </w:tc>
        <w:tc>
          <w:tcPr>
            <w:tcW w:w="2640" w:type="dxa"/>
            <w:vAlign w:val="bottom"/>
            <w:tcBorders>
              <w:right w:val="single" w:sz="8" w:color="262626"/>
            </w:tcBorders>
            <w:vMerge w:val="restart"/>
            <w:shd w:val="clear" w:color="auto" w:fill="262626"/>
          </w:tcPr>
          <w:p>
            <w:pPr>
              <w:jc w:val="right"/>
              <w:ind w:right="207"/>
              <w:spacing w:after="0"/>
              <w:rPr>
                <w:sz w:val="20"/>
                <w:szCs w:val="20"/>
                <w:color w:val="auto"/>
              </w:rPr>
            </w:pPr>
            <w:r>
              <w:rPr>
                <w:rFonts w:ascii="Arial" w:cs="Arial" w:eastAsia="Arial" w:hAnsi="Arial"/>
                <w:sz w:val="15"/>
                <w:szCs w:val="15"/>
                <w:b w:val="1"/>
                <w:bCs w:val="1"/>
                <w:color w:val="FFFFFF"/>
              </w:rPr>
              <w:t>Option-based awards – value</w:t>
            </w:r>
          </w:p>
        </w:tc>
        <w:tc>
          <w:tcPr>
            <w:tcW w:w="3120" w:type="dxa"/>
            <w:vAlign w:val="bottom"/>
            <w:tcBorders>
              <w:right w:val="single" w:sz="8" w:color="262626"/>
            </w:tcBorders>
            <w:vMerge w:val="restart"/>
            <w:shd w:val="clear" w:color="auto" w:fill="262626"/>
          </w:tcPr>
          <w:p>
            <w:pPr>
              <w:jc w:val="right"/>
              <w:ind w:right="207"/>
              <w:spacing w:after="0"/>
              <w:rPr>
                <w:sz w:val="20"/>
                <w:szCs w:val="20"/>
                <w:color w:val="auto"/>
              </w:rPr>
            </w:pPr>
            <w:r>
              <w:rPr>
                <w:rFonts w:ascii="Arial" w:cs="Arial" w:eastAsia="Arial" w:hAnsi="Arial"/>
                <w:sz w:val="15"/>
                <w:szCs w:val="15"/>
                <w:b w:val="1"/>
                <w:bCs w:val="1"/>
                <w:color w:val="FFFFFF"/>
              </w:rPr>
              <w:t>Share-based awards – value vested</w:t>
            </w:r>
          </w:p>
        </w:tc>
        <w:tc>
          <w:tcPr>
            <w:tcW w:w="3200" w:type="dxa"/>
            <w:vAlign w:val="bottom"/>
            <w:shd w:val="clear" w:color="auto" w:fill="262626"/>
          </w:tcPr>
          <w:p>
            <w:pPr>
              <w:jc w:val="right"/>
              <w:ind w:right="187"/>
              <w:spacing w:after="0"/>
              <w:rPr>
                <w:sz w:val="20"/>
                <w:szCs w:val="20"/>
                <w:color w:val="auto"/>
              </w:rPr>
            </w:pPr>
            <w:r>
              <w:rPr>
                <w:rFonts w:ascii="Arial" w:cs="Arial" w:eastAsia="Arial" w:hAnsi="Arial"/>
                <w:sz w:val="15"/>
                <w:szCs w:val="15"/>
                <w:b w:val="1"/>
                <w:bCs w:val="1"/>
                <w:color w:val="FFFFFF"/>
              </w:rPr>
              <w:t>Non-equity incentive plan</w:t>
            </w:r>
          </w:p>
        </w:tc>
        <w:tc>
          <w:tcPr>
            <w:tcW w:w="0" w:type="dxa"/>
            <w:vAlign w:val="bottom"/>
          </w:tcPr>
          <w:p>
            <w:pPr>
              <w:spacing w:after="0"/>
              <w:rPr>
                <w:sz w:val="1"/>
                <w:szCs w:val="1"/>
                <w:color w:val="auto"/>
              </w:rPr>
            </w:pPr>
          </w:p>
        </w:tc>
      </w:tr>
      <w:tr>
        <w:trPr>
          <w:trHeight w:val="160"/>
        </w:trPr>
        <w:tc>
          <w:tcPr>
            <w:tcW w:w="1960" w:type="dxa"/>
            <w:vAlign w:val="bottom"/>
            <w:tcBorders>
              <w:right w:val="single" w:sz="8" w:color="262626"/>
            </w:tcBorders>
            <w:shd w:val="clear" w:color="auto" w:fill="262626"/>
          </w:tcPr>
          <w:p>
            <w:pPr>
              <w:spacing w:after="0"/>
              <w:rPr>
                <w:sz w:val="13"/>
                <w:szCs w:val="13"/>
                <w:color w:val="auto"/>
              </w:rPr>
            </w:pPr>
          </w:p>
        </w:tc>
        <w:tc>
          <w:tcPr>
            <w:tcW w:w="2640" w:type="dxa"/>
            <w:vAlign w:val="bottom"/>
            <w:tcBorders>
              <w:right w:val="single" w:sz="8" w:color="262626"/>
            </w:tcBorders>
            <w:vMerge w:val="continue"/>
            <w:shd w:val="clear" w:color="auto" w:fill="262626"/>
          </w:tcPr>
          <w:p>
            <w:pPr>
              <w:spacing w:after="0"/>
              <w:rPr>
                <w:sz w:val="13"/>
                <w:szCs w:val="13"/>
                <w:color w:val="auto"/>
              </w:rPr>
            </w:pPr>
          </w:p>
        </w:tc>
        <w:tc>
          <w:tcPr>
            <w:tcW w:w="3120" w:type="dxa"/>
            <w:vAlign w:val="bottom"/>
            <w:tcBorders>
              <w:right w:val="single" w:sz="8" w:color="262626"/>
            </w:tcBorders>
            <w:vMerge w:val="continue"/>
            <w:shd w:val="clear" w:color="auto" w:fill="262626"/>
          </w:tcPr>
          <w:p>
            <w:pPr>
              <w:spacing w:after="0"/>
              <w:rPr>
                <w:sz w:val="13"/>
                <w:szCs w:val="13"/>
                <w:color w:val="auto"/>
              </w:rPr>
            </w:pPr>
          </w:p>
        </w:tc>
        <w:tc>
          <w:tcPr>
            <w:tcW w:w="3200" w:type="dxa"/>
            <w:vAlign w:val="bottom"/>
            <w:shd w:val="clear" w:color="auto" w:fill="262626"/>
          </w:tcPr>
          <w:p>
            <w:pPr>
              <w:jc w:val="right"/>
              <w:ind w:right="187"/>
              <w:spacing w:after="0" w:line="161" w:lineRule="exact"/>
              <w:rPr>
                <w:sz w:val="20"/>
                <w:szCs w:val="20"/>
                <w:color w:val="auto"/>
              </w:rPr>
            </w:pPr>
            <w:r>
              <w:rPr>
                <w:rFonts w:ascii="Arial" w:cs="Arial" w:eastAsia="Arial" w:hAnsi="Arial"/>
                <w:sz w:val="15"/>
                <w:szCs w:val="15"/>
                <w:b w:val="1"/>
                <w:bCs w:val="1"/>
                <w:color w:val="FFFFFF"/>
              </w:rPr>
              <w:t>compensation – value earned during</w:t>
            </w:r>
          </w:p>
        </w:tc>
        <w:tc>
          <w:tcPr>
            <w:tcW w:w="0" w:type="dxa"/>
            <w:vAlign w:val="bottom"/>
          </w:tcPr>
          <w:p>
            <w:pPr>
              <w:spacing w:after="0"/>
              <w:rPr>
                <w:sz w:val="1"/>
                <w:szCs w:val="1"/>
                <w:color w:val="auto"/>
              </w:rPr>
            </w:pPr>
          </w:p>
        </w:tc>
      </w:tr>
      <w:tr>
        <w:trPr>
          <w:trHeight w:val="231"/>
        </w:trPr>
        <w:tc>
          <w:tcPr>
            <w:tcW w:w="196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Name</w:t>
            </w:r>
          </w:p>
        </w:tc>
        <w:tc>
          <w:tcPr>
            <w:tcW w:w="2640" w:type="dxa"/>
            <w:vAlign w:val="bottom"/>
            <w:tcBorders>
              <w:right w:val="single" w:sz="8" w:color="262626"/>
            </w:tcBorders>
            <w:shd w:val="clear" w:color="auto" w:fill="262626"/>
          </w:tcPr>
          <w:p>
            <w:pPr>
              <w:jc w:val="right"/>
              <w:ind w:right="207"/>
              <w:spacing w:after="0"/>
              <w:rPr>
                <w:sz w:val="20"/>
                <w:szCs w:val="20"/>
                <w:color w:val="auto"/>
              </w:rPr>
            </w:pPr>
            <w:r>
              <w:rPr>
                <w:rFonts w:ascii="Arial" w:cs="Arial" w:eastAsia="Arial" w:hAnsi="Arial"/>
                <w:sz w:val="15"/>
                <w:szCs w:val="15"/>
                <w:b w:val="1"/>
                <w:bCs w:val="1"/>
                <w:color w:val="FFFFFF"/>
              </w:rPr>
              <w:t>vested during the year ($)</w:t>
            </w:r>
          </w:p>
        </w:tc>
        <w:tc>
          <w:tcPr>
            <w:tcW w:w="3120" w:type="dxa"/>
            <w:vAlign w:val="bottom"/>
            <w:tcBorders>
              <w:right w:val="single" w:sz="8" w:color="262626"/>
            </w:tcBorders>
            <w:shd w:val="clear" w:color="auto" w:fill="262626"/>
          </w:tcPr>
          <w:p>
            <w:pPr>
              <w:jc w:val="right"/>
              <w:ind w:right="207"/>
              <w:spacing w:after="0"/>
              <w:rPr>
                <w:sz w:val="20"/>
                <w:szCs w:val="20"/>
                <w:color w:val="auto"/>
              </w:rPr>
            </w:pPr>
            <w:r>
              <w:rPr>
                <w:rFonts w:ascii="Arial" w:cs="Arial" w:eastAsia="Arial" w:hAnsi="Arial"/>
                <w:sz w:val="15"/>
                <w:szCs w:val="15"/>
                <w:b w:val="1"/>
                <w:bCs w:val="1"/>
                <w:color w:val="FFFFFF"/>
              </w:rPr>
              <w:t>during the year ($)</w:t>
            </w:r>
          </w:p>
        </w:tc>
        <w:tc>
          <w:tcPr>
            <w:tcW w:w="3200" w:type="dxa"/>
            <w:vAlign w:val="bottom"/>
            <w:shd w:val="clear" w:color="auto" w:fill="262626"/>
          </w:tcPr>
          <w:p>
            <w:pPr>
              <w:jc w:val="right"/>
              <w:ind w:right="187"/>
              <w:spacing w:after="0"/>
              <w:rPr>
                <w:sz w:val="20"/>
                <w:szCs w:val="20"/>
                <w:color w:val="auto"/>
              </w:rPr>
            </w:pPr>
            <w:r>
              <w:rPr>
                <w:rFonts w:ascii="Arial" w:cs="Arial" w:eastAsia="Arial" w:hAnsi="Arial"/>
                <w:sz w:val="15"/>
                <w:szCs w:val="15"/>
                <w:b w:val="1"/>
                <w:bCs w:val="1"/>
                <w:color w:val="FFFFFF"/>
              </w:rPr>
              <w:t>the year ($)</w:t>
            </w:r>
          </w:p>
        </w:tc>
        <w:tc>
          <w:tcPr>
            <w:tcW w:w="0" w:type="dxa"/>
            <w:vAlign w:val="bottom"/>
          </w:tcPr>
          <w:p>
            <w:pPr>
              <w:spacing w:after="0"/>
              <w:rPr>
                <w:sz w:val="1"/>
                <w:szCs w:val="1"/>
                <w:color w:val="auto"/>
              </w:rPr>
            </w:pPr>
          </w:p>
        </w:tc>
      </w:tr>
      <w:tr>
        <w:trPr>
          <w:trHeight w:val="227"/>
        </w:trPr>
        <w:tc>
          <w:tcPr>
            <w:tcW w:w="196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Steve Hasker</w:t>
            </w:r>
          </w:p>
        </w:tc>
        <w:tc>
          <w:tcPr>
            <w:tcW w:w="264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6,243,713</w:t>
            </w:r>
          </w:p>
        </w:tc>
        <w:tc>
          <w:tcPr>
            <w:tcW w:w="312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7,271,690</w:t>
            </w:r>
          </w:p>
        </w:tc>
        <w:tc>
          <w:tcPr>
            <w:tcW w:w="3200" w:type="dxa"/>
            <w:vAlign w:val="bottom"/>
            <w:tcBorders>
              <w:bottom w:val="single" w:sz="8" w:color="AFAFAF"/>
            </w:tcBorders>
          </w:tcPr>
          <w:p>
            <w:pPr>
              <w:jc w:val="right"/>
              <w:ind w:right="187"/>
              <w:spacing w:after="0"/>
              <w:rPr>
                <w:sz w:val="20"/>
                <w:szCs w:val="20"/>
                <w:color w:val="auto"/>
              </w:rPr>
            </w:pPr>
            <w:r>
              <w:rPr>
                <w:rFonts w:ascii="Arial" w:cs="Arial" w:eastAsia="Arial" w:hAnsi="Arial"/>
                <w:sz w:val="14"/>
                <w:szCs w:val="14"/>
                <w:color w:val="auto"/>
              </w:rPr>
              <w:t>2,174,769</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Mike Eastwood</w:t>
            </w:r>
          </w:p>
        </w:tc>
        <w:tc>
          <w:tcPr>
            <w:tcW w:w="264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2,185,605</w:t>
            </w:r>
          </w:p>
        </w:tc>
        <w:tc>
          <w:tcPr>
            <w:tcW w:w="312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1,845,313</w:t>
            </w:r>
          </w:p>
        </w:tc>
        <w:tc>
          <w:tcPr>
            <w:tcW w:w="3200" w:type="dxa"/>
            <w:vAlign w:val="bottom"/>
            <w:tcBorders>
              <w:bottom w:val="single" w:sz="8" w:color="AFAFAF"/>
            </w:tcBorders>
          </w:tcPr>
          <w:p>
            <w:pPr>
              <w:jc w:val="right"/>
              <w:ind w:right="187"/>
              <w:spacing w:after="0"/>
              <w:rPr>
                <w:sz w:val="20"/>
                <w:szCs w:val="20"/>
                <w:color w:val="auto"/>
              </w:rPr>
            </w:pPr>
            <w:r>
              <w:rPr>
                <w:rFonts w:ascii="Arial" w:cs="Arial" w:eastAsia="Arial" w:hAnsi="Arial"/>
                <w:sz w:val="14"/>
                <w:szCs w:val="14"/>
                <w:color w:val="auto"/>
              </w:rPr>
              <w:t>858,121</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Laura Clayton McDonnell</w:t>
            </w:r>
          </w:p>
        </w:tc>
        <w:tc>
          <w:tcPr>
            <w:tcW w:w="264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w:t>
            </w:r>
          </w:p>
        </w:tc>
        <w:tc>
          <w:tcPr>
            <w:tcW w:w="312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AFAFAF"/>
            </w:tcBorders>
          </w:tcPr>
          <w:p>
            <w:pPr>
              <w:jc w:val="right"/>
              <w:ind w:right="187"/>
              <w:spacing w:after="0"/>
              <w:rPr>
                <w:sz w:val="20"/>
                <w:szCs w:val="20"/>
                <w:color w:val="auto"/>
              </w:rPr>
            </w:pPr>
            <w:r>
              <w:rPr>
                <w:rFonts w:ascii="Arial" w:cs="Arial" w:eastAsia="Arial" w:hAnsi="Arial"/>
                <w:sz w:val="14"/>
                <w:szCs w:val="14"/>
                <w:color w:val="auto"/>
              </w:rPr>
              <w:t>649,250</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Kirsty Roth</w:t>
            </w:r>
          </w:p>
        </w:tc>
        <w:tc>
          <w:tcPr>
            <w:tcW w:w="264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558,618</w:t>
            </w:r>
          </w:p>
        </w:tc>
        <w:tc>
          <w:tcPr>
            <w:tcW w:w="3120" w:type="dxa"/>
            <w:vAlign w:val="bottom"/>
            <w:tcBorders>
              <w:bottom w:val="single" w:sz="8" w:color="AFAFAF"/>
              <w:right w:val="single" w:sz="8" w:color="AFAFAF"/>
            </w:tcBorders>
          </w:tcPr>
          <w:p>
            <w:pPr>
              <w:jc w:val="right"/>
              <w:ind w:right="207"/>
              <w:spacing w:after="0"/>
              <w:rPr>
                <w:sz w:val="20"/>
                <w:szCs w:val="20"/>
                <w:color w:val="auto"/>
              </w:rPr>
            </w:pPr>
            <w:r>
              <w:rPr>
                <w:rFonts w:ascii="Arial" w:cs="Arial" w:eastAsia="Arial" w:hAnsi="Arial"/>
                <w:sz w:val="14"/>
                <w:szCs w:val="14"/>
                <w:color w:val="auto"/>
              </w:rPr>
              <w:t>441,235</w:t>
            </w:r>
          </w:p>
        </w:tc>
        <w:tc>
          <w:tcPr>
            <w:tcW w:w="3200" w:type="dxa"/>
            <w:vAlign w:val="bottom"/>
            <w:tcBorders>
              <w:bottom w:val="single" w:sz="8" w:color="AFAFAF"/>
            </w:tcBorders>
          </w:tcPr>
          <w:p>
            <w:pPr>
              <w:jc w:val="right"/>
              <w:ind w:right="187"/>
              <w:spacing w:after="0"/>
              <w:rPr>
                <w:sz w:val="20"/>
                <w:szCs w:val="20"/>
                <w:color w:val="auto"/>
              </w:rPr>
            </w:pPr>
            <w:r>
              <w:rPr>
                <w:rFonts w:ascii="Arial" w:cs="Arial" w:eastAsia="Arial" w:hAnsi="Arial"/>
                <w:sz w:val="14"/>
                <w:szCs w:val="14"/>
                <w:color w:val="auto"/>
              </w:rPr>
              <w:t>937,103</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b w:val="1"/>
                <w:bCs w:val="1"/>
                <w:color w:val="auto"/>
              </w:rPr>
              <w:t>Paul Bascobert</w:t>
            </w:r>
          </w:p>
        </w:tc>
        <w:tc>
          <w:tcPr>
            <w:tcW w:w="2640" w:type="dxa"/>
            <w:vAlign w:val="bottom"/>
            <w:tcBorders>
              <w:bottom w:val="single" w:sz="8" w:color="B94831"/>
              <w:right w:val="single" w:sz="8" w:color="AFAFAF"/>
            </w:tcBorders>
          </w:tcPr>
          <w:p>
            <w:pPr>
              <w:jc w:val="right"/>
              <w:ind w:right="207"/>
              <w:spacing w:after="0"/>
              <w:rPr>
                <w:sz w:val="20"/>
                <w:szCs w:val="20"/>
                <w:color w:val="auto"/>
              </w:rPr>
            </w:pPr>
            <w:r>
              <w:rPr>
                <w:rFonts w:ascii="Arial" w:cs="Arial" w:eastAsia="Arial" w:hAnsi="Arial"/>
                <w:sz w:val="14"/>
                <w:szCs w:val="14"/>
                <w:color w:val="auto"/>
              </w:rPr>
              <w:t>–</w:t>
            </w:r>
          </w:p>
        </w:tc>
        <w:tc>
          <w:tcPr>
            <w:tcW w:w="3120" w:type="dxa"/>
            <w:vAlign w:val="bottom"/>
            <w:tcBorders>
              <w:bottom w:val="single" w:sz="8" w:color="B94831"/>
              <w:right w:val="single" w:sz="8" w:color="AFAFAF"/>
            </w:tcBorders>
          </w:tcPr>
          <w:p>
            <w:pPr>
              <w:jc w:val="right"/>
              <w:ind w:right="207"/>
              <w:spacing w:after="0"/>
              <w:rPr>
                <w:sz w:val="20"/>
                <w:szCs w:val="20"/>
                <w:color w:val="auto"/>
              </w:rPr>
            </w:pPr>
            <w:r>
              <w:rPr>
                <w:rFonts w:ascii="Arial" w:cs="Arial" w:eastAsia="Arial" w:hAnsi="Arial"/>
                <w:sz w:val="14"/>
                <w:szCs w:val="14"/>
                <w:color w:val="auto"/>
              </w:rPr>
              <w:t>187,216</w:t>
            </w:r>
          </w:p>
        </w:tc>
        <w:tc>
          <w:tcPr>
            <w:tcW w:w="3200" w:type="dxa"/>
            <w:vAlign w:val="bottom"/>
            <w:tcBorders>
              <w:bottom w:val="single" w:sz="8" w:color="B94831"/>
            </w:tcBorders>
          </w:tcPr>
          <w:p>
            <w:pPr>
              <w:jc w:val="right"/>
              <w:ind w:right="187"/>
              <w:spacing w:after="0"/>
              <w:rPr>
                <w:sz w:val="20"/>
                <w:szCs w:val="20"/>
                <w:color w:val="auto"/>
              </w:rPr>
            </w:pPr>
            <w:r>
              <w:rPr>
                <w:rFonts w:ascii="Arial" w:cs="Arial" w:eastAsia="Arial" w:hAnsi="Arial"/>
                <w:sz w:val="14"/>
                <w:szCs w:val="14"/>
                <w:color w:val="auto"/>
              </w:rPr>
              <w:t>918,750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Stock Options – Exercises in 2023</w:t>
      </w:r>
    </w:p>
    <w:p>
      <w:pPr>
        <w:spacing w:after="0" w:line="51"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As indicated in the table below, Mike Eastwood and Kirsty Roth were the only named executive officers who exercised stock options in 2023.</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4080" w:type="dxa"/>
            <w:vAlign w:val="bottom"/>
            <w:tcBorders>
              <w:right w:val="single" w:sz="8" w:color="262626"/>
            </w:tcBorders>
            <w:vMerge w:val="restart"/>
            <w:shd w:val="clear" w:color="auto" w:fill="262626"/>
          </w:tcPr>
          <w:p>
            <w:pPr>
              <w:ind w:left="140"/>
              <w:spacing w:after="0"/>
              <w:rPr>
                <w:sz w:val="20"/>
                <w:szCs w:val="20"/>
                <w:color w:val="auto"/>
              </w:rPr>
            </w:pPr>
            <w:r>
              <w:rPr>
                <w:rFonts w:ascii="Arial" w:cs="Arial" w:eastAsia="Arial" w:hAnsi="Arial"/>
                <w:sz w:val="15"/>
                <w:szCs w:val="15"/>
                <w:b w:val="1"/>
                <w:bCs w:val="1"/>
                <w:color w:val="FFFFFF"/>
              </w:rPr>
              <w:t>Name</w:t>
            </w:r>
          </w:p>
        </w:tc>
        <w:tc>
          <w:tcPr>
            <w:tcW w:w="1520" w:type="dxa"/>
            <w:vAlign w:val="bottom"/>
            <w:tcBorders>
              <w:right w:val="single" w:sz="8" w:color="262626"/>
            </w:tcBorders>
            <w:vMerge w:val="restart"/>
            <w:shd w:val="clear" w:color="auto" w:fill="262626"/>
          </w:tcPr>
          <w:p>
            <w:pPr>
              <w:jc w:val="right"/>
              <w:ind w:right="68"/>
              <w:spacing w:after="0"/>
              <w:rPr>
                <w:sz w:val="20"/>
                <w:szCs w:val="20"/>
                <w:color w:val="auto"/>
              </w:rPr>
            </w:pPr>
            <w:r>
              <w:rPr>
                <w:rFonts w:ascii="Arial" w:cs="Arial" w:eastAsia="Arial" w:hAnsi="Arial"/>
                <w:sz w:val="15"/>
                <w:szCs w:val="15"/>
                <w:b w:val="1"/>
                <w:bCs w:val="1"/>
                <w:color w:val="FFFFFF"/>
              </w:rPr>
              <w:t>Exercise date</w:t>
            </w:r>
          </w:p>
        </w:tc>
        <w:tc>
          <w:tcPr>
            <w:tcW w:w="1280" w:type="dxa"/>
            <w:vAlign w:val="bottom"/>
            <w:tcBorders>
              <w:right w:val="single" w:sz="8" w:color="262626"/>
            </w:tcBorders>
            <w:vMerge w:val="restart"/>
            <w:shd w:val="clear" w:color="auto" w:fill="262626"/>
          </w:tcPr>
          <w:p>
            <w:pPr>
              <w:jc w:val="right"/>
              <w:ind w:right="148"/>
              <w:spacing w:after="0"/>
              <w:rPr>
                <w:sz w:val="20"/>
                <w:szCs w:val="20"/>
                <w:color w:val="auto"/>
              </w:rPr>
            </w:pPr>
            <w:r>
              <w:rPr>
                <w:rFonts w:ascii="Arial" w:cs="Arial" w:eastAsia="Arial" w:hAnsi="Arial"/>
                <w:sz w:val="15"/>
                <w:szCs w:val="15"/>
                <w:b w:val="1"/>
                <w:bCs w:val="1"/>
                <w:color w:val="FFFFFF"/>
              </w:rPr>
              <w:t>Grant date</w:t>
            </w:r>
          </w:p>
        </w:tc>
        <w:tc>
          <w:tcPr>
            <w:tcW w:w="1140" w:type="dxa"/>
            <w:vAlign w:val="bottom"/>
            <w:tcBorders>
              <w:right w:val="single" w:sz="8" w:color="262626"/>
            </w:tcBorders>
            <w:shd w:val="clear" w:color="auto" w:fill="262626"/>
          </w:tcPr>
          <w:p>
            <w:pPr>
              <w:jc w:val="right"/>
              <w:ind w:right="148"/>
              <w:spacing w:after="0"/>
              <w:rPr>
                <w:sz w:val="20"/>
                <w:szCs w:val="20"/>
                <w:color w:val="auto"/>
              </w:rPr>
            </w:pPr>
            <w:r>
              <w:rPr>
                <w:rFonts w:ascii="Arial" w:cs="Arial" w:eastAsia="Arial" w:hAnsi="Arial"/>
                <w:sz w:val="15"/>
                <w:szCs w:val="15"/>
                <w:b w:val="1"/>
                <w:bCs w:val="1"/>
                <w:color w:val="FFFFFF"/>
              </w:rPr>
              <w:t>Number of</w:t>
            </w:r>
          </w:p>
        </w:tc>
        <w:tc>
          <w:tcPr>
            <w:tcW w:w="180" w:type="dxa"/>
            <w:vAlign w:val="bottom"/>
            <w:shd w:val="clear" w:color="auto" w:fill="262626"/>
          </w:tcPr>
          <w:p>
            <w:pPr>
              <w:spacing w:after="0"/>
              <w:rPr>
                <w:sz w:val="17"/>
                <w:szCs w:val="17"/>
                <w:color w:val="auto"/>
              </w:rPr>
            </w:pPr>
          </w:p>
        </w:tc>
        <w:tc>
          <w:tcPr>
            <w:tcW w:w="860" w:type="dxa"/>
            <w:vAlign w:val="bottom"/>
            <w:tcBorders>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w w:val="97"/>
              </w:rPr>
              <w:t>Exercise</w:t>
            </w:r>
          </w:p>
        </w:tc>
        <w:tc>
          <w:tcPr>
            <w:tcW w:w="840" w:type="dxa"/>
            <w:vAlign w:val="bottom"/>
            <w:tcBorders>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rPr>
              <w:t>Sale</w:t>
            </w:r>
          </w:p>
        </w:tc>
        <w:tc>
          <w:tcPr>
            <w:tcW w:w="160" w:type="dxa"/>
            <w:vAlign w:val="bottom"/>
            <w:shd w:val="clear" w:color="auto" w:fill="262626"/>
          </w:tcPr>
          <w:p>
            <w:pPr>
              <w:spacing w:after="0"/>
              <w:rPr>
                <w:sz w:val="17"/>
                <w:szCs w:val="17"/>
                <w:color w:val="auto"/>
              </w:rPr>
            </w:pPr>
          </w:p>
        </w:tc>
        <w:tc>
          <w:tcPr>
            <w:tcW w:w="860" w:type="dxa"/>
            <w:vAlign w:val="bottom"/>
            <w:vMerge w:val="restart"/>
            <w:shd w:val="clear" w:color="auto" w:fill="262626"/>
          </w:tcPr>
          <w:p>
            <w:pPr>
              <w:jc w:val="right"/>
              <w:ind w:right="148"/>
              <w:spacing w:after="0"/>
              <w:rPr>
                <w:sz w:val="20"/>
                <w:szCs w:val="20"/>
                <w:color w:val="auto"/>
              </w:rPr>
            </w:pPr>
            <w:r>
              <w:rPr>
                <w:rFonts w:ascii="Arial" w:cs="Arial" w:eastAsia="Arial" w:hAnsi="Arial"/>
                <w:sz w:val="15"/>
                <w:szCs w:val="15"/>
                <w:b w:val="1"/>
                <w:bCs w:val="1"/>
                <w:color w:val="FFFFFF"/>
              </w:rPr>
              <w:t>Gain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80" w:type="dxa"/>
            <w:vAlign w:val="bottom"/>
            <w:tcBorders>
              <w:bottom w:val="single" w:sz="8" w:color="B94831"/>
              <w:right w:val="single" w:sz="8" w:color="262626"/>
            </w:tcBorders>
            <w:vMerge w:val="continue"/>
            <w:shd w:val="clear" w:color="auto" w:fill="262626"/>
          </w:tcPr>
          <w:p>
            <w:pPr>
              <w:spacing w:after="0"/>
              <w:rPr>
                <w:sz w:val="18"/>
                <w:szCs w:val="18"/>
                <w:color w:val="auto"/>
              </w:rPr>
            </w:pPr>
          </w:p>
        </w:tc>
        <w:tc>
          <w:tcPr>
            <w:tcW w:w="1520" w:type="dxa"/>
            <w:vAlign w:val="bottom"/>
            <w:tcBorders>
              <w:bottom w:val="single" w:sz="8" w:color="B94831"/>
              <w:right w:val="single" w:sz="8" w:color="262626"/>
            </w:tcBorders>
            <w:vMerge w:val="continue"/>
            <w:shd w:val="clear" w:color="auto" w:fill="262626"/>
          </w:tcPr>
          <w:p>
            <w:pPr>
              <w:spacing w:after="0"/>
              <w:rPr>
                <w:sz w:val="18"/>
                <w:szCs w:val="18"/>
                <w:color w:val="auto"/>
              </w:rPr>
            </w:pPr>
          </w:p>
        </w:tc>
        <w:tc>
          <w:tcPr>
            <w:tcW w:w="1280" w:type="dxa"/>
            <w:vAlign w:val="bottom"/>
            <w:tcBorders>
              <w:bottom w:val="single" w:sz="8" w:color="B94831"/>
              <w:right w:val="single" w:sz="8" w:color="262626"/>
            </w:tcBorders>
            <w:vMerge w:val="continue"/>
            <w:shd w:val="clear" w:color="auto" w:fill="262626"/>
          </w:tcPr>
          <w:p>
            <w:pPr>
              <w:spacing w:after="0"/>
              <w:rPr>
                <w:sz w:val="18"/>
                <w:szCs w:val="18"/>
                <w:color w:val="auto"/>
              </w:rPr>
            </w:pPr>
          </w:p>
        </w:tc>
        <w:tc>
          <w:tcPr>
            <w:tcW w:w="1140" w:type="dxa"/>
            <w:vAlign w:val="bottom"/>
            <w:tcBorders>
              <w:bottom w:val="single" w:sz="8" w:color="B94831"/>
              <w:right w:val="single" w:sz="8" w:color="262626"/>
            </w:tcBorders>
            <w:shd w:val="clear" w:color="auto" w:fill="262626"/>
          </w:tcPr>
          <w:p>
            <w:pPr>
              <w:jc w:val="right"/>
              <w:ind w:right="148"/>
              <w:spacing w:after="0"/>
              <w:rPr>
                <w:sz w:val="20"/>
                <w:szCs w:val="20"/>
                <w:color w:val="auto"/>
              </w:rPr>
            </w:pPr>
            <w:r>
              <w:rPr>
                <w:rFonts w:ascii="Arial" w:cs="Arial" w:eastAsia="Arial" w:hAnsi="Arial"/>
                <w:sz w:val="15"/>
                <w:szCs w:val="15"/>
                <w:b w:val="1"/>
                <w:bCs w:val="1"/>
                <w:color w:val="FFFFFF"/>
              </w:rPr>
              <w:t>options</w:t>
            </w:r>
          </w:p>
        </w:tc>
        <w:tc>
          <w:tcPr>
            <w:tcW w:w="180" w:type="dxa"/>
            <w:vAlign w:val="bottom"/>
            <w:tcBorders>
              <w:bottom w:val="single" w:sz="8" w:color="B94831"/>
            </w:tcBorders>
            <w:shd w:val="clear" w:color="auto" w:fill="262626"/>
          </w:tcPr>
          <w:p>
            <w:pPr>
              <w:spacing w:after="0"/>
              <w:rPr>
                <w:sz w:val="18"/>
                <w:szCs w:val="18"/>
                <w:color w:val="auto"/>
              </w:rPr>
            </w:pPr>
          </w:p>
        </w:tc>
        <w:tc>
          <w:tcPr>
            <w:tcW w:w="860" w:type="dxa"/>
            <w:vAlign w:val="bottom"/>
            <w:tcBorders>
              <w:bottom w:val="single" w:sz="8" w:color="B94831"/>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rPr>
              <w:t>price</w:t>
            </w:r>
          </w:p>
        </w:tc>
        <w:tc>
          <w:tcPr>
            <w:tcW w:w="840" w:type="dxa"/>
            <w:vAlign w:val="bottom"/>
            <w:tcBorders>
              <w:bottom w:val="single" w:sz="8" w:color="B94831"/>
              <w:right w:val="single" w:sz="8" w:color="262626"/>
            </w:tcBorders>
            <w:shd w:val="clear" w:color="auto" w:fill="262626"/>
          </w:tcPr>
          <w:p>
            <w:pPr>
              <w:jc w:val="right"/>
              <w:ind w:right="168"/>
              <w:spacing w:after="0"/>
              <w:rPr>
                <w:sz w:val="20"/>
                <w:szCs w:val="20"/>
                <w:color w:val="auto"/>
              </w:rPr>
            </w:pPr>
            <w:r>
              <w:rPr>
                <w:rFonts w:ascii="Arial" w:cs="Arial" w:eastAsia="Arial" w:hAnsi="Arial"/>
                <w:sz w:val="15"/>
                <w:szCs w:val="15"/>
                <w:b w:val="1"/>
                <w:bCs w:val="1"/>
                <w:color w:val="FFFFFF"/>
              </w:rPr>
              <w:t>Price</w:t>
            </w:r>
          </w:p>
        </w:tc>
        <w:tc>
          <w:tcPr>
            <w:tcW w:w="160" w:type="dxa"/>
            <w:vAlign w:val="bottom"/>
            <w:tcBorders>
              <w:bottom w:val="single" w:sz="8" w:color="B94831"/>
            </w:tcBorders>
            <w:shd w:val="clear" w:color="auto" w:fill="262626"/>
          </w:tcPr>
          <w:p>
            <w:pPr>
              <w:spacing w:after="0"/>
              <w:rPr>
                <w:sz w:val="18"/>
                <w:szCs w:val="18"/>
                <w:color w:val="auto"/>
              </w:rPr>
            </w:pPr>
          </w:p>
        </w:tc>
        <w:tc>
          <w:tcPr>
            <w:tcW w:w="860" w:type="dxa"/>
            <w:vAlign w:val="bottom"/>
            <w:tcBorders>
              <w:bottom w:val="single" w:sz="8" w:color="B94831"/>
            </w:tcBorders>
            <w:vMerge w:val="continue"/>
            <w:shd w:val="clear" w:color="auto" w:fill="262626"/>
          </w:tcPr>
          <w:p>
            <w:pPr>
              <w:spacing w:after="0"/>
              <w:rPr>
                <w:sz w:val="18"/>
                <w:szCs w:val="18"/>
                <w:color w:val="auto"/>
              </w:rPr>
            </w:pPr>
          </w:p>
        </w:tc>
        <w:tc>
          <w:tcPr>
            <w:tcW w:w="20" w:type="dxa"/>
            <w:vAlign w:val="bottom"/>
            <w:tcBorders>
              <w:bottom w:val="single" w:sz="8" w:color="B94831"/>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Mike Eastwood</w:t>
            </w:r>
          </w:p>
        </w:tc>
        <w:tc>
          <w:tcPr>
            <w:tcW w:w="1520" w:type="dxa"/>
            <w:vAlign w:val="bottom"/>
            <w:tcBorders>
              <w:bottom w:val="single" w:sz="8" w:color="AFAFAF"/>
              <w:right w:val="single" w:sz="8" w:color="AFAFAF"/>
            </w:tcBorders>
          </w:tcPr>
          <w:p>
            <w:pPr>
              <w:jc w:val="right"/>
              <w:ind w:right="68"/>
              <w:spacing w:after="0"/>
              <w:rPr>
                <w:sz w:val="20"/>
                <w:szCs w:val="20"/>
                <w:color w:val="auto"/>
              </w:rPr>
            </w:pPr>
            <w:r>
              <w:rPr>
                <w:rFonts w:ascii="Arial" w:cs="Arial" w:eastAsia="Arial" w:hAnsi="Arial"/>
                <w:sz w:val="14"/>
                <w:szCs w:val="14"/>
                <w:color w:val="auto"/>
              </w:rPr>
              <w:t>November 20, 2023</w:t>
            </w:r>
          </w:p>
        </w:tc>
        <w:tc>
          <w:tcPr>
            <w:tcW w:w="128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March 3, 2021</w:t>
            </w:r>
          </w:p>
        </w:tc>
        <w:tc>
          <w:tcPr>
            <w:tcW w:w="114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17,960</w:t>
            </w:r>
          </w:p>
        </w:tc>
        <w:tc>
          <w:tcPr>
            <w:tcW w:w="18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88.87</w:t>
            </w:r>
          </w:p>
        </w:tc>
        <w:tc>
          <w:tcPr>
            <w:tcW w:w="84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$ 138.90</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rPr>
              <w:t>898,540</w:t>
            </w:r>
          </w:p>
        </w:tc>
        <w:tc>
          <w:tcPr>
            <w:tcW w:w="20" w:type="dxa"/>
            <w:vAlign w:val="bottom"/>
            <w:tcBorders>
              <w:bottom w:val="single" w:sz="8" w:color="AFAFAF"/>
            </w:tcBorders>
            <w:shd w:val="clear" w:color="auto" w:fill="AFAFA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Borders>
              <w:right w:val="single" w:sz="8" w:color="AFAFAF"/>
            </w:tcBorders>
          </w:tcPr>
          <w:p>
            <w:pPr>
              <w:spacing w:after="0"/>
              <w:rPr>
                <w:sz w:val="18"/>
                <w:szCs w:val="18"/>
                <w:color w:val="auto"/>
              </w:rPr>
            </w:pPr>
          </w:p>
        </w:tc>
        <w:tc>
          <w:tcPr>
            <w:tcW w:w="1520" w:type="dxa"/>
            <w:vAlign w:val="bottom"/>
            <w:tcBorders>
              <w:bottom w:val="single" w:sz="8" w:color="AFAFAF"/>
              <w:right w:val="single" w:sz="8" w:color="AFAFAF"/>
            </w:tcBorders>
          </w:tcPr>
          <w:p>
            <w:pPr>
              <w:jc w:val="right"/>
              <w:ind w:right="68"/>
              <w:spacing w:after="0"/>
              <w:rPr>
                <w:sz w:val="20"/>
                <w:szCs w:val="20"/>
                <w:color w:val="auto"/>
              </w:rPr>
            </w:pPr>
            <w:r>
              <w:rPr>
                <w:rFonts w:ascii="Arial" w:cs="Arial" w:eastAsia="Arial" w:hAnsi="Arial"/>
                <w:sz w:val="14"/>
                <w:szCs w:val="14"/>
                <w:color w:val="auto"/>
              </w:rPr>
              <w:t>November 14, 2023</w:t>
            </w:r>
          </w:p>
        </w:tc>
        <w:tc>
          <w:tcPr>
            <w:tcW w:w="128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March 6, 2019</w:t>
            </w:r>
          </w:p>
        </w:tc>
        <w:tc>
          <w:tcPr>
            <w:tcW w:w="114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14,129</w:t>
            </w:r>
          </w:p>
        </w:tc>
        <w:tc>
          <w:tcPr>
            <w:tcW w:w="18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54.36</w:t>
            </w:r>
          </w:p>
        </w:tc>
        <w:tc>
          <w:tcPr>
            <w:tcW w:w="84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$132.96</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w w:val="99"/>
              </w:rPr>
              <w:t>1,110,539</w:t>
            </w:r>
          </w:p>
        </w:tc>
        <w:tc>
          <w:tcPr>
            <w:tcW w:w="20" w:type="dxa"/>
            <w:vAlign w:val="bottom"/>
            <w:tcBorders>
              <w:bottom w:val="single" w:sz="8" w:color="AFAFAF"/>
            </w:tcBorders>
            <w:shd w:val="clear" w:color="auto" w:fill="AFAFA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80" w:type="dxa"/>
            <w:vAlign w:val="bottom"/>
            <w:tcBorders>
              <w:right w:val="single" w:sz="8" w:color="AFAFAF"/>
            </w:tcBorders>
          </w:tcPr>
          <w:p>
            <w:pPr>
              <w:spacing w:after="0"/>
              <w:rPr>
                <w:sz w:val="19"/>
                <w:szCs w:val="19"/>
                <w:color w:val="auto"/>
              </w:rPr>
            </w:pPr>
          </w:p>
        </w:tc>
        <w:tc>
          <w:tcPr>
            <w:tcW w:w="1520" w:type="dxa"/>
            <w:vAlign w:val="bottom"/>
            <w:tcBorders>
              <w:bottom w:val="single" w:sz="8" w:color="AFAFAF"/>
              <w:right w:val="single" w:sz="8" w:color="AFAFAF"/>
            </w:tcBorders>
          </w:tcPr>
          <w:p>
            <w:pPr>
              <w:jc w:val="right"/>
              <w:ind w:right="68"/>
              <w:spacing w:after="0"/>
              <w:rPr>
                <w:sz w:val="20"/>
                <w:szCs w:val="20"/>
                <w:color w:val="auto"/>
              </w:rPr>
            </w:pPr>
            <w:r>
              <w:rPr>
                <w:rFonts w:ascii="Arial" w:cs="Arial" w:eastAsia="Arial" w:hAnsi="Arial"/>
                <w:sz w:val="14"/>
                <w:szCs w:val="14"/>
                <w:color w:val="auto"/>
              </w:rPr>
              <w:t>November 14, 2023</w:t>
            </w:r>
          </w:p>
        </w:tc>
        <w:tc>
          <w:tcPr>
            <w:tcW w:w="128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May 10, 2019</w:t>
            </w:r>
          </w:p>
        </w:tc>
        <w:tc>
          <w:tcPr>
            <w:tcW w:w="114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8,237</w:t>
            </w:r>
          </w:p>
        </w:tc>
        <w:tc>
          <w:tcPr>
            <w:tcW w:w="18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63.26</w:t>
            </w:r>
          </w:p>
        </w:tc>
        <w:tc>
          <w:tcPr>
            <w:tcW w:w="84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$132.96</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rPr>
              <w:t>574,119</w:t>
            </w:r>
          </w:p>
        </w:tc>
        <w:tc>
          <w:tcPr>
            <w:tcW w:w="20" w:type="dxa"/>
            <w:vAlign w:val="bottom"/>
            <w:tcBorders>
              <w:bottom w:val="single" w:sz="8" w:color="AFAFAF"/>
            </w:tcBorders>
            <w:shd w:val="clear" w:color="auto" w:fill="AFAFA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80" w:type="dxa"/>
            <w:vAlign w:val="bottom"/>
            <w:tcBorders>
              <w:bottom w:val="single" w:sz="8" w:color="AFAFAF"/>
              <w:right w:val="single" w:sz="8" w:color="AFAFAF"/>
            </w:tcBorders>
          </w:tcPr>
          <w:p>
            <w:pPr>
              <w:spacing w:after="0"/>
              <w:rPr>
                <w:sz w:val="19"/>
                <w:szCs w:val="19"/>
                <w:color w:val="auto"/>
              </w:rPr>
            </w:pPr>
          </w:p>
        </w:tc>
        <w:tc>
          <w:tcPr>
            <w:tcW w:w="1520" w:type="dxa"/>
            <w:vAlign w:val="bottom"/>
            <w:tcBorders>
              <w:bottom w:val="single" w:sz="8" w:color="AFAFAF"/>
              <w:right w:val="single" w:sz="8" w:color="AFAFAF"/>
            </w:tcBorders>
          </w:tcPr>
          <w:p>
            <w:pPr>
              <w:jc w:val="right"/>
              <w:ind w:right="68"/>
              <w:spacing w:after="0"/>
              <w:rPr>
                <w:sz w:val="20"/>
                <w:szCs w:val="20"/>
                <w:color w:val="auto"/>
              </w:rPr>
            </w:pPr>
            <w:r>
              <w:rPr>
                <w:rFonts w:ascii="Arial" w:cs="Arial" w:eastAsia="Arial" w:hAnsi="Arial"/>
                <w:sz w:val="14"/>
                <w:szCs w:val="14"/>
                <w:color w:val="auto"/>
              </w:rPr>
              <w:t>November 14, 2023</w:t>
            </w:r>
          </w:p>
        </w:tc>
        <w:tc>
          <w:tcPr>
            <w:tcW w:w="128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March 4, 2020</w:t>
            </w:r>
          </w:p>
        </w:tc>
        <w:tc>
          <w:tcPr>
            <w:tcW w:w="114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44,715</w:t>
            </w:r>
          </w:p>
        </w:tc>
        <w:tc>
          <w:tcPr>
            <w:tcW w:w="18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75.96</w:t>
            </w:r>
          </w:p>
        </w:tc>
        <w:tc>
          <w:tcPr>
            <w:tcW w:w="84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$132.96</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w w:val="99"/>
              </w:rPr>
              <w:t>2,548,755</w:t>
            </w:r>
          </w:p>
        </w:tc>
        <w:tc>
          <w:tcPr>
            <w:tcW w:w="20" w:type="dxa"/>
            <w:vAlign w:val="bottom"/>
            <w:tcBorders>
              <w:bottom w:val="single" w:sz="8" w:color="AFAFAF"/>
            </w:tcBorders>
            <w:shd w:val="clear" w:color="auto" w:fill="AFAFA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Borders>
              <w:right w:val="single" w:sz="8" w:color="AFAFAF"/>
            </w:tcBorders>
          </w:tcPr>
          <w:p>
            <w:pPr>
              <w:ind w:left="160"/>
              <w:spacing w:after="0"/>
              <w:rPr>
                <w:sz w:val="20"/>
                <w:szCs w:val="20"/>
                <w:color w:val="auto"/>
              </w:rPr>
            </w:pPr>
            <w:r>
              <w:rPr>
                <w:rFonts w:ascii="Arial" w:cs="Arial" w:eastAsia="Arial" w:hAnsi="Arial"/>
                <w:sz w:val="14"/>
                <w:szCs w:val="14"/>
                <w:b w:val="1"/>
                <w:bCs w:val="1"/>
                <w:color w:val="auto"/>
              </w:rPr>
              <w:t>Kirsty Roth</w:t>
            </w:r>
          </w:p>
        </w:tc>
        <w:tc>
          <w:tcPr>
            <w:tcW w:w="1520" w:type="dxa"/>
            <w:vAlign w:val="bottom"/>
            <w:tcBorders>
              <w:bottom w:val="single" w:sz="8" w:color="AFAFAF"/>
              <w:right w:val="single" w:sz="8" w:color="AFAFAF"/>
            </w:tcBorders>
          </w:tcPr>
          <w:p>
            <w:pPr>
              <w:jc w:val="right"/>
              <w:ind w:right="68"/>
              <w:spacing w:after="0"/>
              <w:rPr>
                <w:sz w:val="20"/>
                <w:szCs w:val="20"/>
                <w:color w:val="auto"/>
              </w:rPr>
            </w:pPr>
            <w:r>
              <w:rPr>
                <w:rFonts w:ascii="Arial" w:cs="Arial" w:eastAsia="Arial" w:hAnsi="Arial"/>
                <w:sz w:val="14"/>
                <w:szCs w:val="14"/>
                <w:color w:val="auto"/>
              </w:rPr>
              <w:t>March 31, 2023</w:t>
            </w:r>
          </w:p>
        </w:tc>
        <w:tc>
          <w:tcPr>
            <w:tcW w:w="128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March 3, 2021</w:t>
            </w:r>
          </w:p>
        </w:tc>
        <w:tc>
          <w:tcPr>
            <w:tcW w:w="1140" w:type="dxa"/>
            <w:vAlign w:val="bottom"/>
            <w:tcBorders>
              <w:bottom w:val="single" w:sz="8" w:color="AFAFAF"/>
              <w:right w:val="single" w:sz="8" w:color="AFAFAF"/>
            </w:tcBorders>
          </w:tcPr>
          <w:p>
            <w:pPr>
              <w:jc w:val="right"/>
              <w:ind w:right="148"/>
              <w:spacing w:after="0"/>
              <w:rPr>
                <w:sz w:val="20"/>
                <w:szCs w:val="20"/>
                <w:color w:val="auto"/>
              </w:rPr>
            </w:pPr>
            <w:r>
              <w:rPr>
                <w:rFonts w:ascii="Arial" w:cs="Arial" w:eastAsia="Arial" w:hAnsi="Arial"/>
                <w:sz w:val="14"/>
                <w:szCs w:val="14"/>
                <w:color w:val="auto"/>
              </w:rPr>
              <w:t>9,445</w:t>
            </w:r>
          </w:p>
        </w:tc>
        <w:tc>
          <w:tcPr>
            <w:tcW w:w="18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88.87</w:t>
            </w:r>
          </w:p>
        </w:tc>
        <w:tc>
          <w:tcPr>
            <w:tcW w:w="840" w:type="dxa"/>
            <w:vAlign w:val="bottom"/>
            <w:tcBorders>
              <w:bottom w:val="single" w:sz="8" w:color="AFAFAF"/>
              <w:right w:val="single" w:sz="8" w:color="AFAFAF"/>
            </w:tcBorders>
          </w:tcPr>
          <w:p>
            <w:pPr>
              <w:jc w:val="right"/>
              <w:ind w:right="168"/>
              <w:spacing w:after="0"/>
              <w:rPr>
                <w:sz w:val="20"/>
                <w:szCs w:val="20"/>
                <w:color w:val="auto"/>
              </w:rPr>
            </w:pPr>
            <w:r>
              <w:rPr>
                <w:rFonts w:ascii="Arial" w:cs="Arial" w:eastAsia="Arial" w:hAnsi="Arial"/>
                <w:sz w:val="14"/>
                <w:szCs w:val="14"/>
                <w:color w:val="auto"/>
              </w:rPr>
              <w:t>$129.19</w:t>
            </w:r>
          </w:p>
        </w:tc>
        <w:tc>
          <w:tcPr>
            <w:tcW w:w="160" w:type="dxa"/>
            <w:vAlign w:val="bottom"/>
            <w:tcBorders>
              <w:bottom w:val="single" w:sz="8" w:color="AFAF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FAFAF"/>
            </w:tcBorders>
          </w:tcPr>
          <w:p>
            <w:pPr>
              <w:jc w:val="right"/>
              <w:ind w:right="148"/>
              <w:spacing w:after="0"/>
              <w:rPr>
                <w:sz w:val="20"/>
                <w:szCs w:val="20"/>
                <w:color w:val="auto"/>
              </w:rPr>
            </w:pPr>
            <w:r>
              <w:rPr>
                <w:rFonts w:ascii="Arial" w:cs="Arial" w:eastAsia="Arial" w:hAnsi="Arial"/>
                <w:sz w:val="14"/>
                <w:szCs w:val="14"/>
                <w:color w:val="auto"/>
              </w:rPr>
              <w:t>380,822</w:t>
            </w:r>
          </w:p>
        </w:tc>
        <w:tc>
          <w:tcPr>
            <w:tcW w:w="20" w:type="dxa"/>
            <w:vAlign w:val="bottom"/>
            <w:tcBorders>
              <w:bottom w:val="single" w:sz="8" w:color="AFAFAF"/>
            </w:tcBorders>
            <w:shd w:val="clear" w:color="auto" w:fill="AFAFA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Borders>
              <w:bottom w:val="single" w:sz="8" w:color="B94831"/>
              <w:right w:val="single" w:sz="8" w:color="AFAFAF"/>
            </w:tcBorders>
          </w:tcPr>
          <w:p>
            <w:pPr>
              <w:spacing w:after="0"/>
              <w:rPr>
                <w:sz w:val="18"/>
                <w:szCs w:val="18"/>
                <w:color w:val="auto"/>
              </w:rPr>
            </w:pPr>
          </w:p>
        </w:tc>
        <w:tc>
          <w:tcPr>
            <w:tcW w:w="1520" w:type="dxa"/>
            <w:vAlign w:val="bottom"/>
            <w:tcBorders>
              <w:bottom w:val="single" w:sz="8" w:color="B94831"/>
              <w:right w:val="single" w:sz="8" w:color="AFAFAF"/>
            </w:tcBorders>
          </w:tcPr>
          <w:p>
            <w:pPr>
              <w:jc w:val="right"/>
              <w:ind w:right="68"/>
              <w:spacing w:after="0"/>
              <w:rPr>
                <w:sz w:val="20"/>
                <w:szCs w:val="20"/>
                <w:color w:val="auto"/>
              </w:rPr>
            </w:pPr>
            <w:r>
              <w:rPr>
                <w:rFonts w:ascii="Arial" w:cs="Arial" w:eastAsia="Arial" w:hAnsi="Arial"/>
                <w:sz w:val="14"/>
                <w:szCs w:val="14"/>
                <w:color w:val="auto"/>
              </w:rPr>
              <w:t>March 31, 2023</w:t>
            </w:r>
          </w:p>
        </w:tc>
        <w:tc>
          <w:tcPr>
            <w:tcW w:w="1280" w:type="dxa"/>
            <w:vAlign w:val="bottom"/>
            <w:tcBorders>
              <w:bottom w:val="single" w:sz="8" w:color="B94831"/>
              <w:right w:val="single" w:sz="8" w:color="AFAFAF"/>
            </w:tcBorders>
          </w:tcPr>
          <w:p>
            <w:pPr>
              <w:jc w:val="right"/>
              <w:ind w:right="148"/>
              <w:spacing w:after="0"/>
              <w:rPr>
                <w:sz w:val="20"/>
                <w:szCs w:val="20"/>
                <w:color w:val="auto"/>
              </w:rPr>
            </w:pPr>
            <w:r>
              <w:rPr>
                <w:rFonts w:ascii="Arial" w:cs="Arial" w:eastAsia="Arial" w:hAnsi="Arial"/>
                <w:sz w:val="14"/>
                <w:szCs w:val="14"/>
                <w:color w:val="auto"/>
              </w:rPr>
              <w:t>March 2, 2022</w:t>
            </w:r>
          </w:p>
        </w:tc>
        <w:tc>
          <w:tcPr>
            <w:tcW w:w="1140" w:type="dxa"/>
            <w:vAlign w:val="bottom"/>
            <w:tcBorders>
              <w:bottom w:val="single" w:sz="8" w:color="B94831"/>
              <w:right w:val="single" w:sz="8" w:color="AFAFAF"/>
            </w:tcBorders>
          </w:tcPr>
          <w:p>
            <w:pPr>
              <w:jc w:val="right"/>
              <w:ind w:right="148"/>
              <w:spacing w:after="0"/>
              <w:rPr>
                <w:sz w:val="20"/>
                <w:szCs w:val="20"/>
                <w:color w:val="auto"/>
              </w:rPr>
            </w:pPr>
            <w:r>
              <w:rPr>
                <w:rFonts w:ascii="Arial" w:cs="Arial" w:eastAsia="Arial" w:hAnsi="Arial"/>
                <w:sz w:val="14"/>
                <w:szCs w:val="14"/>
                <w:color w:val="auto"/>
              </w:rPr>
              <w:t>7,377</w:t>
            </w:r>
          </w:p>
        </w:tc>
        <w:tc>
          <w:tcPr>
            <w:tcW w:w="180" w:type="dxa"/>
            <w:vAlign w:val="bottom"/>
            <w:tcBorders>
              <w:bottom w:val="single" w:sz="8" w:color="B94831"/>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94831"/>
              <w:right w:val="single" w:sz="8" w:color="AFAFAF"/>
            </w:tcBorders>
          </w:tcPr>
          <w:p>
            <w:pPr>
              <w:jc w:val="right"/>
              <w:ind w:right="168"/>
              <w:spacing w:after="0"/>
              <w:rPr>
                <w:sz w:val="20"/>
                <w:szCs w:val="20"/>
                <w:color w:val="auto"/>
              </w:rPr>
            </w:pPr>
            <w:r>
              <w:rPr>
                <w:rFonts w:ascii="Arial" w:cs="Arial" w:eastAsia="Arial" w:hAnsi="Arial"/>
                <w:sz w:val="14"/>
                <w:szCs w:val="14"/>
                <w:color w:val="auto"/>
              </w:rPr>
              <w:t>102.00</w:t>
            </w:r>
          </w:p>
        </w:tc>
        <w:tc>
          <w:tcPr>
            <w:tcW w:w="840" w:type="dxa"/>
            <w:vAlign w:val="bottom"/>
            <w:tcBorders>
              <w:bottom w:val="single" w:sz="8" w:color="B94831"/>
              <w:right w:val="single" w:sz="8" w:color="AFAFAF"/>
            </w:tcBorders>
          </w:tcPr>
          <w:p>
            <w:pPr>
              <w:jc w:val="right"/>
              <w:ind w:right="168"/>
              <w:spacing w:after="0"/>
              <w:rPr>
                <w:sz w:val="20"/>
                <w:szCs w:val="20"/>
                <w:color w:val="auto"/>
              </w:rPr>
            </w:pPr>
            <w:r>
              <w:rPr>
                <w:rFonts w:ascii="Arial" w:cs="Arial" w:eastAsia="Arial" w:hAnsi="Arial"/>
                <w:sz w:val="14"/>
                <w:szCs w:val="14"/>
                <w:color w:val="auto"/>
              </w:rPr>
              <w:t>$129.19</w:t>
            </w:r>
          </w:p>
        </w:tc>
        <w:tc>
          <w:tcPr>
            <w:tcW w:w="160" w:type="dxa"/>
            <w:vAlign w:val="bottom"/>
            <w:tcBorders>
              <w:bottom w:val="single" w:sz="8" w:color="B94831"/>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94831"/>
            </w:tcBorders>
          </w:tcPr>
          <w:p>
            <w:pPr>
              <w:jc w:val="right"/>
              <w:ind w:right="148"/>
              <w:spacing w:after="0"/>
              <w:rPr>
                <w:sz w:val="20"/>
                <w:szCs w:val="20"/>
                <w:color w:val="auto"/>
              </w:rPr>
            </w:pPr>
            <w:r>
              <w:rPr>
                <w:rFonts w:ascii="Arial" w:cs="Arial" w:eastAsia="Arial" w:hAnsi="Arial"/>
                <w:sz w:val="14"/>
                <w:szCs w:val="14"/>
                <w:color w:val="auto"/>
              </w:rPr>
              <w:t>200,581</w:t>
            </w:r>
          </w:p>
        </w:tc>
        <w:tc>
          <w:tcPr>
            <w:tcW w:w="20" w:type="dxa"/>
            <w:vAlign w:val="bottom"/>
            <w:tcBorders>
              <w:bottom w:val="single" w:sz="8" w:color="AFAFAF"/>
            </w:tcBorders>
            <w:shd w:val="clear" w:color="auto" w:fill="AFAFA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Equity Compensation Plan Information</w:t>
      </w:r>
    </w:p>
    <w:p>
      <w:pPr>
        <w:spacing w:after="0" w:line="42" w:lineRule="exact"/>
        <w:rPr>
          <w:sz w:val="20"/>
          <w:szCs w:val="20"/>
          <w:color w:val="auto"/>
        </w:rPr>
      </w:pPr>
    </w:p>
    <w:p>
      <w:pPr>
        <w:ind w:left="160" w:right="320"/>
        <w:spacing w:after="0" w:line="246" w:lineRule="auto"/>
        <w:rPr>
          <w:sz w:val="20"/>
          <w:szCs w:val="20"/>
          <w:color w:val="auto"/>
        </w:rPr>
      </w:pPr>
      <w:r>
        <w:rPr>
          <w:rFonts w:ascii="Arial" w:cs="Arial" w:eastAsia="Arial" w:hAnsi="Arial"/>
          <w:sz w:val="18"/>
          <w:szCs w:val="18"/>
          <w:color w:val="auto"/>
        </w:rPr>
        <w:t>The following table provides information as of December 31, 2023 regarding our common shares that may be issued under our stock incentive plan. For more information about our stock incentive plan and other plans under which we may issue common shares, please see the “Description of Equity Compensation and Other Plans” section below and Appendix A to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62865</wp:posOffset>
            </wp:positionV>
            <wp:extent cx="8255" cy="5943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62865</wp:posOffset>
            </wp:positionV>
            <wp:extent cx="8255" cy="5943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62865</wp:posOffset>
            </wp:positionV>
            <wp:extent cx="8255" cy="5943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594360"/>
                    </a:xfrm>
                    <a:prstGeom prst="rect">
                      <a:avLst/>
                    </a:prstGeom>
                    <a:noFill/>
                  </pic:spPr>
                </pic:pic>
              </a:graphicData>
            </a:graphic>
          </wp:anchor>
        </w:drawing>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420" w:type="dxa"/>
            <w:vAlign w:val="bottom"/>
            <w:tcBorders>
              <w:right w:val="single" w:sz="8" w:color="262626"/>
            </w:tcBorders>
            <w:shd w:val="clear" w:color="auto" w:fill="262626"/>
          </w:tcPr>
          <w:p>
            <w:pPr>
              <w:spacing w:after="0"/>
              <w:rPr>
                <w:sz w:val="15"/>
                <w:szCs w:val="15"/>
                <w:color w:val="auto"/>
              </w:rPr>
            </w:pPr>
          </w:p>
        </w:tc>
        <w:tc>
          <w:tcPr>
            <w:tcW w:w="2880" w:type="dxa"/>
            <w:vAlign w:val="bottom"/>
            <w:tcBorders>
              <w:right w:val="single" w:sz="8" w:color="262626"/>
            </w:tcBorders>
            <w:vMerge w:val="restart"/>
            <w:shd w:val="clear" w:color="auto" w:fill="262626"/>
          </w:tcPr>
          <w:p>
            <w:pPr>
              <w:jc w:val="right"/>
              <w:ind w:right="187"/>
              <w:spacing w:after="0"/>
              <w:rPr>
                <w:sz w:val="20"/>
                <w:szCs w:val="20"/>
                <w:color w:val="auto"/>
              </w:rPr>
            </w:pPr>
            <w:r>
              <w:rPr>
                <w:rFonts w:ascii="Arial" w:cs="Arial" w:eastAsia="Arial" w:hAnsi="Arial"/>
                <w:sz w:val="15"/>
                <w:szCs w:val="15"/>
                <w:b w:val="1"/>
                <w:bCs w:val="1"/>
                <w:color w:val="FFFFFF"/>
              </w:rPr>
              <w:t>(a)</w:t>
            </w:r>
          </w:p>
        </w:tc>
        <w:tc>
          <w:tcPr>
            <w:tcW w:w="2440" w:type="dxa"/>
            <w:vAlign w:val="bottom"/>
            <w:tcBorders>
              <w:right w:val="single" w:sz="8" w:color="262626"/>
            </w:tcBorders>
            <w:shd w:val="clear" w:color="auto" w:fill="262626"/>
          </w:tcPr>
          <w:p>
            <w:pPr>
              <w:jc w:val="right"/>
              <w:ind w:right="227"/>
              <w:spacing w:after="0"/>
              <w:rPr>
                <w:sz w:val="20"/>
                <w:szCs w:val="20"/>
                <w:color w:val="auto"/>
              </w:rPr>
            </w:pPr>
            <w:r>
              <w:rPr>
                <w:rFonts w:ascii="Arial" w:cs="Arial" w:eastAsia="Arial" w:hAnsi="Arial"/>
                <w:sz w:val="15"/>
                <w:szCs w:val="15"/>
                <w:b w:val="1"/>
                <w:bCs w:val="1"/>
                <w:color w:val="FFFFFF"/>
              </w:rPr>
              <w:t>(b)</w:t>
            </w:r>
          </w:p>
        </w:tc>
        <w:tc>
          <w:tcPr>
            <w:tcW w:w="3180" w:type="dxa"/>
            <w:vAlign w:val="bottom"/>
            <w:shd w:val="clear" w:color="auto" w:fill="262626"/>
          </w:tcPr>
          <w:p>
            <w:pPr>
              <w:jc w:val="right"/>
              <w:ind w:right="147"/>
              <w:spacing w:after="0"/>
              <w:rPr>
                <w:sz w:val="20"/>
                <w:szCs w:val="20"/>
                <w:color w:val="auto"/>
              </w:rPr>
            </w:pPr>
            <w:r>
              <w:rPr>
                <w:rFonts w:ascii="Arial" w:cs="Arial" w:eastAsia="Arial" w:hAnsi="Arial"/>
                <w:sz w:val="15"/>
                <w:szCs w:val="15"/>
                <w:b w:val="1"/>
                <w:bCs w:val="1"/>
                <w:color w:val="FFFFFF"/>
              </w:rPr>
              <w:t>(c)</w:t>
            </w:r>
          </w:p>
        </w:tc>
        <w:tc>
          <w:tcPr>
            <w:tcW w:w="0" w:type="dxa"/>
            <w:vAlign w:val="bottom"/>
          </w:tcPr>
          <w:p>
            <w:pPr>
              <w:spacing w:after="0"/>
              <w:rPr>
                <w:sz w:val="1"/>
                <w:szCs w:val="1"/>
                <w:color w:val="auto"/>
              </w:rPr>
            </w:pPr>
          </w:p>
        </w:tc>
      </w:tr>
      <w:tr>
        <w:trPr>
          <w:trHeight w:val="160"/>
        </w:trPr>
        <w:tc>
          <w:tcPr>
            <w:tcW w:w="2420" w:type="dxa"/>
            <w:vAlign w:val="bottom"/>
            <w:tcBorders>
              <w:right w:val="single" w:sz="8" w:color="262626"/>
            </w:tcBorders>
            <w:shd w:val="clear" w:color="auto" w:fill="262626"/>
          </w:tcPr>
          <w:p>
            <w:pPr>
              <w:spacing w:after="0"/>
              <w:rPr>
                <w:sz w:val="13"/>
                <w:szCs w:val="13"/>
                <w:color w:val="auto"/>
              </w:rPr>
            </w:pPr>
          </w:p>
        </w:tc>
        <w:tc>
          <w:tcPr>
            <w:tcW w:w="2880" w:type="dxa"/>
            <w:vAlign w:val="bottom"/>
            <w:tcBorders>
              <w:right w:val="single" w:sz="8" w:color="262626"/>
            </w:tcBorders>
            <w:vMerge w:val="continue"/>
            <w:shd w:val="clear" w:color="auto" w:fill="262626"/>
          </w:tcPr>
          <w:p>
            <w:pPr>
              <w:spacing w:after="0"/>
              <w:rPr>
                <w:sz w:val="13"/>
                <w:szCs w:val="13"/>
                <w:color w:val="auto"/>
              </w:rPr>
            </w:pPr>
          </w:p>
        </w:tc>
        <w:tc>
          <w:tcPr>
            <w:tcW w:w="2440" w:type="dxa"/>
            <w:vAlign w:val="bottom"/>
            <w:tcBorders>
              <w:right w:val="single" w:sz="8" w:color="262626"/>
            </w:tcBorders>
            <w:shd w:val="clear" w:color="auto" w:fill="262626"/>
          </w:tcPr>
          <w:p>
            <w:pPr>
              <w:jc w:val="right"/>
              <w:ind w:right="227"/>
              <w:spacing w:after="0" w:line="161" w:lineRule="exact"/>
              <w:rPr>
                <w:sz w:val="20"/>
                <w:szCs w:val="20"/>
                <w:color w:val="auto"/>
              </w:rPr>
            </w:pPr>
            <w:r>
              <w:rPr>
                <w:rFonts w:ascii="Arial" w:cs="Arial" w:eastAsia="Arial" w:hAnsi="Arial"/>
                <w:sz w:val="15"/>
                <w:szCs w:val="15"/>
                <w:b w:val="1"/>
                <w:bCs w:val="1"/>
                <w:color w:val="FFFFFF"/>
              </w:rPr>
              <w:t>Weighted average exercise</w:t>
            </w:r>
          </w:p>
        </w:tc>
        <w:tc>
          <w:tcPr>
            <w:tcW w:w="3180" w:type="dxa"/>
            <w:vAlign w:val="bottom"/>
            <w:shd w:val="clear" w:color="auto" w:fill="262626"/>
          </w:tcPr>
          <w:p>
            <w:pPr>
              <w:jc w:val="right"/>
              <w:ind w:right="147"/>
              <w:spacing w:after="0" w:line="161" w:lineRule="exact"/>
              <w:rPr>
                <w:sz w:val="20"/>
                <w:szCs w:val="20"/>
                <w:color w:val="auto"/>
              </w:rPr>
            </w:pPr>
            <w:r>
              <w:rPr>
                <w:rFonts w:ascii="Arial" w:cs="Arial" w:eastAsia="Arial" w:hAnsi="Arial"/>
                <w:sz w:val="15"/>
                <w:szCs w:val="15"/>
                <w:b w:val="1"/>
                <w:bCs w:val="1"/>
                <w:color w:val="FFFFFF"/>
              </w:rPr>
              <w:t>Number of securities remaining</w:t>
            </w:r>
          </w:p>
        </w:tc>
        <w:tc>
          <w:tcPr>
            <w:tcW w:w="0" w:type="dxa"/>
            <w:vAlign w:val="bottom"/>
          </w:tcPr>
          <w:p>
            <w:pPr>
              <w:spacing w:after="0"/>
              <w:rPr>
                <w:sz w:val="1"/>
                <w:szCs w:val="1"/>
                <w:color w:val="auto"/>
              </w:rPr>
            </w:pPr>
          </w:p>
        </w:tc>
      </w:tr>
      <w:tr>
        <w:trPr>
          <w:trHeight w:val="160"/>
        </w:trPr>
        <w:tc>
          <w:tcPr>
            <w:tcW w:w="2420" w:type="dxa"/>
            <w:vAlign w:val="bottom"/>
            <w:tcBorders>
              <w:right w:val="single" w:sz="8" w:color="262626"/>
            </w:tcBorders>
            <w:shd w:val="clear" w:color="auto" w:fill="262626"/>
          </w:tcPr>
          <w:p>
            <w:pPr>
              <w:spacing w:after="0"/>
              <w:rPr>
                <w:sz w:val="13"/>
                <w:szCs w:val="13"/>
                <w:color w:val="auto"/>
              </w:rPr>
            </w:pPr>
          </w:p>
        </w:tc>
        <w:tc>
          <w:tcPr>
            <w:tcW w:w="2880" w:type="dxa"/>
            <w:vAlign w:val="bottom"/>
            <w:tcBorders>
              <w:right w:val="single" w:sz="8" w:color="262626"/>
            </w:tcBorders>
            <w:shd w:val="clear" w:color="auto" w:fill="262626"/>
          </w:tcPr>
          <w:p>
            <w:pPr>
              <w:jc w:val="right"/>
              <w:ind w:right="187"/>
              <w:spacing w:after="0" w:line="161" w:lineRule="exact"/>
              <w:rPr>
                <w:sz w:val="20"/>
                <w:szCs w:val="20"/>
                <w:color w:val="auto"/>
              </w:rPr>
            </w:pPr>
            <w:r>
              <w:rPr>
                <w:rFonts w:ascii="Arial" w:cs="Arial" w:eastAsia="Arial" w:hAnsi="Arial"/>
                <w:sz w:val="15"/>
                <w:szCs w:val="15"/>
                <w:b w:val="1"/>
                <w:bCs w:val="1"/>
                <w:color w:val="FFFFFF"/>
              </w:rPr>
              <w:t>Number of securities to be issued</w:t>
            </w:r>
          </w:p>
        </w:tc>
        <w:tc>
          <w:tcPr>
            <w:tcW w:w="2440" w:type="dxa"/>
            <w:vAlign w:val="bottom"/>
            <w:tcBorders>
              <w:right w:val="single" w:sz="8" w:color="262626"/>
            </w:tcBorders>
            <w:shd w:val="clear" w:color="auto" w:fill="262626"/>
          </w:tcPr>
          <w:p>
            <w:pPr>
              <w:jc w:val="right"/>
              <w:ind w:right="267"/>
              <w:spacing w:after="0" w:line="161" w:lineRule="exact"/>
              <w:rPr>
                <w:sz w:val="20"/>
                <w:szCs w:val="20"/>
                <w:color w:val="auto"/>
              </w:rPr>
            </w:pPr>
            <w:r>
              <w:rPr>
                <w:rFonts w:ascii="Arial" w:cs="Arial" w:eastAsia="Arial" w:hAnsi="Arial"/>
                <w:sz w:val="15"/>
                <w:szCs w:val="15"/>
                <w:b w:val="1"/>
                <w:bCs w:val="1"/>
                <w:color w:val="FFFFFF"/>
              </w:rPr>
              <w:t>price of</w:t>
            </w:r>
          </w:p>
        </w:tc>
        <w:tc>
          <w:tcPr>
            <w:tcW w:w="3180" w:type="dxa"/>
            <w:vAlign w:val="bottom"/>
            <w:shd w:val="clear" w:color="auto" w:fill="262626"/>
          </w:tcPr>
          <w:p>
            <w:pPr>
              <w:jc w:val="right"/>
              <w:ind w:right="147"/>
              <w:spacing w:after="0" w:line="161" w:lineRule="exact"/>
              <w:rPr>
                <w:sz w:val="20"/>
                <w:szCs w:val="20"/>
                <w:color w:val="auto"/>
              </w:rPr>
            </w:pPr>
            <w:r>
              <w:rPr>
                <w:rFonts w:ascii="Arial" w:cs="Arial" w:eastAsia="Arial" w:hAnsi="Arial"/>
                <w:sz w:val="15"/>
                <w:szCs w:val="15"/>
                <w:b w:val="1"/>
                <w:bCs w:val="1"/>
                <w:color w:val="FFFFFF"/>
              </w:rPr>
              <w:t>available for future issuance under</w:t>
            </w:r>
          </w:p>
        </w:tc>
        <w:tc>
          <w:tcPr>
            <w:tcW w:w="0" w:type="dxa"/>
            <w:vAlign w:val="bottom"/>
          </w:tcPr>
          <w:p>
            <w:pPr>
              <w:spacing w:after="0"/>
              <w:rPr>
                <w:sz w:val="1"/>
                <w:szCs w:val="1"/>
                <w:color w:val="auto"/>
              </w:rPr>
            </w:pPr>
          </w:p>
        </w:tc>
      </w:tr>
      <w:tr>
        <w:trPr>
          <w:trHeight w:val="160"/>
        </w:trPr>
        <w:tc>
          <w:tcPr>
            <w:tcW w:w="2420" w:type="dxa"/>
            <w:vAlign w:val="bottom"/>
            <w:tcBorders>
              <w:right w:val="single" w:sz="8" w:color="262626"/>
            </w:tcBorders>
            <w:vMerge w:val="restart"/>
            <w:shd w:val="clear" w:color="auto" w:fill="262626"/>
          </w:tcPr>
          <w:p>
            <w:pPr>
              <w:ind w:left="100"/>
              <w:spacing w:after="0"/>
              <w:rPr>
                <w:sz w:val="20"/>
                <w:szCs w:val="20"/>
                <w:color w:val="auto"/>
              </w:rPr>
            </w:pPr>
            <w:r>
              <w:rPr>
                <w:rFonts w:ascii="Arial" w:cs="Arial" w:eastAsia="Arial" w:hAnsi="Arial"/>
                <w:sz w:val="15"/>
                <w:szCs w:val="15"/>
                <w:b w:val="1"/>
                <w:bCs w:val="1"/>
                <w:color w:val="FFFFFF"/>
              </w:rPr>
              <w:t>Plan category</w:t>
            </w:r>
          </w:p>
        </w:tc>
        <w:tc>
          <w:tcPr>
            <w:tcW w:w="2880" w:type="dxa"/>
            <w:vAlign w:val="bottom"/>
            <w:tcBorders>
              <w:right w:val="single" w:sz="8" w:color="262626"/>
            </w:tcBorders>
            <w:shd w:val="clear" w:color="auto" w:fill="262626"/>
          </w:tcPr>
          <w:p>
            <w:pPr>
              <w:jc w:val="right"/>
              <w:ind w:right="187"/>
              <w:spacing w:after="0" w:line="161" w:lineRule="exact"/>
              <w:rPr>
                <w:sz w:val="20"/>
                <w:szCs w:val="20"/>
                <w:color w:val="auto"/>
              </w:rPr>
            </w:pPr>
            <w:r>
              <w:rPr>
                <w:rFonts w:ascii="Arial" w:cs="Arial" w:eastAsia="Arial" w:hAnsi="Arial"/>
                <w:sz w:val="15"/>
                <w:szCs w:val="15"/>
                <w:b w:val="1"/>
                <w:bCs w:val="1"/>
                <w:color w:val="FFFFFF"/>
              </w:rPr>
              <w:t>upon exercise of outstanding</w:t>
            </w:r>
          </w:p>
        </w:tc>
        <w:tc>
          <w:tcPr>
            <w:tcW w:w="2440" w:type="dxa"/>
            <w:vAlign w:val="bottom"/>
            <w:tcBorders>
              <w:right w:val="single" w:sz="8" w:color="262626"/>
            </w:tcBorders>
            <w:shd w:val="clear" w:color="auto" w:fill="262626"/>
          </w:tcPr>
          <w:p>
            <w:pPr>
              <w:jc w:val="right"/>
              <w:ind w:right="227"/>
              <w:spacing w:after="0" w:line="161" w:lineRule="exact"/>
              <w:rPr>
                <w:sz w:val="20"/>
                <w:szCs w:val="20"/>
                <w:color w:val="auto"/>
              </w:rPr>
            </w:pPr>
            <w:r>
              <w:rPr>
                <w:rFonts w:ascii="Arial" w:cs="Arial" w:eastAsia="Arial" w:hAnsi="Arial"/>
                <w:sz w:val="15"/>
                <w:szCs w:val="15"/>
                <w:b w:val="1"/>
                <w:bCs w:val="1"/>
                <w:color w:val="FFFFFF"/>
              </w:rPr>
              <w:t>outstanding options,</w:t>
            </w:r>
          </w:p>
        </w:tc>
        <w:tc>
          <w:tcPr>
            <w:tcW w:w="3180" w:type="dxa"/>
            <w:vAlign w:val="bottom"/>
            <w:shd w:val="clear" w:color="auto" w:fill="262626"/>
          </w:tcPr>
          <w:p>
            <w:pPr>
              <w:jc w:val="right"/>
              <w:ind w:right="147"/>
              <w:spacing w:after="0" w:line="161" w:lineRule="exact"/>
              <w:rPr>
                <w:sz w:val="20"/>
                <w:szCs w:val="20"/>
                <w:color w:val="auto"/>
              </w:rPr>
            </w:pPr>
            <w:r>
              <w:rPr>
                <w:rFonts w:ascii="Arial" w:cs="Arial" w:eastAsia="Arial" w:hAnsi="Arial"/>
                <w:sz w:val="15"/>
                <w:szCs w:val="15"/>
                <w:b w:val="1"/>
                <w:bCs w:val="1"/>
                <w:color w:val="FFFFFF"/>
              </w:rPr>
              <w:t>equity compensation plans (excluding</w:t>
            </w:r>
          </w:p>
        </w:tc>
        <w:tc>
          <w:tcPr>
            <w:tcW w:w="0" w:type="dxa"/>
            <w:vAlign w:val="bottom"/>
          </w:tcPr>
          <w:p>
            <w:pPr>
              <w:spacing w:after="0"/>
              <w:rPr>
                <w:sz w:val="1"/>
                <w:szCs w:val="1"/>
                <w:color w:val="auto"/>
              </w:rPr>
            </w:pPr>
          </w:p>
        </w:tc>
      </w:tr>
      <w:tr>
        <w:trPr>
          <w:trHeight w:val="216"/>
        </w:trPr>
        <w:tc>
          <w:tcPr>
            <w:tcW w:w="2420" w:type="dxa"/>
            <w:vAlign w:val="bottom"/>
            <w:tcBorders>
              <w:right w:val="single" w:sz="8" w:color="262626"/>
            </w:tcBorders>
            <w:vMerge w:val="continue"/>
            <w:shd w:val="clear" w:color="auto" w:fill="262626"/>
          </w:tcPr>
          <w:p>
            <w:pPr>
              <w:spacing w:after="0"/>
              <w:rPr>
                <w:sz w:val="18"/>
                <w:szCs w:val="18"/>
                <w:color w:val="auto"/>
              </w:rPr>
            </w:pPr>
          </w:p>
        </w:tc>
        <w:tc>
          <w:tcPr>
            <w:tcW w:w="2880" w:type="dxa"/>
            <w:vAlign w:val="bottom"/>
            <w:tcBorders>
              <w:right w:val="single" w:sz="8" w:color="262626"/>
            </w:tcBorders>
            <w:shd w:val="clear" w:color="auto" w:fill="262626"/>
          </w:tcPr>
          <w:p>
            <w:pPr>
              <w:jc w:val="right"/>
              <w:ind w:right="187"/>
              <w:spacing w:after="0"/>
              <w:rPr>
                <w:sz w:val="20"/>
                <w:szCs w:val="20"/>
                <w:color w:val="auto"/>
              </w:rPr>
            </w:pPr>
            <w:r>
              <w:rPr>
                <w:rFonts w:ascii="Arial" w:cs="Arial" w:eastAsia="Arial" w:hAnsi="Arial"/>
                <w:sz w:val="15"/>
                <w:szCs w:val="15"/>
                <w:b w:val="1"/>
                <w:bCs w:val="1"/>
                <w:color w:val="FFFFFF"/>
              </w:rPr>
              <w:t>options, warrants and rights</w:t>
            </w:r>
          </w:p>
        </w:tc>
        <w:tc>
          <w:tcPr>
            <w:tcW w:w="2440" w:type="dxa"/>
            <w:vAlign w:val="bottom"/>
            <w:tcBorders>
              <w:right w:val="single" w:sz="8" w:color="262626"/>
            </w:tcBorders>
            <w:shd w:val="clear" w:color="auto" w:fill="262626"/>
          </w:tcPr>
          <w:p>
            <w:pPr>
              <w:jc w:val="right"/>
              <w:ind w:right="227"/>
              <w:spacing w:after="0"/>
              <w:rPr>
                <w:sz w:val="20"/>
                <w:szCs w:val="20"/>
                <w:color w:val="auto"/>
              </w:rPr>
            </w:pPr>
            <w:r>
              <w:rPr>
                <w:rFonts w:ascii="Arial" w:cs="Arial" w:eastAsia="Arial" w:hAnsi="Arial"/>
                <w:sz w:val="15"/>
                <w:szCs w:val="15"/>
                <w:b w:val="1"/>
                <w:bCs w:val="1"/>
                <w:color w:val="FFFFFF"/>
              </w:rPr>
              <w:t>warrants and rights</w:t>
            </w:r>
          </w:p>
        </w:tc>
        <w:tc>
          <w:tcPr>
            <w:tcW w:w="3180" w:type="dxa"/>
            <w:vAlign w:val="bottom"/>
            <w:shd w:val="clear" w:color="auto" w:fill="262626"/>
          </w:tcPr>
          <w:p>
            <w:pPr>
              <w:jc w:val="right"/>
              <w:ind w:right="147"/>
              <w:spacing w:after="0"/>
              <w:rPr>
                <w:sz w:val="20"/>
                <w:szCs w:val="20"/>
                <w:color w:val="auto"/>
              </w:rPr>
            </w:pPr>
            <w:r>
              <w:rPr>
                <w:rFonts w:ascii="Arial" w:cs="Arial" w:eastAsia="Arial" w:hAnsi="Arial"/>
                <w:sz w:val="15"/>
                <w:szCs w:val="15"/>
                <w:b w:val="1"/>
                <w:bCs w:val="1"/>
                <w:color w:val="FFFFFF"/>
              </w:rPr>
              <w:t>securities reflected in column (a))</w:t>
            </w:r>
          </w:p>
        </w:tc>
        <w:tc>
          <w:tcPr>
            <w:tcW w:w="0" w:type="dxa"/>
            <w:vAlign w:val="bottom"/>
          </w:tcPr>
          <w:p>
            <w:pPr>
              <w:spacing w:after="0"/>
              <w:rPr>
                <w:sz w:val="1"/>
                <w:szCs w:val="1"/>
                <w:color w:val="auto"/>
              </w:rPr>
            </w:pPr>
          </w:p>
        </w:tc>
      </w:tr>
      <w:tr>
        <w:trPr>
          <w:trHeight w:val="64"/>
        </w:trPr>
        <w:tc>
          <w:tcPr>
            <w:tcW w:w="2420" w:type="dxa"/>
            <w:vAlign w:val="bottom"/>
            <w:tcBorders>
              <w:right w:val="single" w:sz="8" w:color="262626"/>
            </w:tcBorders>
            <w:shd w:val="clear" w:color="auto" w:fill="262626"/>
          </w:tcPr>
          <w:p>
            <w:pPr>
              <w:spacing w:after="0"/>
              <w:rPr>
                <w:sz w:val="5"/>
                <w:szCs w:val="5"/>
                <w:color w:val="auto"/>
              </w:rPr>
            </w:pPr>
          </w:p>
        </w:tc>
        <w:tc>
          <w:tcPr>
            <w:tcW w:w="2880" w:type="dxa"/>
            <w:vAlign w:val="bottom"/>
            <w:tcBorders>
              <w:right w:val="single" w:sz="8" w:color="262626"/>
            </w:tcBorders>
            <w:shd w:val="clear" w:color="auto" w:fill="262626"/>
          </w:tcPr>
          <w:p>
            <w:pPr>
              <w:spacing w:after="0"/>
              <w:rPr>
                <w:sz w:val="5"/>
                <w:szCs w:val="5"/>
                <w:color w:val="auto"/>
              </w:rPr>
            </w:pPr>
          </w:p>
        </w:tc>
        <w:tc>
          <w:tcPr>
            <w:tcW w:w="2440" w:type="dxa"/>
            <w:vAlign w:val="bottom"/>
            <w:tcBorders>
              <w:right w:val="single" w:sz="8" w:color="262626"/>
            </w:tcBorders>
            <w:shd w:val="clear" w:color="auto" w:fill="262626"/>
          </w:tcPr>
          <w:p>
            <w:pPr>
              <w:spacing w:after="0"/>
              <w:rPr>
                <w:sz w:val="5"/>
                <w:szCs w:val="5"/>
                <w:color w:val="auto"/>
              </w:rPr>
            </w:pPr>
          </w:p>
        </w:tc>
        <w:tc>
          <w:tcPr>
            <w:tcW w:w="3180" w:type="dxa"/>
            <w:vAlign w:val="bottom"/>
            <w:shd w:val="clear" w:color="auto" w:fill="262626"/>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42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Equity compensation plans</w:t>
            </w:r>
          </w:p>
        </w:tc>
        <w:tc>
          <w:tcPr>
            <w:tcW w:w="2880" w:type="dxa"/>
            <w:vAlign w:val="bottom"/>
            <w:tcBorders>
              <w:right w:val="single" w:sz="8" w:color="AFAFAF"/>
            </w:tcBorders>
          </w:tcPr>
          <w:p>
            <w:pPr>
              <w:spacing w:after="0"/>
              <w:rPr>
                <w:sz w:val="17"/>
                <w:szCs w:val="17"/>
                <w:color w:val="auto"/>
              </w:rPr>
            </w:pPr>
          </w:p>
        </w:tc>
        <w:tc>
          <w:tcPr>
            <w:tcW w:w="2440" w:type="dxa"/>
            <w:vAlign w:val="bottom"/>
            <w:tcBorders>
              <w:right w:val="single" w:sz="8" w:color="AFAFAF"/>
            </w:tcBorders>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2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approved by security holders:</w:t>
            </w:r>
          </w:p>
        </w:tc>
        <w:tc>
          <w:tcPr>
            <w:tcW w:w="2880" w:type="dxa"/>
            <w:vAlign w:val="bottom"/>
            <w:tcBorders>
              <w:right w:val="single" w:sz="8" w:color="AFAFAF"/>
            </w:tcBorders>
          </w:tcPr>
          <w:p>
            <w:pPr>
              <w:spacing w:after="0"/>
              <w:rPr>
                <w:sz w:val="16"/>
                <w:szCs w:val="16"/>
                <w:color w:val="auto"/>
              </w:rPr>
            </w:pPr>
          </w:p>
        </w:tc>
        <w:tc>
          <w:tcPr>
            <w:tcW w:w="2440" w:type="dxa"/>
            <w:vAlign w:val="bottom"/>
            <w:tcBorders>
              <w:right w:val="single" w:sz="8" w:color="AFAFAF"/>
            </w:tcBorders>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420" w:type="dxa"/>
            <w:vAlign w:val="bottom"/>
            <w:tcBorders>
              <w:bottom w:val="single" w:sz="8" w:color="AFAFAF"/>
              <w:right w:val="single" w:sz="8" w:color="AFAFAF"/>
            </w:tcBorders>
          </w:tcPr>
          <w:p>
            <w:pPr>
              <w:spacing w:after="0"/>
              <w:rPr>
                <w:sz w:val="3"/>
                <w:szCs w:val="3"/>
                <w:color w:val="auto"/>
              </w:rPr>
            </w:pPr>
          </w:p>
        </w:tc>
        <w:tc>
          <w:tcPr>
            <w:tcW w:w="2880" w:type="dxa"/>
            <w:vAlign w:val="bottom"/>
            <w:tcBorders>
              <w:bottom w:val="single" w:sz="8" w:color="AFAFAF"/>
              <w:right w:val="single" w:sz="8" w:color="AFAFAF"/>
            </w:tcBorders>
          </w:tcPr>
          <w:p>
            <w:pPr>
              <w:spacing w:after="0"/>
              <w:rPr>
                <w:sz w:val="3"/>
                <w:szCs w:val="3"/>
                <w:color w:val="auto"/>
              </w:rPr>
            </w:pPr>
          </w:p>
        </w:tc>
        <w:tc>
          <w:tcPr>
            <w:tcW w:w="2440" w:type="dxa"/>
            <w:vAlign w:val="bottom"/>
            <w:tcBorders>
              <w:bottom w:val="single" w:sz="8" w:color="AFAFAF"/>
              <w:right w:val="single" w:sz="8" w:color="AFAFAF"/>
            </w:tcBorders>
          </w:tcPr>
          <w:p>
            <w:pPr>
              <w:spacing w:after="0"/>
              <w:rPr>
                <w:sz w:val="3"/>
                <w:szCs w:val="3"/>
                <w:color w:val="auto"/>
              </w:rPr>
            </w:pPr>
          </w:p>
        </w:tc>
        <w:tc>
          <w:tcPr>
            <w:tcW w:w="31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20" w:type="dxa"/>
            <w:vAlign w:val="bottom"/>
            <w:tcBorders>
              <w:right w:val="single" w:sz="8" w:color="AFAFAF"/>
            </w:tcBorders>
          </w:tcPr>
          <w:p>
            <w:pPr>
              <w:ind w:left="220"/>
              <w:spacing w:after="0"/>
              <w:rPr>
                <w:sz w:val="20"/>
                <w:szCs w:val="20"/>
                <w:color w:val="auto"/>
              </w:rPr>
            </w:pPr>
            <w:r>
              <w:rPr>
                <w:rFonts w:ascii="Arial" w:cs="Arial" w:eastAsia="Arial" w:hAnsi="Arial"/>
                <w:sz w:val="14"/>
                <w:szCs w:val="14"/>
                <w:b w:val="1"/>
                <w:bCs w:val="1"/>
                <w:color w:val="auto"/>
              </w:rPr>
              <w:t>Stock options</w:t>
            </w:r>
          </w:p>
        </w:tc>
        <w:tc>
          <w:tcPr>
            <w:tcW w:w="2880" w:type="dxa"/>
            <w:vAlign w:val="bottom"/>
            <w:tcBorders>
              <w:right w:val="single" w:sz="8" w:color="AFAFAF"/>
            </w:tcBorders>
          </w:tcPr>
          <w:p>
            <w:pPr>
              <w:jc w:val="right"/>
              <w:ind w:right="187"/>
              <w:spacing w:after="0"/>
              <w:rPr>
                <w:sz w:val="20"/>
                <w:szCs w:val="20"/>
                <w:color w:val="auto"/>
              </w:rPr>
            </w:pPr>
            <w:r>
              <w:rPr>
                <w:rFonts w:ascii="Arial" w:cs="Arial" w:eastAsia="Arial" w:hAnsi="Arial"/>
                <w:sz w:val="14"/>
                <w:szCs w:val="14"/>
                <w:color w:val="auto"/>
              </w:rPr>
              <w:t>1,333,914</w:t>
            </w:r>
          </w:p>
        </w:tc>
        <w:tc>
          <w:tcPr>
            <w:tcW w:w="2440" w:type="dxa"/>
            <w:vAlign w:val="bottom"/>
            <w:tcBorders>
              <w:right w:val="single" w:sz="8" w:color="AFAFAF"/>
            </w:tcBorders>
          </w:tcPr>
          <w:p>
            <w:pPr>
              <w:jc w:val="right"/>
              <w:ind w:right="227"/>
              <w:spacing w:after="0"/>
              <w:rPr>
                <w:sz w:val="20"/>
                <w:szCs w:val="20"/>
                <w:color w:val="auto"/>
              </w:rPr>
            </w:pPr>
            <w:r>
              <w:rPr>
                <w:rFonts w:ascii="Arial" w:cs="Arial" w:eastAsia="Arial" w:hAnsi="Arial"/>
                <w:sz w:val="14"/>
                <w:szCs w:val="14"/>
                <w:color w:val="auto"/>
              </w:rPr>
              <w:t>US$89.76</w:t>
            </w:r>
          </w:p>
        </w:tc>
        <w:tc>
          <w:tcPr>
            <w:tcW w:w="3180" w:type="dxa"/>
            <w:vAlign w:val="bottom"/>
          </w:tcPr>
          <w:p>
            <w:pPr>
              <w:jc w:val="right"/>
              <w:ind w:right="1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2420" w:type="dxa"/>
            <w:vAlign w:val="bottom"/>
            <w:tcBorders>
              <w:bottom w:val="single" w:sz="8" w:color="AFAFAF"/>
              <w:right w:val="single" w:sz="8" w:color="AFAFAF"/>
            </w:tcBorders>
          </w:tcPr>
          <w:p>
            <w:pPr>
              <w:spacing w:after="0"/>
              <w:rPr>
                <w:sz w:val="3"/>
                <w:szCs w:val="3"/>
                <w:color w:val="auto"/>
              </w:rPr>
            </w:pPr>
          </w:p>
        </w:tc>
        <w:tc>
          <w:tcPr>
            <w:tcW w:w="2880" w:type="dxa"/>
            <w:vAlign w:val="bottom"/>
            <w:tcBorders>
              <w:bottom w:val="single" w:sz="8" w:color="AFAFAF"/>
              <w:right w:val="single" w:sz="8" w:color="AFAFAF"/>
            </w:tcBorders>
          </w:tcPr>
          <w:p>
            <w:pPr>
              <w:spacing w:after="0"/>
              <w:rPr>
                <w:sz w:val="3"/>
                <w:szCs w:val="3"/>
                <w:color w:val="auto"/>
              </w:rPr>
            </w:pPr>
          </w:p>
        </w:tc>
        <w:tc>
          <w:tcPr>
            <w:tcW w:w="2440" w:type="dxa"/>
            <w:vAlign w:val="bottom"/>
            <w:tcBorders>
              <w:bottom w:val="single" w:sz="8" w:color="AFAFAF"/>
              <w:right w:val="single" w:sz="8" w:color="AFAFAF"/>
            </w:tcBorders>
          </w:tcPr>
          <w:p>
            <w:pPr>
              <w:spacing w:after="0"/>
              <w:rPr>
                <w:sz w:val="3"/>
                <w:szCs w:val="3"/>
                <w:color w:val="auto"/>
              </w:rPr>
            </w:pPr>
          </w:p>
        </w:tc>
        <w:tc>
          <w:tcPr>
            <w:tcW w:w="31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420" w:type="dxa"/>
            <w:vAlign w:val="bottom"/>
            <w:tcBorders>
              <w:bottom w:val="single" w:sz="8" w:color="AFAFAF"/>
              <w:right w:val="single" w:sz="8" w:color="AFAFAF"/>
            </w:tcBorders>
          </w:tcPr>
          <w:p>
            <w:pPr>
              <w:ind w:left="220"/>
              <w:spacing w:after="0"/>
              <w:rPr>
                <w:sz w:val="20"/>
                <w:szCs w:val="20"/>
                <w:color w:val="auto"/>
              </w:rPr>
            </w:pPr>
            <w:r>
              <w:rPr>
                <w:rFonts w:ascii="Arial" w:cs="Arial" w:eastAsia="Arial" w:hAnsi="Arial"/>
                <w:sz w:val="14"/>
                <w:szCs w:val="14"/>
                <w:b w:val="1"/>
                <w:bCs w:val="1"/>
                <w:color w:val="auto"/>
              </w:rPr>
              <w:t>TRSUs</w:t>
            </w:r>
          </w:p>
        </w:tc>
        <w:tc>
          <w:tcPr>
            <w:tcW w:w="2880" w:type="dxa"/>
            <w:vAlign w:val="bottom"/>
            <w:tcBorders>
              <w:bottom w:val="single" w:sz="8" w:color="AFAFAF"/>
              <w:right w:val="single" w:sz="8" w:color="AFAFAF"/>
            </w:tcBorders>
          </w:tcPr>
          <w:p>
            <w:pPr>
              <w:jc w:val="right"/>
              <w:ind w:right="187"/>
              <w:spacing w:after="0"/>
              <w:rPr>
                <w:sz w:val="20"/>
                <w:szCs w:val="20"/>
                <w:color w:val="auto"/>
              </w:rPr>
            </w:pPr>
            <w:r>
              <w:rPr>
                <w:rFonts w:ascii="Arial" w:cs="Arial" w:eastAsia="Arial" w:hAnsi="Arial"/>
                <w:sz w:val="14"/>
                <w:szCs w:val="14"/>
                <w:color w:val="auto"/>
              </w:rPr>
              <w:t>1,016,253</w:t>
            </w:r>
          </w:p>
        </w:tc>
        <w:tc>
          <w:tcPr>
            <w:tcW w:w="2440" w:type="dxa"/>
            <w:vAlign w:val="bottom"/>
            <w:tcBorders>
              <w:bottom w:val="single" w:sz="8" w:color="AFAFAF"/>
              <w:right w:val="single" w:sz="8" w:color="AFAFAF"/>
            </w:tcBorders>
          </w:tcPr>
          <w:p>
            <w:pPr>
              <w:jc w:val="right"/>
              <w:ind w:right="167"/>
              <w:spacing w:after="0"/>
              <w:rPr>
                <w:sz w:val="20"/>
                <w:szCs w:val="20"/>
                <w:color w:val="auto"/>
              </w:rPr>
            </w:pPr>
            <w:r>
              <w:rPr>
                <w:rFonts w:ascii="Arial" w:cs="Arial" w:eastAsia="Arial" w:hAnsi="Arial"/>
                <w:sz w:val="14"/>
                <w:szCs w:val="14"/>
                <w:color w:val="auto"/>
              </w:rPr>
              <w:t>N/A</w:t>
            </w:r>
            <w:r>
              <w:rPr>
                <w:rFonts w:ascii="Arial" w:cs="Arial" w:eastAsia="Arial" w:hAnsi="Arial"/>
                <w:sz w:val="21"/>
                <w:szCs w:val="21"/>
                <w:color w:val="auto"/>
                <w:vertAlign w:val="superscript"/>
              </w:rPr>
              <w:t>1</w:t>
            </w:r>
          </w:p>
        </w:tc>
        <w:tc>
          <w:tcPr>
            <w:tcW w:w="3180" w:type="dxa"/>
            <w:vAlign w:val="bottom"/>
            <w:tcBorders>
              <w:bottom w:val="single" w:sz="8" w:color="AFAFAF"/>
            </w:tcBorders>
          </w:tcPr>
          <w:p>
            <w:pPr>
              <w:jc w:val="right"/>
              <w:ind w:right="1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2420" w:type="dxa"/>
            <w:vAlign w:val="bottom"/>
            <w:tcBorders>
              <w:bottom w:val="single" w:sz="8" w:color="B94831"/>
              <w:right w:val="single" w:sz="8" w:color="AFAFAF"/>
            </w:tcBorders>
          </w:tcPr>
          <w:p>
            <w:pPr>
              <w:ind w:left="220"/>
              <w:spacing w:after="0"/>
              <w:rPr>
                <w:sz w:val="20"/>
                <w:szCs w:val="20"/>
                <w:color w:val="auto"/>
              </w:rPr>
            </w:pPr>
            <w:r>
              <w:rPr>
                <w:rFonts w:ascii="Arial" w:cs="Arial" w:eastAsia="Arial" w:hAnsi="Arial"/>
                <w:sz w:val="14"/>
                <w:szCs w:val="14"/>
                <w:b w:val="1"/>
                <w:bCs w:val="1"/>
                <w:color w:val="auto"/>
              </w:rPr>
              <w:t>PRSUs</w:t>
            </w:r>
          </w:p>
        </w:tc>
        <w:tc>
          <w:tcPr>
            <w:tcW w:w="2880" w:type="dxa"/>
            <w:vAlign w:val="bottom"/>
            <w:tcBorders>
              <w:bottom w:val="single" w:sz="8" w:color="B94831"/>
              <w:right w:val="single" w:sz="8" w:color="AFAFAF"/>
            </w:tcBorders>
          </w:tcPr>
          <w:p>
            <w:pPr>
              <w:jc w:val="right"/>
              <w:ind w:right="187"/>
              <w:spacing w:after="0"/>
              <w:rPr>
                <w:sz w:val="20"/>
                <w:szCs w:val="20"/>
                <w:color w:val="auto"/>
              </w:rPr>
            </w:pPr>
            <w:r>
              <w:rPr>
                <w:rFonts w:ascii="Arial" w:cs="Arial" w:eastAsia="Arial" w:hAnsi="Arial"/>
                <w:sz w:val="14"/>
                <w:szCs w:val="14"/>
                <w:color w:val="auto"/>
              </w:rPr>
              <w:t>642,164</w:t>
            </w:r>
          </w:p>
        </w:tc>
        <w:tc>
          <w:tcPr>
            <w:tcW w:w="2440" w:type="dxa"/>
            <w:vAlign w:val="bottom"/>
            <w:tcBorders>
              <w:bottom w:val="single" w:sz="8" w:color="B94831"/>
              <w:right w:val="single" w:sz="8" w:color="AFAFAF"/>
            </w:tcBorders>
          </w:tcPr>
          <w:p>
            <w:pPr>
              <w:jc w:val="right"/>
              <w:ind w:right="167"/>
              <w:spacing w:after="0"/>
              <w:rPr>
                <w:sz w:val="20"/>
                <w:szCs w:val="20"/>
                <w:color w:val="auto"/>
              </w:rPr>
            </w:pPr>
            <w:r>
              <w:rPr>
                <w:rFonts w:ascii="Arial" w:cs="Arial" w:eastAsia="Arial" w:hAnsi="Arial"/>
                <w:sz w:val="14"/>
                <w:szCs w:val="14"/>
                <w:color w:val="auto"/>
              </w:rPr>
              <w:t>N/A</w:t>
            </w:r>
            <w:r>
              <w:rPr>
                <w:rFonts w:ascii="Arial" w:cs="Arial" w:eastAsia="Arial" w:hAnsi="Arial"/>
                <w:sz w:val="21"/>
                <w:szCs w:val="21"/>
                <w:color w:val="auto"/>
                <w:vertAlign w:val="superscript"/>
              </w:rPr>
              <w:t>1</w:t>
            </w:r>
          </w:p>
        </w:tc>
        <w:tc>
          <w:tcPr>
            <w:tcW w:w="3180" w:type="dxa"/>
            <w:vAlign w:val="bottom"/>
            <w:tcBorders>
              <w:bottom w:val="single" w:sz="8" w:color="B94831"/>
            </w:tcBorders>
          </w:tcPr>
          <w:p>
            <w:pPr>
              <w:jc w:val="right"/>
              <w:ind w:right="1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3"/>
        </w:trPr>
        <w:tc>
          <w:tcPr>
            <w:tcW w:w="242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Total</w:t>
            </w:r>
          </w:p>
        </w:tc>
        <w:tc>
          <w:tcPr>
            <w:tcW w:w="2880" w:type="dxa"/>
            <w:vAlign w:val="bottom"/>
            <w:tcBorders>
              <w:right w:val="single" w:sz="8" w:color="AFAFAF"/>
            </w:tcBorders>
          </w:tcPr>
          <w:p>
            <w:pPr>
              <w:jc w:val="right"/>
              <w:ind w:right="187"/>
              <w:spacing w:after="0"/>
              <w:rPr>
                <w:sz w:val="20"/>
                <w:szCs w:val="20"/>
                <w:color w:val="auto"/>
              </w:rPr>
            </w:pPr>
            <w:r>
              <w:rPr>
                <w:rFonts w:ascii="Arial" w:cs="Arial" w:eastAsia="Arial" w:hAnsi="Arial"/>
                <w:sz w:val="14"/>
                <w:szCs w:val="14"/>
                <w:color w:val="auto"/>
              </w:rPr>
              <w:t>2,992,331</w:t>
            </w:r>
          </w:p>
        </w:tc>
        <w:tc>
          <w:tcPr>
            <w:tcW w:w="2440" w:type="dxa"/>
            <w:vAlign w:val="bottom"/>
            <w:tcBorders>
              <w:right w:val="single" w:sz="8" w:color="AFAFAF"/>
            </w:tcBorders>
          </w:tcPr>
          <w:p>
            <w:pPr>
              <w:jc w:val="right"/>
              <w:ind w:right="227"/>
              <w:spacing w:after="0"/>
              <w:rPr>
                <w:sz w:val="20"/>
                <w:szCs w:val="20"/>
                <w:color w:val="auto"/>
              </w:rPr>
            </w:pPr>
            <w:r>
              <w:rPr>
                <w:rFonts w:ascii="Arial" w:cs="Arial" w:eastAsia="Arial" w:hAnsi="Arial"/>
                <w:sz w:val="14"/>
                <w:szCs w:val="14"/>
                <w:color w:val="auto"/>
              </w:rPr>
              <w:t>–</w:t>
            </w:r>
          </w:p>
        </w:tc>
        <w:tc>
          <w:tcPr>
            <w:tcW w:w="3180" w:type="dxa"/>
            <w:vAlign w:val="bottom"/>
          </w:tcPr>
          <w:p>
            <w:pPr>
              <w:jc w:val="right"/>
              <w:ind w:right="147"/>
              <w:spacing w:after="0"/>
              <w:rPr>
                <w:sz w:val="20"/>
                <w:szCs w:val="20"/>
                <w:color w:val="auto"/>
              </w:rPr>
            </w:pPr>
            <w:r>
              <w:rPr>
                <w:rFonts w:ascii="Arial" w:cs="Arial" w:eastAsia="Arial" w:hAnsi="Arial"/>
                <w:sz w:val="14"/>
                <w:szCs w:val="14"/>
                <w:color w:val="auto"/>
              </w:rPr>
              <w:t>8,459,523</w:t>
            </w:r>
          </w:p>
        </w:tc>
        <w:tc>
          <w:tcPr>
            <w:tcW w:w="0" w:type="dxa"/>
            <w:vAlign w:val="bottom"/>
          </w:tcPr>
          <w:p>
            <w:pPr>
              <w:spacing w:after="0"/>
              <w:rPr>
                <w:sz w:val="1"/>
                <w:szCs w:val="1"/>
                <w:color w:val="auto"/>
              </w:rPr>
            </w:pPr>
          </w:p>
        </w:tc>
      </w:tr>
      <w:tr>
        <w:trPr>
          <w:trHeight w:val="42"/>
        </w:trPr>
        <w:tc>
          <w:tcPr>
            <w:tcW w:w="2420" w:type="dxa"/>
            <w:vAlign w:val="bottom"/>
            <w:tcBorders>
              <w:bottom w:val="single" w:sz="8" w:color="B94831"/>
              <w:right w:val="single" w:sz="8" w:color="AFAFAF"/>
            </w:tcBorders>
          </w:tcPr>
          <w:p>
            <w:pPr>
              <w:spacing w:after="0"/>
              <w:rPr>
                <w:sz w:val="3"/>
                <w:szCs w:val="3"/>
                <w:color w:val="auto"/>
              </w:rPr>
            </w:pPr>
          </w:p>
        </w:tc>
        <w:tc>
          <w:tcPr>
            <w:tcW w:w="2880" w:type="dxa"/>
            <w:vAlign w:val="bottom"/>
            <w:tcBorders>
              <w:bottom w:val="single" w:sz="8" w:color="B94831"/>
              <w:right w:val="single" w:sz="8" w:color="AFAFAF"/>
            </w:tcBorders>
          </w:tcPr>
          <w:p>
            <w:pPr>
              <w:spacing w:after="0"/>
              <w:rPr>
                <w:sz w:val="3"/>
                <w:szCs w:val="3"/>
                <w:color w:val="auto"/>
              </w:rPr>
            </w:pPr>
          </w:p>
        </w:tc>
        <w:tc>
          <w:tcPr>
            <w:tcW w:w="2440" w:type="dxa"/>
            <w:vAlign w:val="bottom"/>
            <w:tcBorders>
              <w:bottom w:val="single" w:sz="8" w:color="B94831"/>
              <w:right w:val="single" w:sz="8" w:color="AFAFAF"/>
            </w:tcBorders>
          </w:tcPr>
          <w:p>
            <w:pPr>
              <w:spacing w:after="0"/>
              <w:rPr>
                <w:sz w:val="3"/>
                <w:szCs w:val="3"/>
                <w:color w:val="auto"/>
              </w:rPr>
            </w:pPr>
          </w:p>
        </w:tc>
        <w:tc>
          <w:tcPr>
            <w:tcW w:w="3180" w:type="dxa"/>
            <w:vAlign w:val="bottom"/>
            <w:tcBorders>
              <w:bottom w:val="single" w:sz="8" w:color="B94831"/>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Equity compensation plans not</w:t>
            </w:r>
          </w:p>
        </w:tc>
        <w:tc>
          <w:tcPr>
            <w:tcW w:w="2880" w:type="dxa"/>
            <w:vAlign w:val="bottom"/>
            <w:tcBorders>
              <w:right w:val="single" w:sz="8" w:color="AFAFAF"/>
            </w:tcBorders>
          </w:tcPr>
          <w:p>
            <w:pPr>
              <w:spacing w:after="0"/>
              <w:rPr>
                <w:sz w:val="17"/>
                <w:szCs w:val="17"/>
                <w:color w:val="auto"/>
              </w:rPr>
            </w:pPr>
          </w:p>
        </w:tc>
        <w:tc>
          <w:tcPr>
            <w:tcW w:w="2440" w:type="dxa"/>
            <w:vAlign w:val="bottom"/>
            <w:tcBorders>
              <w:right w:val="single" w:sz="8" w:color="AFAFAF"/>
            </w:tcBorders>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approved by security holders</w:t>
            </w:r>
          </w:p>
        </w:tc>
        <w:tc>
          <w:tcPr>
            <w:tcW w:w="2880" w:type="dxa"/>
            <w:vAlign w:val="bottom"/>
            <w:tcBorders>
              <w:right w:val="single" w:sz="8" w:color="AFAFAF"/>
            </w:tcBorders>
          </w:tcPr>
          <w:p>
            <w:pPr>
              <w:jc w:val="right"/>
              <w:ind w:right="187"/>
              <w:spacing w:after="0"/>
              <w:rPr>
                <w:sz w:val="20"/>
                <w:szCs w:val="20"/>
                <w:color w:val="auto"/>
              </w:rPr>
            </w:pPr>
            <w:r>
              <w:rPr>
                <w:rFonts w:ascii="Arial" w:cs="Arial" w:eastAsia="Arial" w:hAnsi="Arial"/>
                <w:sz w:val="14"/>
                <w:szCs w:val="14"/>
                <w:color w:val="auto"/>
              </w:rPr>
              <w:t>–</w:t>
            </w:r>
          </w:p>
        </w:tc>
        <w:tc>
          <w:tcPr>
            <w:tcW w:w="2440" w:type="dxa"/>
            <w:vAlign w:val="bottom"/>
            <w:tcBorders>
              <w:right w:val="single" w:sz="8" w:color="AFAFAF"/>
            </w:tcBorders>
          </w:tcPr>
          <w:p>
            <w:pPr>
              <w:jc w:val="right"/>
              <w:ind w:right="227"/>
              <w:spacing w:after="0"/>
              <w:rPr>
                <w:sz w:val="20"/>
                <w:szCs w:val="20"/>
                <w:color w:val="auto"/>
              </w:rPr>
            </w:pPr>
            <w:r>
              <w:rPr>
                <w:rFonts w:ascii="Arial" w:cs="Arial" w:eastAsia="Arial" w:hAnsi="Arial"/>
                <w:sz w:val="14"/>
                <w:szCs w:val="14"/>
                <w:color w:val="auto"/>
              </w:rPr>
              <w:t>–</w:t>
            </w:r>
          </w:p>
        </w:tc>
        <w:tc>
          <w:tcPr>
            <w:tcW w:w="3180" w:type="dxa"/>
            <w:vAlign w:val="bottom"/>
          </w:tcPr>
          <w:p>
            <w:pPr>
              <w:jc w:val="right"/>
              <w:ind w:right="1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2420" w:type="dxa"/>
            <w:vAlign w:val="bottom"/>
            <w:tcBorders>
              <w:bottom w:val="single" w:sz="8" w:color="B94831"/>
              <w:right w:val="single" w:sz="8" w:color="AFAFAF"/>
            </w:tcBorders>
          </w:tcPr>
          <w:p>
            <w:pPr>
              <w:spacing w:after="0"/>
              <w:rPr>
                <w:sz w:val="4"/>
                <w:szCs w:val="4"/>
                <w:color w:val="auto"/>
              </w:rPr>
            </w:pPr>
          </w:p>
        </w:tc>
        <w:tc>
          <w:tcPr>
            <w:tcW w:w="2880" w:type="dxa"/>
            <w:vAlign w:val="bottom"/>
            <w:tcBorders>
              <w:bottom w:val="single" w:sz="8" w:color="B94831"/>
              <w:right w:val="single" w:sz="8" w:color="AFAFAF"/>
            </w:tcBorders>
          </w:tcPr>
          <w:p>
            <w:pPr>
              <w:spacing w:after="0"/>
              <w:rPr>
                <w:sz w:val="4"/>
                <w:szCs w:val="4"/>
                <w:color w:val="auto"/>
              </w:rPr>
            </w:pPr>
          </w:p>
        </w:tc>
        <w:tc>
          <w:tcPr>
            <w:tcW w:w="2440" w:type="dxa"/>
            <w:vAlign w:val="bottom"/>
            <w:tcBorders>
              <w:bottom w:val="single" w:sz="8" w:color="B94831"/>
              <w:right w:val="single" w:sz="8" w:color="AFAFAF"/>
            </w:tcBorders>
          </w:tcPr>
          <w:p>
            <w:pPr>
              <w:spacing w:after="0"/>
              <w:rPr>
                <w:sz w:val="4"/>
                <w:szCs w:val="4"/>
                <w:color w:val="auto"/>
              </w:rPr>
            </w:pPr>
          </w:p>
        </w:tc>
        <w:tc>
          <w:tcPr>
            <w:tcW w:w="3180" w:type="dxa"/>
            <w:vAlign w:val="bottom"/>
            <w:tcBorders>
              <w:bottom w:val="single" w:sz="8" w:color="B94831"/>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42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Total</w:t>
            </w:r>
          </w:p>
        </w:tc>
        <w:tc>
          <w:tcPr>
            <w:tcW w:w="2880" w:type="dxa"/>
            <w:vAlign w:val="bottom"/>
            <w:tcBorders>
              <w:right w:val="single" w:sz="8" w:color="AFAFAF"/>
            </w:tcBorders>
          </w:tcPr>
          <w:p>
            <w:pPr>
              <w:jc w:val="right"/>
              <w:ind w:right="187"/>
              <w:spacing w:after="0"/>
              <w:rPr>
                <w:sz w:val="20"/>
                <w:szCs w:val="20"/>
                <w:color w:val="auto"/>
              </w:rPr>
            </w:pPr>
            <w:r>
              <w:rPr>
                <w:rFonts w:ascii="Arial" w:cs="Arial" w:eastAsia="Arial" w:hAnsi="Arial"/>
                <w:sz w:val="14"/>
                <w:szCs w:val="14"/>
                <w:color w:val="auto"/>
              </w:rPr>
              <w:t>2,992,331</w:t>
            </w:r>
          </w:p>
        </w:tc>
        <w:tc>
          <w:tcPr>
            <w:tcW w:w="2440" w:type="dxa"/>
            <w:vAlign w:val="bottom"/>
            <w:tcBorders>
              <w:right w:val="single" w:sz="8" w:color="AFAFAF"/>
            </w:tcBorders>
          </w:tcPr>
          <w:p>
            <w:pPr>
              <w:jc w:val="right"/>
              <w:ind w:right="227"/>
              <w:spacing w:after="0"/>
              <w:rPr>
                <w:sz w:val="20"/>
                <w:szCs w:val="20"/>
                <w:color w:val="auto"/>
              </w:rPr>
            </w:pPr>
            <w:r>
              <w:rPr>
                <w:rFonts w:ascii="Arial" w:cs="Arial" w:eastAsia="Arial" w:hAnsi="Arial"/>
                <w:sz w:val="14"/>
                <w:szCs w:val="14"/>
                <w:color w:val="auto"/>
              </w:rPr>
              <w:t>–</w:t>
            </w:r>
          </w:p>
        </w:tc>
        <w:tc>
          <w:tcPr>
            <w:tcW w:w="3180" w:type="dxa"/>
            <w:vAlign w:val="bottom"/>
          </w:tcPr>
          <w:p>
            <w:pPr>
              <w:jc w:val="right"/>
              <w:ind w:right="147"/>
              <w:spacing w:after="0"/>
              <w:rPr>
                <w:sz w:val="20"/>
                <w:szCs w:val="20"/>
                <w:color w:val="auto"/>
              </w:rPr>
            </w:pPr>
            <w:r>
              <w:rPr>
                <w:rFonts w:ascii="Arial" w:cs="Arial" w:eastAsia="Arial" w:hAnsi="Arial"/>
                <w:sz w:val="14"/>
                <w:szCs w:val="14"/>
                <w:color w:val="auto"/>
              </w:rPr>
              <w:t>8,459,523</w:t>
            </w:r>
          </w:p>
        </w:tc>
        <w:tc>
          <w:tcPr>
            <w:tcW w:w="0" w:type="dxa"/>
            <w:vAlign w:val="bottom"/>
          </w:tcPr>
          <w:p>
            <w:pPr>
              <w:spacing w:after="0"/>
              <w:rPr>
                <w:sz w:val="1"/>
                <w:szCs w:val="1"/>
                <w:color w:val="auto"/>
              </w:rPr>
            </w:pPr>
          </w:p>
        </w:tc>
      </w:tr>
      <w:tr>
        <w:trPr>
          <w:trHeight w:val="20"/>
        </w:trPr>
        <w:tc>
          <w:tcPr>
            <w:tcW w:w="2420" w:type="dxa"/>
            <w:vAlign w:val="bottom"/>
            <w:tcBorders>
              <w:right w:val="single" w:sz="8" w:color="B94831"/>
            </w:tcBorders>
            <w:shd w:val="clear" w:color="auto" w:fill="B94831"/>
          </w:tcPr>
          <w:p>
            <w:pPr>
              <w:spacing w:after="0" w:line="20" w:lineRule="exact"/>
              <w:rPr>
                <w:sz w:val="1"/>
                <w:szCs w:val="1"/>
                <w:color w:val="auto"/>
              </w:rPr>
            </w:pPr>
          </w:p>
        </w:tc>
        <w:tc>
          <w:tcPr>
            <w:tcW w:w="2880" w:type="dxa"/>
            <w:vAlign w:val="bottom"/>
            <w:tcBorders>
              <w:right w:val="single" w:sz="8" w:color="B94831"/>
            </w:tcBorders>
            <w:shd w:val="clear" w:color="auto" w:fill="B94831"/>
          </w:tcPr>
          <w:p>
            <w:pPr>
              <w:spacing w:after="0" w:line="20" w:lineRule="exact"/>
              <w:rPr>
                <w:sz w:val="1"/>
                <w:szCs w:val="1"/>
                <w:color w:val="auto"/>
              </w:rPr>
            </w:pPr>
          </w:p>
        </w:tc>
        <w:tc>
          <w:tcPr>
            <w:tcW w:w="2440" w:type="dxa"/>
            <w:vAlign w:val="bottom"/>
            <w:tcBorders>
              <w:right w:val="single" w:sz="8" w:color="B94831"/>
            </w:tcBorders>
            <w:shd w:val="clear" w:color="auto" w:fill="B94831"/>
          </w:tcPr>
          <w:p>
            <w:pPr>
              <w:spacing w:after="0" w:line="20" w:lineRule="exact"/>
              <w:rPr>
                <w:sz w:val="1"/>
                <w:szCs w:val="1"/>
                <w:color w:val="auto"/>
              </w:rPr>
            </w:pPr>
          </w:p>
        </w:tc>
        <w:tc>
          <w:tcPr>
            <w:tcW w:w="3180" w:type="dxa"/>
            <w:vAlign w:val="bottom"/>
            <w:shd w:val="clear" w:color="auto" w:fill="B948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  Unlike stock options, RSUs do not have an applicable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6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90   Management Proxy Circular and Notice of Annual Meeting of Shareholders</w:t>
      </w:r>
    </w:p>
    <w:p>
      <w:pPr>
        <w:sectPr>
          <w:pgSz w:w="11900" w:h="16838" w:orient="portrait"/>
          <w:cols w:equalWidth="0" w:num="1">
            <w:col w:w="11100"/>
          </w:cols>
          <w:pgMar w:left="320" w:top="454"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Description of Equity Compensation and Other Plans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are authorized to issue common shares under the following plans:</w:t>
      </w:r>
    </w:p>
    <w:p>
      <w:pPr>
        <w:spacing w:after="0" w:line="114" w:lineRule="exact"/>
        <w:rPr>
          <w:sz w:val="20"/>
          <w:szCs w:val="20"/>
          <w:color w:val="auto"/>
        </w:rPr>
      </w:pPr>
    </w:p>
    <w:p>
      <w:pPr>
        <w:ind w:left="480" w:hanging="313"/>
        <w:spacing w:after="0"/>
        <w:tabs>
          <w:tab w:leader="none" w:pos="480" w:val="left"/>
        </w:tabs>
        <w:numPr>
          <w:ilvl w:val="0"/>
          <w:numId w:val="52"/>
        </w:numPr>
        <w:rPr>
          <w:rFonts w:ascii="Times New Roman" w:cs="Times New Roman" w:eastAsia="Times New Roman" w:hAnsi="Times New Roman"/>
          <w:sz w:val="20"/>
          <w:szCs w:val="20"/>
          <w:color w:val="B94831"/>
        </w:rPr>
      </w:pPr>
      <w:r>
        <w:rPr>
          <w:rFonts w:ascii="Arial" w:cs="Arial" w:eastAsia="Arial" w:hAnsi="Arial"/>
          <w:sz w:val="18"/>
          <w:szCs w:val="18"/>
          <w:color w:val="auto"/>
        </w:rPr>
        <w:t>Stock incentive plan;</w:t>
      </w:r>
    </w:p>
    <w:p>
      <w:pPr>
        <w:spacing w:after="0" w:line="11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52"/>
        </w:numPr>
        <w:rPr>
          <w:rFonts w:ascii="Times New Roman" w:cs="Times New Roman" w:eastAsia="Times New Roman" w:hAnsi="Times New Roman"/>
          <w:sz w:val="20"/>
          <w:szCs w:val="20"/>
          <w:color w:val="B94831"/>
        </w:rPr>
      </w:pPr>
      <w:r>
        <w:rPr>
          <w:rFonts w:ascii="Arial" w:cs="Arial" w:eastAsia="Arial" w:hAnsi="Arial"/>
          <w:sz w:val="18"/>
          <w:szCs w:val="18"/>
          <w:color w:val="auto"/>
        </w:rPr>
        <w:t>Deferred compensation plan; and</w:t>
      </w:r>
    </w:p>
    <w:p>
      <w:pPr>
        <w:spacing w:after="0" w:line="117" w:lineRule="exact"/>
        <w:rPr>
          <w:rFonts w:ascii="Times New Roman" w:cs="Times New Roman" w:eastAsia="Times New Roman" w:hAnsi="Times New Roman"/>
          <w:sz w:val="20"/>
          <w:szCs w:val="20"/>
          <w:color w:val="B94831"/>
        </w:rPr>
      </w:pPr>
    </w:p>
    <w:p>
      <w:pPr>
        <w:ind w:left="480" w:hanging="313"/>
        <w:spacing w:after="0"/>
        <w:tabs>
          <w:tab w:leader="none" w:pos="480" w:val="left"/>
        </w:tabs>
        <w:numPr>
          <w:ilvl w:val="0"/>
          <w:numId w:val="52"/>
        </w:numPr>
        <w:rPr>
          <w:rFonts w:ascii="Times New Roman" w:cs="Times New Roman" w:eastAsia="Times New Roman" w:hAnsi="Times New Roman"/>
          <w:sz w:val="20"/>
          <w:szCs w:val="20"/>
          <w:color w:val="B94831"/>
        </w:rPr>
      </w:pPr>
      <w:r>
        <w:rPr>
          <w:rFonts w:ascii="Arial" w:cs="Arial" w:eastAsia="Arial" w:hAnsi="Arial"/>
          <w:sz w:val="18"/>
          <w:szCs w:val="18"/>
          <w:color w:val="auto"/>
        </w:rPr>
        <w:t>Employee stock purchase plans.</w:t>
      </w:r>
    </w:p>
    <w:p>
      <w:pPr>
        <w:spacing w:after="0" w:line="104" w:lineRule="exact"/>
        <w:rPr>
          <w:sz w:val="20"/>
          <w:szCs w:val="20"/>
          <w:color w:val="auto"/>
        </w:rPr>
      </w:pPr>
    </w:p>
    <w:p>
      <w:pPr>
        <w:ind w:left="160" w:right="440"/>
        <w:spacing w:after="0" w:line="265" w:lineRule="auto"/>
        <w:rPr>
          <w:sz w:val="20"/>
          <w:szCs w:val="20"/>
          <w:color w:val="auto"/>
        </w:rPr>
      </w:pPr>
      <w:r>
        <w:rPr>
          <w:rFonts w:ascii="Arial" w:cs="Arial" w:eastAsia="Arial" w:hAnsi="Arial"/>
          <w:sz w:val="18"/>
          <w:szCs w:val="18"/>
          <w:color w:val="auto"/>
        </w:rPr>
        <w:t>We also maintain a share plan for our non-employee directors but any shares needed to satisfy our obligations under those plans are purchased in the open market, so there is no dilutive effect. We also grant cash-based awards under our phantom stock plan.</w:t>
      </w:r>
    </w:p>
    <w:p>
      <w:pPr>
        <w:spacing w:after="0" w:line="5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Copies of our stock incentive plan, deferred compensation plan and employee stock purchase plans are available to any shareholder upon request by writing to: Thomson Reuters, Attention: Chief Legal Officer and Company Secretary, 19 Duncan Street, Toronto, Ontario M5H 3H1, Canada.</w:t>
      </w:r>
    </w:p>
    <w:p>
      <w:pPr>
        <w:spacing w:after="0" w:line="65"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The tables set forth in Appendix A to this circular provide information regarding the key features of our plans. Our director compensation plan is described in the “About Our Directors – Director Compensation and Share Ownership” section of this circular.</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Pension and Other Retirement Benefits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describes pension and other retirement benefits provided to our named executive officers.</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Defined Benefit Pension Plans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Steve Hasker, Laura Clayton McDonnell and Paul Bascobert do not participate in a defined benefit pension plan.</w:t>
      </w:r>
    </w:p>
    <w:p>
      <w:pPr>
        <w:spacing w:after="0" w:line="10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Thomson Reuters has a broad based, U.S. defined benefit pension plan which has been closed to new participants since 2006. Mike Eastwood participated in the plan through April 2019. In 2020, we announced that we will freeze benefit accruals in the plan for participating employees effective as of January 1, 2023. The plan is funded by one of our wholly owned U.S. subsidiaries and is qualified under U.S. federal income tax laws.</w:t>
      </w:r>
    </w:p>
    <w:p>
      <w:pPr>
        <w:spacing w:after="0" w:line="7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Kirsty Roth participates in a Swiss cash balance pension plan. Participating employees contribute up to 10% of their insured (pensionable) salary and the company contributes 17% of the employee’s insured (pensionable) salary. The maximum pensionable salary is CHF 860,400.</w:t>
      </w:r>
    </w:p>
    <w:p>
      <w:pPr>
        <w:spacing w:after="0" w:line="65"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following table sets forth information related to our two named executive officers who participate or participated in a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129540</wp:posOffset>
            </wp:positionV>
            <wp:extent cx="1282065" cy="2292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82065" cy="229235"/>
                    </a:xfrm>
                    <a:prstGeom prst="rect">
                      <a:avLst/>
                    </a:prstGeom>
                    <a:noFill/>
                  </pic:spPr>
                </pic:pic>
              </a:graphicData>
            </a:graphic>
          </wp:anchor>
        </w:drawing>
      </w:r>
    </w:p>
    <w:p>
      <w:pPr>
        <w:spacing w:after="0" w:line="193" w:lineRule="exact"/>
        <w:rPr>
          <w:sz w:val="20"/>
          <w:szCs w:val="20"/>
          <w:color w:val="auto"/>
        </w:rPr>
      </w:pPr>
    </w:p>
    <w:p>
      <w:pPr>
        <w:jc w:val="center"/>
        <w:ind w:right="1940"/>
        <w:spacing w:after="0"/>
        <w:rPr>
          <w:sz w:val="20"/>
          <w:szCs w:val="20"/>
          <w:color w:val="auto"/>
        </w:rPr>
      </w:pPr>
      <w:r>
        <w:rPr>
          <w:rFonts w:ascii="Arial" w:cs="Arial" w:eastAsia="Arial" w:hAnsi="Arial"/>
          <w:sz w:val="15"/>
          <w:szCs w:val="15"/>
          <w:b w:val="1"/>
          <w:bCs w:val="1"/>
          <w:color w:val="auto"/>
        </w:rPr>
        <w:t>Annual benefits</w:t>
      </w:r>
    </w:p>
    <w:p>
      <w:pPr>
        <w:spacing w:after="0" w:line="2" w:lineRule="exact"/>
        <w:rPr>
          <w:sz w:val="20"/>
          <w:szCs w:val="20"/>
          <w:color w:val="auto"/>
        </w:rPr>
      </w:pPr>
    </w:p>
    <w:p>
      <w:pPr>
        <w:jc w:val="center"/>
        <w:ind w:right="1940"/>
        <w:spacing w:after="0"/>
        <w:rPr>
          <w:sz w:val="20"/>
          <w:szCs w:val="20"/>
          <w:color w:val="auto"/>
        </w:rPr>
      </w:pPr>
      <w:r>
        <w:rPr>
          <w:rFonts w:ascii="Arial" w:cs="Arial" w:eastAsia="Arial" w:hAnsi="Arial"/>
          <w:sz w:val="15"/>
          <w:szCs w:val="15"/>
          <w:b w:val="1"/>
          <w:bCs w:val="1"/>
          <w:color w:val="auto"/>
        </w:rPr>
        <w:t>payable ($)</w:t>
      </w: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3175</wp:posOffset>
            </wp:positionV>
            <wp:extent cx="8255" cy="5861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58610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3175</wp:posOffset>
            </wp:positionV>
            <wp:extent cx="8255" cy="5861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5861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3175</wp:posOffset>
            </wp:positionV>
            <wp:extent cx="8255" cy="5861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58610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3175</wp:posOffset>
            </wp:positionV>
            <wp:extent cx="8255" cy="5861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586105"/>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3175</wp:posOffset>
            </wp:positionV>
            <wp:extent cx="8255" cy="5861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58610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3175</wp:posOffset>
            </wp:positionV>
            <wp:extent cx="8255" cy="5861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58610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3175</wp:posOffset>
            </wp:positionV>
            <wp:extent cx="8255" cy="5861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58610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72"/>
        </w:trPr>
        <w:tc>
          <w:tcPr>
            <w:tcW w:w="1960" w:type="dxa"/>
            <w:vAlign w:val="bottom"/>
            <w:tcBorders>
              <w:right w:val="single" w:sz="8" w:color="262626"/>
            </w:tcBorders>
            <w:shd w:val="clear" w:color="auto" w:fill="262626"/>
          </w:tcPr>
          <w:p>
            <w:pPr>
              <w:spacing w:after="0"/>
              <w:rPr>
                <w:sz w:val="15"/>
                <w:szCs w:val="15"/>
                <w:color w:val="auto"/>
              </w:rPr>
            </w:pPr>
          </w:p>
        </w:tc>
        <w:tc>
          <w:tcPr>
            <w:tcW w:w="1460" w:type="dxa"/>
            <w:vAlign w:val="bottom"/>
            <w:tcBorders>
              <w:right w:val="single" w:sz="8" w:color="262626"/>
            </w:tcBorders>
            <w:shd w:val="clear" w:color="auto" w:fill="262626"/>
          </w:tcPr>
          <w:p>
            <w:pPr>
              <w:spacing w:after="0"/>
              <w:rPr>
                <w:sz w:val="15"/>
                <w:szCs w:val="15"/>
                <w:color w:val="auto"/>
              </w:rPr>
            </w:pPr>
          </w:p>
        </w:tc>
        <w:tc>
          <w:tcPr>
            <w:tcW w:w="1080" w:type="dxa"/>
            <w:vAlign w:val="bottom"/>
            <w:tcBorders>
              <w:right w:val="single" w:sz="8" w:color="262626"/>
            </w:tcBorders>
            <w:shd w:val="clear" w:color="auto" w:fill="262626"/>
          </w:tcPr>
          <w:p>
            <w:pPr>
              <w:spacing w:after="0"/>
              <w:rPr>
                <w:sz w:val="15"/>
                <w:szCs w:val="15"/>
                <w:color w:val="auto"/>
              </w:rPr>
            </w:pPr>
          </w:p>
        </w:tc>
        <w:tc>
          <w:tcPr>
            <w:tcW w:w="940" w:type="dxa"/>
            <w:vAlign w:val="bottom"/>
            <w:tcBorders>
              <w:right w:val="single" w:sz="8" w:color="262626"/>
            </w:tcBorders>
            <w:shd w:val="clear" w:color="auto" w:fill="262626"/>
          </w:tcPr>
          <w:p>
            <w:pPr>
              <w:spacing w:after="0"/>
              <w:rPr>
                <w:sz w:val="15"/>
                <w:szCs w:val="15"/>
                <w:color w:val="auto"/>
              </w:rPr>
            </w:pPr>
          </w:p>
        </w:tc>
        <w:tc>
          <w:tcPr>
            <w:tcW w:w="1480" w:type="dxa"/>
            <w:vAlign w:val="bottom"/>
            <w:tcBorders>
              <w:right w:val="single" w:sz="8" w:color="262626"/>
            </w:tcBorders>
            <w:vMerge w:val="restart"/>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Opening present</w:t>
            </w:r>
          </w:p>
        </w:tc>
        <w:tc>
          <w:tcPr>
            <w:tcW w:w="1320" w:type="dxa"/>
            <w:vAlign w:val="bottom"/>
            <w:tcBorders>
              <w:right w:val="single" w:sz="8" w:color="262626"/>
            </w:tcBorders>
            <w:shd w:val="clear" w:color="auto" w:fill="262626"/>
          </w:tcPr>
          <w:p>
            <w:pPr>
              <w:spacing w:after="0"/>
              <w:rPr>
                <w:sz w:val="15"/>
                <w:szCs w:val="15"/>
                <w:color w:val="auto"/>
              </w:rPr>
            </w:pPr>
          </w:p>
        </w:tc>
        <w:tc>
          <w:tcPr>
            <w:tcW w:w="1300" w:type="dxa"/>
            <w:vAlign w:val="bottom"/>
            <w:tcBorders>
              <w:right w:val="single" w:sz="8" w:color="262626"/>
            </w:tcBorders>
            <w:shd w:val="clear" w:color="auto" w:fill="262626"/>
          </w:tcPr>
          <w:p>
            <w:pPr>
              <w:spacing w:after="0"/>
              <w:rPr>
                <w:sz w:val="15"/>
                <w:szCs w:val="15"/>
                <w:color w:val="auto"/>
              </w:rPr>
            </w:pPr>
          </w:p>
        </w:tc>
        <w:tc>
          <w:tcPr>
            <w:tcW w:w="1380" w:type="dxa"/>
            <w:vAlign w:val="bottom"/>
            <w:shd w:val="clear" w:color="auto" w:fill="262626"/>
          </w:tcPr>
          <w:p>
            <w:pPr>
              <w:jc w:val="right"/>
              <w:ind w:right="46"/>
              <w:spacing w:after="0"/>
              <w:rPr>
                <w:sz w:val="20"/>
                <w:szCs w:val="20"/>
                <w:color w:val="auto"/>
              </w:rPr>
            </w:pPr>
            <w:r>
              <w:rPr>
                <w:rFonts w:ascii="Arial" w:cs="Arial" w:eastAsia="Arial" w:hAnsi="Arial"/>
                <w:sz w:val="15"/>
                <w:szCs w:val="15"/>
                <w:b w:val="1"/>
                <w:bCs w:val="1"/>
                <w:color w:val="FFFFFF"/>
              </w:rPr>
              <w:t>Closing present</w:t>
            </w:r>
          </w:p>
        </w:tc>
        <w:tc>
          <w:tcPr>
            <w:tcW w:w="0" w:type="dxa"/>
            <w:vAlign w:val="bottom"/>
          </w:tcPr>
          <w:p>
            <w:pPr>
              <w:spacing w:after="0"/>
              <w:rPr>
                <w:sz w:val="1"/>
                <w:szCs w:val="1"/>
                <w:color w:val="auto"/>
              </w:rPr>
            </w:pPr>
          </w:p>
        </w:tc>
      </w:tr>
      <w:tr>
        <w:trPr>
          <w:trHeight w:val="160"/>
        </w:trPr>
        <w:tc>
          <w:tcPr>
            <w:tcW w:w="1960" w:type="dxa"/>
            <w:vAlign w:val="bottom"/>
            <w:tcBorders>
              <w:right w:val="single" w:sz="8" w:color="262626"/>
            </w:tcBorders>
            <w:shd w:val="clear" w:color="auto" w:fill="262626"/>
          </w:tcPr>
          <w:p>
            <w:pPr>
              <w:spacing w:after="0"/>
              <w:rPr>
                <w:sz w:val="13"/>
                <w:szCs w:val="13"/>
                <w:color w:val="auto"/>
              </w:rPr>
            </w:pPr>
          </w:p>
        </w:tc>
        <w:tc>
          <w:tcPr>
            <w:tcW w:w="1460" w:type="dxa"/>
            <w:vAlign w:val="bottom"/>
            <w:tcBorders>
              <w:right w:val="single" w:sz="8" w:color="262626"/>
            </w:tcBorders>
            <w:vMerge w:val="restart"/>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Number of years</w:t>
            </w:r>
          </w:p>
        </w:tc>
        <w:tc>
          <w:tcPr>
            <w:tcW w:w="1080" w:type="dxa"/>
            <w:vAlign w:val="bottom"/>
            <w:tcBorders>
              <w:right w:val="single" w:sz="8" w:color="262626"/>
            </w:tcBorders>
            <w:shd w:val="clear" w:color="auto" w:fill="262626"/>
          </w:tcPr>
          <w:p>
            <w:pPr>
              <w:spacing w:after="0"/>
              <w:rPr>
                <w:sz w:val="13"/>
                <w:szCs w:val="13"/>
                <w:color w:val="auto"/>
              </w:rPr>
            </w:pPr>
          </w:p>
        </w:tc>
        <w:tc>
          <w:tcPr>
            <w:tcW w:w="940" w:type="dxa"/>
            <w:vAlign w:val="bottom"/>
            <w:tcBorders>
              <w:right w:val="single" w:sz="8" w:color="262626"/>
            </w:tcBorders>
            <w:shd w:val="clear" w:color="auto" w:fill="262626"/>
          </w:tcPr>
          <w:p>
            <w:pPr>
              <w:spacing w:after="0"/>
              <w:rPr>
                <w:sz w:val="13"/>
                <w:szCs w:val="13"/>
                <w:color w:val="auto"/>
              </w:rPr>
            </w:pPr>
          </w:p>
        </w:tc>
        <w:tc>
          <w:tcPr>
            <w:tcW w:w="1480" w:type="dxa"/>
            <w:vAlign w:val="bottom"/>
            <w:tcBorders>
              <w:right w:val="single" w:sz="8" w:color="262626"/>
            </w:tcBorders>
            <w:vMerge w:val="continue"/>
            <w:shd w:val="clear" w:color="auto" w:fill="262626"/>
          </w:tcPr>
          <w:p>
            <w:pPr>
              <w:spacing w:after="0"/>
              <w:rPr>
                <w:sz w:val="13"/>
                <w:szCs w:val="13"/>
                <w:color w:val="auto"/>
              </w:rPr>
            </w:pPr>
          </w:p>
        </w:tc>
        <w:tc>
          <w:tcPr>
            <w:tcW w:w="1320" w:type="dxa"/>
            <w:vAlign w:val="bottom"/>
            <w:tcBorders>
              <w:right w:val="single" w:sz="8" w:color="262626"/>
            </w:tcBorders>
            <w:shd w:val="clear" w:color="auto" w:fill="262626"/>
          </w:tcPr>
          <w:p>
            <w:pPr>
              <w:spacing w:after="0"/>
              <w:rPr>
                <w:sz w:val="13"/>
                <w:szCs w:val="13"/>
                <w:color w:val="auto"/>
              </w:rPr>
            </w:pPr>
          </w:p>
        </w:tc>
        <w:tc>
          <w:tcPr>
            <w:tcW w:w="1300" w:type="dxa"/>
            <w:vAlign w:val="bottom"/>
            <w:tcBorders>
              <w:right w:val="single" w:sz="8" w:color="262626"/>
            </w:tcBorders>
            <w:vMerge w:val="restart"/>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Non-</w:t>
            </w:r>
          </w:p>
        </w:tc>
        <w:tc>
          <w:tcPr>
            <w:tcW w:w="1380" w:type="dxa"/>
            <w:vAlign w:val="bottom"/>
            <w:shd w:val="clear" w:color="auto" w:fill="262626"/>
          </w:tcPr>
          <w:p>
            <w:pPr>
              <w:jc w:val="right"/>
              <w:ind w:right="86"/>
              <w:spacing w:after="0" w:line="161" w:lineRule="exact"/>
              <w:rPr>
                <w:sz w:val="20"/>
                <w:szCs w:val="20"/>
                <w:color w:val="auto"/>
              </w:rPr>
            </w:pPr>
            <w:r>
              <w:rPr>
                <w:rFonts w:ascii="Arial" w:cs="Arial" w:eastAsia="Arial" w:hAnsi="Arial"/>
                <w:sz w:val="15"/>
                <w:szCs w:val="15"/>
                <w:b w:val="1"/>
                <w:bCs w:val="1"/>
                <w:color w:val="FFFFFF"/>
              </w:rPr>
              <w:t>value of</w:t>
            </w:r>
          </w:p>
        </w:tc>
        <w:tc>
          <w:tcPr>
            <w:tcW w:w="0" w:type="dxa"/>
            <w:vAlign w:val="bottom"/>
          </w:tcPr>
          <w:p>
            <w:pPr>
              <w:spacing w:after="0"/>
              <w:rPr>
                <w:sz w:val="1"/>
                <w:szCs w:val="1"/>
                <w:color w:val="auto"/>
              </w:rPr>
            </w:pPr>
          </w:p>
        </w:tc>
      </w:tr>
      <w:tr>
        <w:trPr>
          <w:trHeight w:val="151"/>
        </w:trPr>
        <w:tc>
          <w:tcPr>
            <w:tcW w:w="1960" w:type="dxa"/>
            <w:vAlign w:val="bottom"/>
            <w:tcBorders>
              <w:right w:val="single" w:sz="8" w:color="262626"/>
            </w:tcBorders>
            <w:shd w:val="clear" w:color="auto" w:fill="262626"/>
          </w:tcPr>
          <w:p>
            <w:pPr>
              <w:spacing w:after="0"/>
              <w:rPr>
                <w:sz w:val="13"/>
                <w:szCs w:val="13"/>
                <w:color w:val="auto"/>
              </w:rPr>
            </w:pPr>
          </w:p>
        </w:tc>
        <w:tc>
          <w:tcPr>
            <w:tcW w:w="1460" w:type="dxa"/>
            <w:vAlign w:val="bottom"/>
            <w:tcBorders>
              <w:right w:val="single" w:sz="8" w:color="262626"/>
            </w:tcBorders>
            <w:vMerge w:val="continue"/>
            <w:shd w:val="clear" w:color="auto" w:fill="262626"/>
          </w:tcPr>
          <w:p>
            <w:pPr>
              <w:spacing w:after="0"/>
              <w:rPr>
                <w:sz w:val="13"/>
                <w:szCs w:val="13"/>
                <w:color w:val="auto"/>
              </w:rPr>
            </w:pPr>
          </w:p>
        </w:tc>
        <w:tc>
          <w:tcPr>
            <w:tcW w:w="1080" w:type="dxa"/>
            <w:vAlign w:val="bottom"/>
            <w:tcBorders>
              <w:right w:val="single" w:sz="8" w:color="262626"/>
            </w:tcBorders>
            <w:shd w:val="clear" w:color="auto" w:fill="262626"/>
          </w:tcPr>
          <w:p>
            <w:pPr>
              <w:spacing w:after="0"/>
              <w:rPr>
                <w:sz w:val="13"/>
                <w:szCs w:val="13"/>
                <w:color w:val="auto"/>
              </w:rPr>
            </w:pPr>
          </w:p>
        </w:tc>
        <w:tc>
          <w:tcPr>
            <w:tcW w:w="940" w:type="dxa"/>
            <w:vAlign w:val="bottom"/>
            <w:tcBorders>
              <w:right w:val="single" w:sz="8" w:color="262626"/>
            </w:tcBorders>
            <w:shd w:val="clear" w:color="auto" w:fill="262626"/>
          </w:tcPr>
          <w:p>
            <w:pPr>
              <w:spacing w:after="0"/>
              <w:rPr>
                <w:sz w:val="13"/>
                <w:szCs w:val="13"/>
                <w:color w:val="auto"/>
              </w:rPr>
            </w:pPr>
          </w:p>
        </w:tc>
        <w:tc>
          <w:tcPr>
            <w:tcW w:w="1480" w:type="dxa"/>
            <w:vAlign w:val="bottom"/>
            <w:tcBorders>
              <w:right w:val="single" w:sz="8" w:color="262626"/>
            </w:tcBorders>
            <w:shd w:val="clear" w:color="auto" w:fill="262626"/>
          </w:tcPr>
          <w:p>
            <w:pPr>
              <w:jc w:val="right"/>
              <w:ind w:right="66"/>
              <w:spacing w:after="0" w:line="151" w:lineRule="exact"/>
              <w:rPr>
                <w:sz w:val="20"/>
                <w:szCs w:val="20"/>
                <w:color w:val="auto"/>
              </w:rPr>
            </w:pPr>
            <w:r>
              <w:rPr>
                <w:rFonts w:ascii="Arial" w:cs="Arial" w:eastAsia="Arial" w:hAnsi="Arial"/>
                <w:sz w:val="15"/>
                <w:szCs w:val="15"/>
                <w:b w:val="1"/>
                <w:bCs w:val="1"/>
                <w:color w:val="FFFFFF"/>
              </w:rPr>
              <w:t>value of defined</w:t>
            </w:r>
          </w:p>
        </w:tc>
        <w:tc>
          <w:tcPr>
            <w:tcW w:w="1320" w:type="dxa"/>
            <w:vAlign w:val="bottom"/>
            <w:tcBorders>
              <w:right w:val="single" w:sz="8" w:color="262626"/>
            </w:tcBorders>
            <w:vMerge w:val="restart"/>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Compensatory</w:t>
            </w:r>
          </w:p>
        </w:tc>
        <w:tc>
          <w:tcPr>
            <w:tcW w:w="1300" w:type="dxa"/>
            <w:vAlign w:val="bottom"/>
            <w:tcBorders>
              <w:right w:val="single" w:sz="8" w:color="262626"/>
            </w:tcBorders>
            <w:vMerge w:val="continue"/>
            <w:shd w:val="clear" w:color="auto" w:fill="262626"/>
          </w:tcPr>
          <w:p>
            <w:pPr>
              <w:spacing w:after="0"/>
              <w:rPr>
                <w:sz w:val="13"/>
                <w:szCs w:val="13"/>
                <w:color w:val="auto"/>
              </w:rPr>
            </w:pPr>
          </w:p>
        </w:tc>
        <w:tc>
          <w:tcPr>
            <w:tcW w:w="1380" w:type="dxa"/>
            <w:vAlign w:val="bottom"/>
            <w:shd w:val="clear" w:color="auto" w:fill="262626"/>
          </w:tcPr>
          <w:p>
            <w:pPr>
              <w:jc w:val="right"/>
              <w:ind w:right="46"/>
              <w:spacing w:after="0" w:line="151" w:lineRule="exact"/>
              <w:rPr>
                <w:sz w:val="20"/>
                <w:szCs w:val="20"/>
                <w:color w:val="auto"/>
              </w:rPr>
            </w:pPr>
            <w:r>
              <w:rPr>
                <w:rFonts w:ascii="Arial" w:cs="Arial" w:eastAsia="Arial" w:hAnsi="Arial"/>
                <w:sz w:val="15"/>
                <w:szCs w:val="15"/>
                <w:b w:val="1"/>
                <w:bCs w:val="1"/>
                <w:color w:val="FFFFFF"/>
              </w:rPr>
              <w:t>defined</w:t>
            </w:r>
          </w:p>
        </w:tc>
        <w:tc>
          <w:tcPr>
            <w:tcW w:w="0" w:type="dxa"/>
            <w:vAlign w:val="bottom"/>
          </w:tcPr>
          <w:p>
            <w:pPr>
              <w:spacing w:after="0"/>
              <w:rPr>
                <w:sz w:val="1"/>
                <w:szCs w:val="1"/>
                <w:color w:val="auto"/>
              </w:rPr>
            </w:pPr>
          </w:p>
        </w:tc>
      </w:tr>
      <w:tr>
        <w:trPr>
          <w:trHeight w:val="160"/>
        </w:trPr>
        <w:tc>
          <w:tcPr>
            <w:tcW w:w="1960" w:type="dxa"/>
            <w:vAlign w:val="bottom"/>
            <w:tcBorders>
              <w:right w:val="single" w:sz="8" w:color="262626"/>
            </w:tcBorders>
            <w:vMerge w:val="restart"/>
            <w:shd w:val="clear" w:color="auto" w:fill="262626"/>
          </w:tcPr>
          <w:p>
            <w:pPr>
              <w:ind w:left="100"/>
              <w:spacing w:after="0"/>
              <w:rPr>
                <w:sz w:val="20"/>
                <w:szCs w:val="20"/>
                <w:color w:val="auto"/>
              </w:rPr>
            </w:pPr>
            <w:r>
              <w:rPr>
                <w:rFonts w:ascii="Arial" w:cs="Arial" w:eastAsia="Arial" w:hAnsi="Arial"/>
                <w:sz w:val="15"/>
                <w:szCs w:val="15"/>
                <w:b w:val="1"/>
                <w:bCs w:val="1"/>
                <w:color w:val="FFFFFF"/>
              </w:rPr>
              <w:t>Name</w:t>
            </w:r>
          </w:p>
        </w:tc>
        <w:tc>
          <w:tcPr>
            <w:tcW w:w="1460" w:type="dxa"/>
            <w:vAlign w:val="bottom"/>
            <w:tcBorders>
              <w:right w:val="single" w:sz="8" w:color="262626"/>
            </w:tcBorders>
            <w:shd w:val="clear" w:color="auto" w:fill="262626"/>
          </w:tcPr>
          <w:p>
            <w:pPr>
              <w:jc w:val="right"/>
              <w:ind w:right="66"/>
              <w:spacing w:after="0" w:line="161" w:lineRule="exact"/>
              <w:rPr>
                <w:sz w:val="20"/>
                <w:szCs w:val="20"/>
                <w:color w:val="auto"/>
              </w:rPr>
            </w:pPr>
            <w:r>
              <w:rPr>
                <w:rFonts w:ascii="Arial" w:cs="Arial" w:eastAsia="Arial" w:hAnsi="Arial"/>
                <w:sz w:val="15"/>
                <w:szCs w:val="15"/>
                <w:b w:val="1"/>
                <w:bCs w:val="1"/>
                <w:color w:val="FFFFFF"/>
              </w:rPr>
              <w:t>credited service</w:t>
            </w:r>
          </w:p>
        </w:tc>
        <w:tc>
          <w:tcPr>
            <w:tcW w:w="1080" w:type="dxa"/>
            <w:vAlign w:val="bottom"/>
            <w:tcBorders>
              <w:right w:val="single" w:sz="8" w:color="262626"/>
            </w:tcBorders>
            <w:vMerge w:val="restart"/>
            <w:shd w:val="clear" w:color="auto" w:fill="262626"/>
          </w:tcPr>
          <w:p>
            <w:pPr>
              <w:jc w:val="right"/>
              <w:ind w:right="67"/>
              <w:spacing w:after="0"/>
              <w:rPr>
                <w:sz w:val="20"/>
                <w:szCs w:val="20"/>
                <w:color w:val="auto"/>
              </w:rPr>
            </w:pPr>
            <w:r>
              <w:rPr>
                <w:rFonts w:ascii="Arial" w:cs="Arial" w:eastAsia="Arial" w:hAnsi="Arial"/>
                <w:sz w:val="15"/>
                <w:szCs w:val="15"/>
                <w:b w:val="1"/>
                <w:bCs w:val="1"/>
                <w:color w:val="FFFFFF"/>
              </w:rPr>
              <w:t>At year end</w:t>
            </w:r>
          </w:p>
        </w:tc>
        <w:tc>
          <w:tcPr>
            <w:tcW w:w="940" w:type="dxa"/>
            <w:vAlign w:val="bottom"/>
            <w:tcBorders>
              <w:right w:val="single" w:sz="8" w:color="262626"/>
            </w:tcBorders>
            <w:vMerge w:val="restart"/>
            <w:shd w:val="clear" w:color="auto" w:fill="262626"/>
          </w:tcPr>
          <w:p>
            <w:pPr>
              <w:jc w:val="right"/>
              <w:ind w:right="67"/>
              <w:spacing w:after="0"/>
              <w:rPr>
                <w:sz w:val="20"/>
                <w:szCs w:val="20"/>
                <w:color w:val="auto"/>
              </w:rPr>
            </w:pPr>
            <w:r>
              <w:rPr>
                <w:rFonts w:ascii="Arial" w:cs="Arial" w:eastAsia="Arial" w:hAnsi="Arial"/>
                <w:sz w:val="15"/>
                <w:szCs w:val="15"/>
                <w:b w:val="1"/>
                <w:bCs w:val="1"/>
                <w:color w:val="FFFFFF"/>
              </w:rPr>
              <w:t>At age 65</w:t>
            </w:r>
          </w:p>
        </w:tc>
        <w:tc>
          <w:tcPr>
            <w:tcW w:w="1480" w:type="dxa"/>
            <w:vAlign w:val="bottom"/>
            <w:tcBorders>
              <w:right w:val="single" w:sz="8" w:color="262626"/>
            </w:tcBorders>
            <w:shd w:val="clear" w:color="auto" w:fill="262626"/>
          </w:tcPr>
          <w:p>
            <w:pPr>
              <w:jc w:val="right"/>
              <w:ind w:right="66"/>
              <w:spacing w:after="0" w:line="161" w:lineRule="exact"/>
              <w:rPr>
                <w:sz w:val="20"/>
                <w:szCs w:val="20"/>
                <w:color w:val="auto"/>
              </w:rPr>
            </w:pPr>
            <w:r>
              <w:rPr>
                <w:rFonts w:ascii="Arial" w:cs="Arial" w:eastAsia="Arial" w:hAnsi="Arial"/>
                <w:sz w:val="15"/>
                <w:szCs w:val="15"/>
                <w:b w:val="1"/>
                <w:bCs w:val="1"/>
                <w:color w:val="FFFFFF"/>
              </w:rPr>
              <w:t>benefit</w:t>
            </w:r>
          </w:p>
        </w:tc>
        <w:tc>
          <w:tcPr>
            <w:tcW w:w="1320" w:type="dxa"/>
            <w:vAlign w:val="bottom"/>
            <w:tcBorders>
              <w:right w:val="single" w:sz="8" w:color="262626"/>
            </w:tcBorders>
            <w:vMerge w:val="continue"/>
            <w:shd w:val="clear" w:color="auto" w:fill="262626"/>
          </w:tcPr>
          <w:p>
            <w:pPr>
              <w:spacing w:after="0"/>
              <w:rPr>
                <w:sz w:val="13"/>
                <w:szCs w:val="13"/>
                <w:color w:val="auto"/>
              </w:rPr>
            </w:pPr>
          </w:p>
        </w:tc>
        <w:tc>
          <w:tcPr>
            <w:tcW w:w="1300" w:type="dxa"/>
            <w:vAlign w:val="bottom"/>
            <w:tcBorders>
              <w:right w:val="single" w:sz="8" w:color="262626"/>
            </w:tcBorders>
            <w:shd w:val="clear" w:color="auto" w:fill="262626"/>
          </w:tcPr>
          <w:p>
            <w:pPr>
              <w:jc w:val="right"/>
              <w:ind w:right="66"/>
              <w:spacing w:after="0" w:line="161" w:lineRule="exact"/>
              <w:rPr>
                <w:sz w:val="20"/>
                <w:szCs w:val="20"/>
                <w:color w:val="auto"/>
              </w:rPr>
            </w:pPr>
            <w:r>
              <w:rPr>
                <w:rFonts w:ascii="Arial" w:cs="Arial" w:eastAsia="Arial" w:hAnsi="Arial"/>
                <w:sz w:val="15"/>
                <w:szCs w:val="15"/>
                <w:b w:val="1"/>
                <w:bCs w:val="1"/>
                <w:color w:val="FFFFFF"/>
              </w:rPr>
              <w:t>compensatory</w:t>
            </w:r>
          </w:p>
        </w:tc>
        <w:tc>
          <w:tcPr>
            <w:tcW w:w="1380" w:type="dxa"/>
            <w:vAlign w:val="bottom"/>
            <w:shd w:val="clear" w:color="auto" w:fill="262626"/>
          </w:tcPr>
          <w:p>
            <w:pPr>
              <w:jc w:val="right"/>
              <w:ind w:right="46"/>
              <w:spacing w:after="0" w:line="161" w:lineRule="exact"/>
              <w:rPr>
                <w:sz w:val="20"/>
                <w:szCs w:val="20"/>
                <w:color w:val="auto"/>
              </w:rPr>
            </w:pPr>
            <w:r>
              <w:rPr>
                <w:rFonts w:ascii="Arial" w:cs="Arial" w:eastAsia="Arial" w:hAnsi="Arial"/>
                <w:sz w:val="15"/>
                <w:szCs w:val="15"/>
                <w:b w:val="1"/>
                <w:bCs w:val="1"/>
                <w:color w:val="FFFFFF"/>
              </w:rPr>
              <w:t>benefit</w:t>
            </w:r>
          </w:p>
        </w:tc>
        <w:tc>
          <w:tcPr>
            <w:tcW w:w="0" w:type="dxa"/>
            <w:vAlign w:val="bottom"/>
          </w:tcPr>
          <w:p>
            <w:pPr>
              <w:spacing w:after="0"/>
              <w:rPr>
                <w:sz w:val="1"/>
                <w:szCs w:val="1"/>
                <w:color w:val="auto"/>
              </w:rPr>
            </w:pPr>
          </w:p>
        </w:tc>
      </w:tr>
      <w:tr>
        <w:trPr>
          <w:trHeight w:val="216"/>
        </w:trPr>
        <w:tc>
          <w:tcPr>
            <w:tcW w:w="1960" w:type="dxa"/>
            <w:vAlign w:val="bottom"/>
            <w:tcBorders>
              <w:right w:val="single" w:sz="8" w:color="262626"/>
            </w:tcBorders>
            <w:vMerge w:val="continue"/>
            <w:shd w:val="clear" w:color="auto" w:fill="262626"/>
          </w:tcPr>
          <w:p>
            <w:pPr>
              <w:spacing w:after="0"/>
              <w:rPr>
                <w:sz w:val="18"/>
                <w:szCs w:val="18"/>
                <w:color w:val="auto"/>
              </w:rPr>
            </w:pPr>
          </w:p>
        </w:tc>
        <w:tc>
          <w:tcPr>
            <w:tcW w:w="1460" w:type="dxa"/>
            <w:vAlign w:val="bottom"/>
            <w:tcBorders>
              <w:right w:val="single" w:sz="8" w:color="262626"/>
            </w:tcBorders>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1"/>
                <w:szCs w:val="11"/>
                <w:b w:val="1"/>
                <w:bCs w:val="1"/>
                <w:color w:val="FFFFFF"/>
              </w:rPr>
              <w:t>1</w:t>
            </w:r>
          </w:p>
        </w:tc>
        <w:tc>
          <w:tcPr>
            <w:tcW w:w="1080" w:type="dxa"/>
            <w:vAlign w:val="bottom"/>
            <w:tcBorders>
              <w:right w:val="single" w:sz="8" w:color="262626"/>
            </w:tcBorders>
            <w:vMerge w:val="continue"/>
            <w:shd w:val="clear" w:color="auto" w:fill="262626"/>
          </w:tcPr>
          <w:p>
            <w:pPr>
              <w:spacing w:after="0"/>
              <w:rPr>
                <w:sz w:val="18"/>
                <w:szCs w:val="18"/>
                <w:color w:val="auto"/>
              </w:rPr>
            </w:pPr>
          </w:p>
        </w:tc>
        <w:tc>
          <w:tcPr>
            <w:tcW w:w="940" w:type="dxa"/>
            <w:vAlign w:val="bottom"/>
            <w:tcBorders>
              <w:right w:val="single" w:sz="8" w:color="262626"/>
            </w:tcBorders>
            <w:vMerge w:val="continue"/>
            <w:shd w:val="clear" w:color="auto" w:fill="262626"/>
          </w:tcPr>
          <w:p>
            <w:pPr>
              <w:spacing w:after="0"/>
              <w:rPr>
                <w:sz w:val="18"/>
                <w:szCs w:val="18"/>
                <w:color w:val="auto"/>
              </w:rPr>
            </w:pPr>
          </w:p>
        </w:tc>
        <w:tc>
          <w:tcPr>
            <w:tcW w:w="1480" w:type="dxa"/>
            <w:vAlign w:val="bottom"/>
            <w:tcBorders>
              <w:right w:val="single" w:sz="8" w:color="262626"/>
            </w:tcBorders>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obligation ($)</w:t>
            </w:r>
            <w:r>
              <w:rPr>
                <w:rFonts w:ascii="Arial" w:cs="Arial" w:eastAsia="Arial" w:hAnsi="Arial"/>
                <w:sz w:val="11"/>
                <w:szCs w:val="11"/>
                <w:b w:val="1"/>
                <w:bCs w:val="1"/>
                <w:color w:val="FFFFFF"/>
              </w:rPr>
              <w:t>3</w:t>
            </w:r>
          </w:p>
        </w:tc>
        <w:tc>
          <w:tcPr>
            <w:tcW w:w="1320" w:type="dxa"/>
            <w:vAlign w:val="bottom"/>
            <w:tcBorders>
              <w:right w:val="single" w:sz="8" w:color="262626"/>
            </w:tcBorders>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change ($)</w:t>
            </w:r>
            <w:r>
              <w:rPr>
                <w:rFonts w:ascii="Arial" w:cs="Arial" w:eastAsia="Arial" w:hAnsi="Arial"/>
                <w:sz w:val="11"/>
                <w:szCs w:val="11"/>
                <w:b w:val="1"/>
                <w:bCs w:val="1"/>
                <w:color w:val="FFFFFF"/>
              </w:rPr>
              <w:t>4</w:t>
            </w:r>
          </w:p>
        </w:tc>
        <w:tc>
          <w:tcPr>
            <w:tcW w:w="1300" w:type="dxa"/>
            <w:vAlign w:val="bottom"/>
            <w:tcBorders>
              <w:right w:val="single" w:sz="8" w:color="262626"/>
            </w:tcBorders>
            <w:shd w:val="clear" w:color="auto" w:fill="262626"/>
          </w:tcPr>
          <w:p>
            <w:pPr>
              <w:jc w:val="right"/>
              <w:ind w:right="66"/>
              <w:spacing w:after="0"/>
              <w:rPr>
                <w:sz w:val="20"/>
                <w:szCs w:val="20"/>
                <w:color w:val="auto"/>
              </w:rPr>
            </w:pPr>
            <w:r>
              <w:rPr>
                <w:rFonts w:ascii="Arial" w:cs="Arial" w:eastAsia="Arial" w:hAnsi="Arial"/>
                <w:sz w:val="15"/>
                <w:szCs w:val="15"/>
                <w:b w:val="1"/>
                <w:bCs w:val="1"/>
                <w:color w:val="FFFFFF"/>
              </w:rPr>
              <w:t>change ($)</w:t>
            </w:r>
            <w:r>
              <w:rPr>
                <w:rFonts w:ascii="Arial" w:cs="Arial" w:eastAsia="Arial" w:hAnsi="Arial"/>
                <w:sz w:val="11"/>
                <w:szCs w:val="11"/>
                <w:b w:val="1"/>
                <w:bCs w:val="1"/>
                <w:color w:val="FFFFFF"/>
              </w:rPr>
              <w:t>5</w:t>
            </w:r>
          </w:p>
        </w:tc>
        <w:tc>
          <w:tcPr>
            <w:tcW w:w="1380" w:type="dxa"/>
            <w:vAlign w:val="bottom"/>
            <w:shd w:val="clear" w:color="auto" w:fill="262626"/>
          </w:tcPr>
          <w:p>
            <w:pPr>
              <w:jc w:val="right"/>
              <w:ind w:right="46"/>
              <w:spacing w:after="0"/>
              <w:rPr>
                <w:sz w:val="20"/>
                <w:szCs w:val="20"/>
                <w:color w:val="auto"/>
              </w:rPr>
            </w:pPr>
            <w:r>
              <w:rPr>
                <w:rFonts w:ascii="Arial" w:cs="Arial" w:eastAsia="Arial" w:hAnsi="Arial"/>
                <w:sz w:val="15"/>
                <w:szCs w:val="15"/>
                <w:b w:val="1"/>
                <w:bCs w:val="1"/>
                <w:color w:val="FFFFFF"/>
              </w:rPr>
              <w:t>obligation ($)</w:t>
            </w:r>
            <w:r>
              <w:rPr>
                <w:rFonts w:ascii="Arial" w:cs="Arial" w:eastAsia="Arial" w:hAnsi="Arial"/>
                <w:sz w:val="11"/>
                <w:szCs w:val="11"/>
                <w:b w:val="1"/>
                <w:bCs w:val="1"/>
                <w:color w:val="FFFFFF"/>
              </w:rPr>
              <w:t>6</w:t>
            </w:r>
          </w:p>
        </w:tc>
        <w:tc>
          <w:tcPr>
            <w:tcW w:w="0" w:type="dxa"/>
            <w:vAlign w:val="bottom"/>
          </w:tcPr>
          <w:p>
            <w:pPr>
              <w:spacing w:after="0"/>
              <w:rPr>
                <w:sz w:val="1"/>
                <w:szCs w:val="1"/>
                <w:color w:val="auto"/>
              </w:rPr>
            </w:pPr>
          </w:p>
        </w:tc>
      </w:tr>
      <w:tr>
        <w:trPr>
          <w:trHeight w:val="64"/>
        </w:trPr>
        <w:tc>
          <w:tcPr>
            <w:tcW w:w="1960" w:type="dxa"/>
            <w:vAlign w:val="bottom"/>
            <w:tcBorders>
              <w:right w:val="single" w:sz="8" w:color="262626"/>
            </w:tcBorders>
            <w:shd w:val="clear" w:color="auto" w:fill="262626"/>
          </w:tcPr>
          <w:p>
            <w:pPr>
              <w:spacing w:after="0"/>
              <w:rPr>
                <w:sz w:val="5"/>
                <w:szCs w:val="5"/>
                <w:color w:val="auto"/>
              </w:rPr>
            </w:pPr>
          </w:p>
        </w:tc>
        <w:tc>
          <w:tcPr>
            <w:tcW w:w="1460" w:type="dxa"/>
            <w:vAlign w:val="bottom"/>
            <w:tcBorders>
              <w:right w:val="single" w:sz="8" w:color="262626"/>
            </w:tcBorders>
            <w:shd w:val="clear" w:color="auto" w:fill="262626"/>
          </w:tcPr>
          <w:p>
            <w:pPr>
              <w:spacing w:after="0"/>
              <w:rPr>
                <w:sz w:val="5"/>
                <w:szCs w:val="5"/>
                <w:color w:val="auto"/>
              </w:rPr>
            </w:pPr>
          </w:p>
        </w:tc>
        <w:tc>
          <w:tcPr>
            <w:tcW w:w="1080" w:type="dxa"/>
            <w:vAlign w:val="bottom"/>
            <w:tcBorders>
              <w:right w:val="single" w:sz="8" w:color="262626"/>
            </w:tcBorders>
            <w:shd w:val="clear" w:color="auto" w:fill="262626"/>
          </w:tcPr>
          <w:p>
            <w:pPr>
              <w:spacing w:after="0"/>
              <w:rPr>
                <w:sz w:val="5"/>
                <w:szCs w:val="5"/>
                <w:color w:val="auto"/>
              </w:rPr>
            </w:pPr>
          </w:p>
        </w:tc>
        <w:tc>
          <w:tcPr>
            <w:tcW w:w="940" w:type="dxa"/>
            <w:vAlign w:val="bottom"/>
            <w:tcBorders>
              <w:right w:val="single" w:sz="8" w:color="262626"/>
            </w:tcBorders>
            <w:shd w:val="clear" w:color="auto" w:fill="262626"/>
          </w:tcPr>
          <w:p>
            <w:pPr>
              <w:spacing w:after="0"/>
              <w:rPr>
                <w:sz w:val="5"/>
                <w:szCs w:val="5"/>
                <w:color w:val="auto"/>
              </w:rPr>
            </w:pPr>
          </w:p>
        </w:tc>
        <w:tc>
          <w:tcPr>
            <w:tcW w:w="1480" w:type="dxa"/>
            <w:vAlign w:val="bottom"/>
            <w:tcBorders>
              <w:right w:val="single" w:sz="8" w:color="262626"/>
            </w:tcBorders>
            <w:shd w:val="clear" w:color="auto" w:fill="262626"/>
          </w:tcPr>
          <w:p>
            <w:pPr>
              <w:spacing w:after="0"/>
              <w:rPr>
                <w:sz w:val="5"/>
                <w:szCs w:val="5"/>
                <w:color w:val="auto"/>
              </w:rPr>
            </w:pPr>
          </w:p>
        </w:tc>
        <w:tc>
          <w:tcPr>
            <w:tcW w:w="1320" w:type="dxa"/>
            <w:vAlign w:val="bottom"/>
            <w:tcBorders>
              <w:right w:val="single" w:sz="8" w:color="262626"/>
            </w:tcBorders>
            <w:shd w:val="clear" w:color="auto" w:fill="262626"/>
          </w:tcPr>
          <w:p>
            <w:pPr>
              <w:spacing w:after="0"/>
              <w:rPr>
                <w:sz w:val="5"/>
                <w:szCs w:val="5"/>
                <w:color w:val="auto"/>
              </w:rPr>
            </w:pPr>
          </w:p>
        </w:tc>
        <w:tc>
          <w:tcPr>
            <w:tcW w:w="1300" w:type="dxa"/>
            <w:vAlign w:val="bottom"/>
            <w:tcBorders>
              <w:right w:val="single" w:sz="8" w:color="262626"/>
            </w:tcBorders>
            <w:shd w:val="clear" w:color="auto" w:fill="262626"/>
          </w:tcPr>
          <w:p>
            <w:pPr>
              <w:spacing w:after="0"/>
              <w:rPr>
                <w:sz w:val="5"/>
                <w:szCs w:val="5"/>
                <w:color w:val="auto"/>
              </w:rPr>
            </w:pPr>
          </w:p>
        </w:tc>
        <w:tc>
          <w:tcPr>
            <w:tcW w:w="1380" w:type="dxa"/>
            <w:vAlign w:val="bottom"/>
            <w:shd w:val="clear" w:color="auto" w:fill="262626"/>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96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Mike Eastwood</w:t>
            </w:r>
          </w:p>
        </w:tc>
        <w:tc>
          <w:tcPr>
            <w:tcW w:w="146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13.58</w:t>
            </w:r>
          </w:p>
        </w:tc>
        <w:tc>
          <w:tcPr>
            <w:tcW w:w="1080" w:type="dxa"/>
            <w:vAlign w:val="bottom"/>
            <w:tcBorders>
              <w:right w:val="single" w:sz="8" w:color="AFAFAF"/>
            </w:tcBorders>
          </w:tcPr>
          <w:p>
            <w:pPr>
              <w:jc w:val="right"/>
              <w:ind w:right="67"/>
              <w:spacing w:after="0"/>
              <w:rPr>
                <w:sz w:val="20"/>
                <w:szCs w:val="20"/>
                <w:color w:val="auto"/>
              </w:rPr>
            </w:pPr>
            <w:r>
              <w:rPr>
                <w:rFonts w:ascii="Arial" w:cs="Arial" w:eastAsia="Arial" w:hAnsi="Arial"/>
                <w:sz w:val="14"/>
                <w:szCs w:val="14"/>
                <w:color w:val="auto"/>
              </w:rPr>
              <w:t>58,000</w:t>
            </w:r>
          </w:p>
        </w:tc>
        <w:tc>
          <w:tcPr>
            <w:tcW w:w="940" w:type="dxa"/>
            <w:vAlign w:val="bottom"/>
            <w:tcBorders>
              <w:right w:val="single" w:sz="8" w:color="AFAFAF"/>
            </w:tcBorders>
          </w:tcPr>
          <w:p>
            <w:pPr>
              <w:jc w:val="right"/>
              <w:ind w:right="67"/>
              <w:spacing w:after="0"/>
              <w:rPr>
                <w:sz w:val="20"/>
                <w:szCs w:val="20"/>
                <w:color w:val="auto"/>
              </w:rPr>
            </w:pPr>
            <w:r>
              <w:rPr>
                <w:rFonts w:ascii="Arial" w:cs="Arial" w:eastAsia="Arial" w:hAnsi="Arial"/>
                <w:sz w:val="14"/>
                <w:szCs w:val="14"/>
                <w:color w:val="auto"/>
              </w:rPr>
              <w:t>58,000</w:t>
            </w:r>
          </w:p>
        </w:tc>
        <w:tc>
          <w:tcPr>
            <w:tcW w:w="148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446,000</w:t>
            </w:r>
          </w:p>
        </w:tc>
        <w:tc>
          <w:tcPr>
            <w:tcW w:w="132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45,000</w:t>
            </w:r>
          </w:p>
        </w:tc>
        <w:tc>
          <w:tcPr>
            <w:tcW w:w="1380" w:type="dxa"/>
            <w:vAlign w:val="bottom"/>
          </w:tcPr>
          <w:p>
            <w:pPr>
              <w:jc w:val="right"/>
              <w:ind w:right="46"/>
              <w:spacing w:after="0"/>
              <w:rPr>
                <w:sz w:val="20"/>
                <w:szCs w:val="20"/>
                <w:color w:val="auto"/>
              </w:rPr>
            </w:pPr>
            <w:r>
              <w:rPr>
                <w:rFonts w:ascii="Arial" w:cs="Arial" w:eastAsia="Arial" w:hAnsi="Arial"/>
                <w:sz w:val="14"/>
                <w:szCs w:val="14"/>
                <w:color w:val="auto"/>
              </w:rPr>
              <w:t>491,000</w:t>
            </w:r>
          </w:p>
        </w:tc>
        <w:tc>
          <w:tcPr>
            <w:tcW w:w="0" w:type="dxa"/>
            <w:vAlign w:val="bottom"/>
          </w:tcPr>
          <w:p>
            <w:pPr>
              <w:spacing w:after="0"/>
              <w:rPr>
                <w:sz w:val="1"/>
                <w:szCs w:val="1"/>
                <w:color w:val="auto"/>
              </w:rPr>
            </w:pPr>
          </w:p>
        </w:tc>
      </w:tr>
      <w:tr>
        <w:trPr>
          <w:trHeight w:val="42"/>
        </w:trPr>
        <w:tc>
          <w:tcPr>
            <w:tcW w:w="1960" w:type="dxa"/>
            <w:vAlign w:val="bottom"/>
            <w:tcBorders>
              <w:bottom w:val="single" w:sz="8" w:color="AFAFAF"/>
              <w:right w:val="single" w:sz="8" w:color="AFAFAF"/>
            </w:tcBorders>
          </w:tcPr>
          <w:p>
            <w:pPr>
              <w:spacing w:after="0"/>
              <w:rPr>
                <w:sz w:val="3"/>
                <w:szCs w:val="3"/>
                <w:color w:val="auto"/>
              </w:rPr>
            </w:pPr>
          </w:p>
        </w:tc>
        <w:tc>
          <w:tcPr>
            <w:tcW w:w="1460" w:type="dxa"/>
            <w:vAlign w:val="bottom"/>
            <w:tcBorders>
              <w:bottom w:val="single" w:sz="8" w:color="AFAFAF"/>
              <w:right w:val="single" w:sz="8" w:color="AFAFAF"/>
            </w:tcBorders>
          </w:tcPr>
          <w:p>
            <w:pPr>
              <w:spacing w:after="0"/>
              <w:rPr>
                <w:sz w:val="3"/>
                <w:szCs w:val="3"/>
                <w:color w:val="auto"/>
              </w:rPr>
            </w:pPr>
          </w:p>
        </w:tc>
        <w:tc>
          <w:tcPr>
            <w:tcW w:w="1080" w:type="dxa"/>
            <w:vAlign w:val="bottom"/>
            <w:tcBorders>
              <w:bottom w:val="single" w:sz="8" w:color="AFAFAF"/>
              <w:right w:val="single" w:sz="8" w:color="AFAFAF"/>
            </w:tcBorders>
          </w:tcPr>
          <w:p>
            <w:pPr>
              <w:spacing w:after="0"/>
              <w:rPr>
                <w:sz w:val="3"/>
                <w:szCs w:val="3"/>
                <w:color w:val="auto"/>
              </w:rPr>
            </w:pPr>
          </w:p>
        </w:tc>
        <w:tc>
          <w:tcPr>
            <w:tcW w:w="940" w:type="dxa"/>
            <w:vAlign w:val="bottom"/>
            <w:tcBorders>
              <w:bottom w:val="single" w:sz="8" w:color="AFAFAF"/>
              <w:right w:val="single" w:sz="8" w:color="AFAFAF"/>
            </w:tcBorders>
          </w:tcPr>
          <w:p>
            <w:pPr>
              <w:spacing w:after="0"/>
              <w:rPr>
                <w:sz w:val="3"/>
                <w:szCs w:val="3"/>
                <w:color w:val="auto"/>
              </w:rPr>
            </w:pPr>
          </w:p>
        </w:tc>
        <w:tc>
          <w:tcPr>
            <w:tcW w:w="1480" w:type="dxa"/>
            <w:vAlign w:val="bottom"/>
            <w:tcBorders>
              <w:bottom w:val="single" w:sz="8" w:color="AFAFAF"/>
              <w:right w:val="single" w:sz="8" w:color="AFAFAF"/>
            </w:tcBorders>
          </w:tcPr>
          <w:p>
            <w:pPr>
              <w:spacing w:after="0"/>
              <w:rPr>
                <w:sz w:val="3"/>
                <w:szCs w:val="3"/>
                <w:color w:val="auto"/>
              </w:rPr>
            </w:pPr>
          </w:p>
        </w:tc>
        <w:tc>
          <w:tcPr>
            <w:tcW w:w="1320" w:type="dxa"/>
            <w:vAlign w:val="bottom"/>
            <w:tcBorders>
              <w:bottom w:val="single" w:sz="8" w:color="AFAFAF"/>
              <w:right w:val="single" w:sz="8" w:color="AFAFAF"/>
            </w:tcBorders>
          </w:tcPr>
          <w:p>
            <w:pPr>
              <w:spacing w:after="0"/>
              <w:rPr>
                <w:sz w:val="3"/>
                <w:szCs w:val="3"/>
                <w:color w:val="auto"/>
              </w:rPr>
            </w:pPr>
          </w:p>
        </w:tc>
        <w:tc>
          <w:tcPr>
            <w:tcW w:w="1300" w:type="dxa"/>
            <w:vAlign w:val="bottom"/>
            <w:tcBorders>
              <w:bottom w:val="single" w:sz="8" w:color="AFAFAF"/>
              <w:right w:val="single" w:sz="8" w:color="AFAFAF"/>
            </w:tcBorders>
          </w:tcPr>
          <w:p>
            <w:pPr>
              <w:spacing w:after="0"/>
              <w:rPr>
                <w:sz w:val="3"/>
                <w:szCs w:val="3"/>
                <w:color w:val="auto"/>
              </w:rPr>
            </w:pPr>
          </w:p>
        </w:tc>
        <w:tc>
          <w:tcPr>
            <w:tcW w:w="13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96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Kirsty Roth</w:t>
            </w:r>
          </w:p>
        </w:tc>
        <w:tc>
          <w:tcPr>
            <w:tcW w:w="146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3.33</w:t>
            </w:r>
          </w:p>
        </w:tc>
        <w:tc>
          <w:tcPr>
            <w:tcW w:w="1080" w:type="dxa"/>
            <w:vAlign w:val="bottom"/>
            <w:tcBorders>
              <w:right w:val="single" w:sz="8" w:color="AFAFAF"/>
            </w:tcBorders>
          </w:tcPr>
          <w:p>
            <w:pPr>
              <w:jc w:val="right"/>
              <w:ind w:right="67"/>
              <w:spacing w:after="0"/>
              <w:rPr>
                <w:sz w:val="20"/>
                <w:szCs w:val="20"/>
                <w:color w:val="auto"/>
              </w:rPr>
            </w:pPr>
            <w:r>
              <w:rPr>
                <w:rFonts w:ascii="Arial" w:cs="Arial" w:eastAsia="Arial" w:hAnsi="Arial"/>
                <w:sz w:val="14"/>
                <w:szCs w:val="14"/>
                <w:color w:val="auto"/>
              </w:rPr>
              <w:t>47,125</w:t>
            </w:r>
          </w:p>
        </w:tc>
        <w:tc>
          <w:tcPr>
            <w:tcW w:w="940" w:type="dxa"/>
            <w:vAlign w:val="bottom"/>
            <w:tcBorders>
              <w:right w:val="single" w:sz="8" w:color="AFAFAF"/>
            </w:tcBorders>
          </w:tcPr>
          <w:p>
            <w:pPr>
              <w:jc w:val="right"/>
              <w:ind w:right="67"/>
              <w:spacing w:after="0"/>
              <w:rPr>
                <w:sz w:val="20"/>
                <w:szCs w:val="20"/>
                <w:color w:val="auto"/>
              </w:rPr>
            </w:pPr>
            <w:r>
              <w:rPr>
                <w:rFonts w:ascii="Arial" w:cs="Arial" w:eastAsia="Arial" w:hAnsi="Arial"/>
                <w:sz w:val="14"/>
                <w:szCs w:val="14"/>
                <w:color w:val="auto"/>
              </w:rPr>
              <w:t>231,889</w:t>
            </w:r>
          </w:p>
        </w:tc>
        <w:tc>
          <w:tcPr>
            <w:tcW w:w="148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522,471</w:t>
            </w:r>
          </w:p>
        </w:tc>
        <w:tc>
          <w:tcPr>
            <w:tcW w:w="132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125,499</w:t>
            </w:r>
          </w:p>
        </w:tc>
        <w:tc>
          <w:tcPr>
            <w:tcW w:w="1300" w:type="dxa"/>
            <w:vAlign w:val="bottom"/>
            <w:tcBorders>
              <w:right w:val="single" w:sz="8" w:color="AFAFAF"/>
            </w:tcBorders>
          </w:tcPr>
          <w:p>
            <w:pPr>
              <w:jc w:val="right"/>
              <w:ind w:right="66"/>
              <w:spacing w:after="0"/>
              <w:rPr>
                <w:sz w:val="20"/>
                <w:szCs w:val="20"/>
                <w:color w:val="auto"/>
              </w:rPr>
            </w:pPr>
            <w:r>
              <w:rPr>
                <w:rFonts w:ascii="Arial" w:cs="Arial" w:eastAsia="Arial" w:hAnsi="Arial"/>
                <w:sz w:val="14"/>
                <w:szCs w:val="14"/>
                <w:color w:val="auto"/>
              </w:rPr>
              <w:t>143,585</w:t>
            </w:r>
          </w:p>
        </w:tc>
        <w:tc>
          <w:tcPr>
            <w:tcW w:w="1380" w:type="dxa"/>
            <w:vAlign w:val="bottom"/>
          </w:tcPr>
          <w:p>
            <w:pPr>
              <w:jc w:val="right"/>
              <w:ind w:right="46"/>
              <w:spacing w:after="0"/>
              <w:rPr>
                <w:sz w:val="20"/>
                <w:szCs w:val="20"/>
                <w:color w:val="auto"/>
              </w:rPr>
            </w:pPr>
            <w:r>
              <w:rPr>
                <w:rFonts w:ascii="Arial" w:cs="Arial" w:eastAsia="Arial" w:hAnsi="Arial"/>
                <w:sz w:val="14"/>
                <w:szCs w:val="14"/>
                <w:color w:val="auto"/>
              </w:rPr>
              <w:t>791,556</w:t>
            </w:r>
          </w:p>
        </w:tc>
        <w:tc>
          <w:tcPr>
            <w:tcW w:w="0" w:type="dxa"/>
            <w:vAlign w:val="bottom"/>
          </w:tcPr>
          <w:p>
            <w:pPr>
              <w:spacing w:after="0"/>
              <w:rPr>
                <w:sz w:val="1"/>
                <w:szCs w:val="1"/>
                <w:color w:val="auto"/>
              </w:rPr>
            </w:pPr>
          </w:p>
        </w:tc>
      </w:tr>
      <w:tr>
        <w:trPr>
          <w:trHeight w:val="42"/>
        </w:trPr>
        <w:tc>
          <w:tcPr>
            <w:tcW w:w="1960" w:type="dxa"/>
            <w:vAlign w:val="bottom"/>
            <w:tcBorders>
              <w:bottom w:val="single" w:sz="8" w:color="B94831"/>
              <w:right w:val="single" w:sz="8" w:color="AFAFAF"/>
            </w:tcBorders>
          </w:tcPr>
          <w:p>
            <w:pPr>
              <w:spacing w:after="0"/>
              <w:rPr>
                <w:sz w:val="3"/>
                <w:szCs w:val="3"/>
                <w:color w:val="auto"/>
              </w:rPr>
            </w:pPr>
          </w:p>
        </w:tc>
        <w:tc>
          <w:tcPr>
            <w:tcW w:w="1460" w:type="dxa"/>
            <w:vAlign w:val="bottom"/>
            <w:tcBorders>
              <w:bottom w:val="single" w:sz="8" w:color="B94831"/>
              <w:right w:val="single" w:sz="8" w:color="AFAFAF"/>
            </w:tcBorders>
          </w:tcPr>
          <w:p>
            <w:pPr>
              <w:spacing w:after="0"/>
              <w:rPr>
                <w:sz w:val="3"/>
                <w:szCs w:val="3"/>
                <w:color w:val="auto"/>
              </w:rPr>
            </w:pPr>
          </w:p>
        </w:tc>
        <w:tc>
          <w:tcPr>
            <w:tcW w:w="1080" w:type="dxa"/>
            <w:vAlign w:val="bottom"/>
            <w:tcBorders>
              <w:bottom w:val="single" w:sz="8" w:color="B94831"/>
              <w:right w:val="single" w:sz="8" w:color="AFAFAF"/>
            </w:tcBorders>
          </w:tcPr>
          <w:p>
            <w:pPr>
              <w:spacing w:after="0"/>
              <w:rPr>
                <w:sz w:val="3"/>
                <w:szCs w:val="3"/>
                <w:color w:val="auto"/>
              </w:rPr>
            </w:pPr>
          </w:p>
        </w:tc>
        <w:tc>
          <w:tcPr>
            <w:tcW w:w="940" w:type="dxa"/>
            <w:vAlign w:val="bottom"/>
            <w:tcBorders>
              <w:bottom w:val="single" w:sz="8" w:color="B94831"/>
              <w:right w:val="single" w:sz="8" w:color="AFAFAF"/>
            </w:tcBorders>
          </w:tcPr>
          <w:p>
            <w:pPr>
              <w:spacing w:after="0"/>
              <w:rPr>
                <w:sz w:val="3"/>
                <w:szCs w:val="3"/>
                <w:color w:val="auto"/>
              </w:rPr>
            </w:pPr>
          </w:p>
        </w:tc>
        <w:tc>
          <w:tcPr>
            <w:tcW w:w="1480" w:type="dxa"/>
            <w:vAlign w:val="bottom"/>
            <w:tcBorders>
              <w:bottom w:val="single" w:sz="8" w:color="B94831"/>
              <w:right w:val="single" w:sz="8" w:color="AFAFAF"/>
            </w:tcBorders>
          </w:tcPr>
          <w:p>
            <w:pPr>
              <w:spacing w:after="0"/>
              <w:rPr>
                <w:sz w:val="3"/>
                <w:szCs w:val="3"/>
                <w:color w:val="auto"/>
              </w:rPr>
            </w:pPr>
          </w:p>
        </w:tc>
        <w:tc>
          <w:tcPr>
            <w:tcW w:w="1320" w:type="dxa"/>
            <w:vAlign w:val="bottom"/>
            <w:tcBorders>
              <w:bottom w:val="single" w:sz="8" w:color="B94831"/>
              <w:right w:val="single" w:sz="8" w:color="AFAFAF"/>
            </w:tcBorders>
          </w:tcPr>
          <w:p>
            <w:pPr>
              <w:spacing w:after="0"/>
              <w:rPr>
                <w:sz w:val="3"/>
                <w:szCs w:val="3"/>
                <w:color w:val="auto"/>
              </w:rPr>
            </w:pPr>
          </w:p>
        </w:tc>
        <w:tc>
          <w:tcPr>
            <w:tcW w:w="1300" w:type="dxa"/>
            <w:vAlign w:val="bottom"/>
            <w:tcBorders>
              <w:bottom w:val="single" w:sz="8" w:color="B94831"/>
              <w:right w:val="single" w:sz="8" w:color="AFAFAF"/>
            </w:tcBorders>
          </w:tcPr>
          <w:p>
            <w:pPr>
              <w:spacing w:after="0"/>
              <w:rPr>
                <w:sz w:val="3"/>
                <w:szCs w:val="3"/>
                <w:color w:val="auto"/>
              </w:rPr>
            </w:pPr>
          </w:p>
        </w:tc>
        <w:tc>
          <w:tcPr>
            <w:tcW w:w="1380" w:type="dxa"/>
            <w:vAlign w:val="bottom"/>
            <w:tcBorders>
              <w:bottom w:val="single" w:sz="8" w:color="B9483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480" w:hanging="179"/>
        <w:spacing w:after="0" w:line="245" w:lineRule="auto"/>
        <w:tabs>
          <w:tab w:leader="none" w:pos="460" w:val="left"/>
        </w:tabs>
        <w:rPr>
          <w:sz w:val="20"/>
          <w:szCs w:val="20"/>
          <w:color w:val="auto"/>
        </w:rPr>
      </w:pPr>
      <w:r>
        <w:rPr>
          <w:rFonts w:ascii="Arial" w:cs="Arial" w:eastAsia="Arial" w:hAnsi="Arial"/>
          <w:sz w:val="13"/>
          <w:szCs w:val="13"/>
          <w:color w:val="auto"/>
        </w:rPr>
        <w:t>1</w:t>
        <w:tab/>
        <w:t>Kirsty Roth has 3.3 years of credited service with Thomson Reuters for her pension plan benefit and an additional 6.0 years of credit service that she earned while participating in a prior employer’s pension plan and which was transferred into the Thomson Reuters plan during 2021. The table above only reflects amounts earned by Kirsty at Thomson Reuters.</w:t>
      </w:r>
    </w:p>
    <w:p>
      <w:pPr>
        <w:spacing w:after="0" w:line="1" w:lineRule="exact"/>
        <w:rPr>
          <w:sz w:val="20"/>
          <w:szCs w:val="20"/>
          <w:color w:val="auto"/>
        </w:rPr>
      </w:pPr>
    </w:p>
    <w:p>
      <w:pPr>
        <w:ind w:left="480" w:right="60" w:hanging="173"/>
        <w:spacing w:after="0" w:line="236" w:lineRule="auto"/>
        <w:tabs>
          <w:tab w:leader="none" w:pos="4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Annual benefits payable at year-end and at age 65 represent the estimated pension earned for all service to date (up to January 1, 2024), and based on total service projected to age 65 (up to January 1, 2024), respectively. Benefits are calculated based on pensionable earnings used for the 2023 actuarial valuations for the Accrued Obligation calculations. Benefits are also based on the terms of current retirement agreements. Benefits payable at year-end do not include any reduction that may apply if a named executive officer</w:t>
      </w:r>
    </w:p>
    <w:p>
      <w:pPr>
        <w:ind w:left="480"/>
        <w:spacing w:after="0" w:line="236" w:lineRule="auto"/>
        <w:rPr>
          <w:sz w:val="20"/>
          <w:szCs w:val="20"/>
          <w:color w:val="auto"/>
        </w:rPr>
      </w:pPr>
      <w:r>
        <w:rPr>
          <w:rFonts w:ascii="Arial" w:cs="Arial" w:eastAsia="Arial" w:hAnsi="Arial"/>
          <w:sz w:val="13"/>
          <w:szCs w:val="13"/>
          <w:color w:val="auto"/>
        </w:rPr>
        <w:t>retires prior to his or her normal retirement date.</w:t>
      </w:r>
    </w:p>
    <w:p>
      <w:pPr>
        <w:ind w:left="480" w:right="140" w:hanging="173"/>
        <w:spacing w:after="0" w:line="236" w:lineRule="auto"/>
        <w:tabs>
          <w:tab w:leader="none" w:pos="4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Mike Eastwood, the accrued obligation represents the value of the projected pension benefit from the pension plan and Retirement Plus plan, earned for all service through December 31, 2022 (measurement date for 2022 year-end disclosure). The key assumptions include a discount rate of 5.40%, a rate of compensation increase of 3.50% and the Pri 2012 mortality table with MP2021 generational improvement scale. For Kirsty Roth, the amount is based on December 31, 2022, IAS 19 reporting assumptions. The key</w:t>
      </w:r>
    </w:p>
    <w:p>
      <w:pPr>
        <w:ind w:left="480" w:right="480"/>
        <w:spacing w:after="0" w:line="236" w:lineRule="auto"/>
        <w:rPr>
          <w:sz w:val="20"/>
          <w:szCs w:val="20"/>
          <w:color w:val="auto"/>
        </w:rPr>
      </w:pPr>
      <w:r>
        <w:rPr>
          <w:rFonts w:ascii="Arial" w:cs="Arial" w:eastAsia="Arial" w:hAnsi="Arial"/>
          <w:sz w:val="13"/>
          <w:szCs w:val="13"/>
          <w:color w:val="auto"/>
        </w:rPr>
        <w:t>assumptions are a discount rate of 2.20%, a rate of compensation increase of 2.25%, a cash balance interest crediting rate of 3.40%, and the BVG 2020 mortality with CMI mortality improvements including a long-term rate of 1.50% per year.</w:t>
      </w:r>
    </w:p>
    <w:p>
      <w:pPr>
        <w:ind w:left="480" w:right="140" w:hanging="173"/>
        <w:spacing w:after="0" w:line="247" w:lineRule="auto"/>
        <w:tabs>
          <w:tab w:leader="none" w:pos="4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amount shown above includes service cost (with interest to end of year) plus plan changes and differences between actual and estimated earnings. For Kirsty Roth, the compensatory change reflects the present value of the company contribution of CHF 112,077, projected until retirement at a growth rate of 3.30% and discounted back to current age at a rate of 1.50% and other actuarial assumptions in accordance with International Accounting Standards 19 rev.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336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91</w:t>
      </w:r>
    </w:p>
    <w:p>
      <w:pPr>
        <w:sectPr>
          <w:pgSz w:w="11900" w:h="16838" w:orient="portrait"/>
          <w:cols w:equalWidth="0" w:num="1">
            <w:col w:w="11080"/>
          </w:cols>
          <w:pgMar w:left="320" w:top="454"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480" w:right="60" w:hanging="173"/>
        <w:spacing w:after="0"/>
        <w:tabs>
          <w:tab w:leader="none" w:pos="4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Mike Eastwood, the amount shown above includes the interest cost on the accrued obligation, the impact of assumption changes as a result of the 2023 experience study performed for both plans, and the impact of the change in discount rate from 5.40% to 5.10%. For Kirsty Roth, the amount shown includes interest on the opening present value of the defined benefit obligation, the impact of the change in discount rate from 2.20% to 1.50%; the change in the cash balance interest crediting rate from 3.40% to 3.30%; and the value of the member’s contributions into the plan during the year.</w:t>
      </w:r>
    </w:p>
    <w:p>
      <w:pPr>
        <w:spacing w:after="0" w:line="2" w:lineRule="exact"/>
        <w:rPr>
          <w:sz w:val="20"/>
          <w:szCs w:val="20"/>
          <w:color w:val="auto"/>
        </w:rPr>
      </w:pPr>
    </w:p>
    <w:p>
      <w:pPr>
        <w:ind w:left="480" w:right="20" w:hanging="173"/>
        <w:spacing w:after="0" w:line="241" w:lineRule="auto"/>
        <w:tabs>
          <w:tab w:leader="none" w:pos="4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For Mike Eastwood, the accrued obligation represents the estimated value of the projected pension benefit from the pension plan and Retirement Plus plan, earned for all service through December 31, 2023 (measurement date for 2023 year-end disclosure). The key assumptions include a discount rate of 5.10% and the Pri2012 mortality table with MP2021 generational improvement scale. For Kirsty Roth, the amount is based on December 31, 2023 IAS 19 reporting assumptions. The key assumptions are a discount rate of 1.50%, a rate of compensation increase of 2.25%, a cash balance interest crediting rate of 3.30%, and the BVG 2020 mortality with CMI mortality improvements including a long-term rate of 1.50% per year.</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Defined Contribution Plans</w:t>
      </w:r>
    </w:p>
    <w:p>
      <w:pPr>
        <w:spacing w:after="0" w:line="51"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Steve Hasker and Mike Eastwood participate in a Canadian defined contribution pension plan (DCPP). Our company contributes 15% of each of their base salary to their individual DCPP account, up to the Canada Income Tax Act (ITA) contribution limit (C$31,560 in 2023). Once the ITA limit is reached, the 15% allocation continues in a Supplemental Retirement Plan (SRP), where a notional account is tracked and held in the executive’s name. There is no cap to the dollar value that can be allocated to the SRP. In 2023, Steve and Mike received SRP allocations of C$192,690 and C$110,003, respectively. The following table sets forth information related to Steve and Mike’s participation in the DCPP and SRP.</w:t>
      </w:r>
    </w:p>
    <w:p>
      <w:pPr>
        <w:spacing w:after="0" w:line="10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980" w:type="dxa"/>
            <w:vAlign w:val="bottom"/>
            <w:vMerge w:val="restart"/>
            <w:shd w:val="clear" w:color="auto" w:fill="262626"/>
          </w:tcPr>
          <w:p>
            <w:pPr>
              <w:ind w:left="100"/>
              <w:spacing w:after="0"/>
              <w:rPr>
                <w:sz w:val="20"/>
                <w:szCs w:val="20"/>
                <w:color w:val="auto"/>
              </w:rPr>
            </w:pPr>
            <w:r>
              <w:rPr>
                <w:rFonts w:ascii="Arial" w:cs="Arial" w:eastAsia="Arial" w:hAnsi="Arial"/>
                <w:sz w:val="15"/>
                <w:szCs w:val="15"/>
                <w:b w:val="1"/>
                <w:bCs w:val="1"/>
                <w:color w:val="FFFFFF"/>
              </w:rPr>
              <w:t>Name</w:t>
            </w:r>
          </w:p>
        </w:tc>
        <w:tc>
          <w:tcPr>
            <w:tcW w:w="1660" w:type="dxa"/>
            <w:vAlign w:val="bottom"/>
            <w:shd w:val="clear" w:color="auto" w:fill="262626"/>
          </w:tcPr>
          <w:p>
            <w:pPr>
              <w:jc w:val="right"/>
              <w:ind w:right="26"/>
              <w:spacing w:after="0"/>
              <w:rPr>
                <w:sz w:val="20"/>
                <w:szCs w:val="20"/>
                <w:color w:val="auto"/>
              </w:rPr>
            </w:pPr>
            <w:r>
              <w:rPr>
                <w:rFonts w:ascii="Arial" w:cs="Arial" w:eastAsia="Arial" w:hAnsi="Arial"/>
                <w:sz w:val="15"/>
                <w:szCs w:val="15"/>
                <w:b w:val="1"/>
                <w:bCs w:val="1"/>
                <w:color w:val="FFFFFF"/>
              </w:rPr>
              <w:t>Accumulated value</w:t>
            </w:r>
          </w:p>
        </w:tc>
        <w:tc>
          <w:tcPr>
            <w:tcW w:w="1520" w:type="dxa"/>
            <w:vAlign w:val="bottom"/>
            <w:vMerge w:val="restart"/>
            <w:shd w:val="clear" w:color="auto" w:fill="262626"/>
          </w:tcPr>
          <w:p>
            <w:pPr>
              <w:jc w:val="right"/>
              <w:ind w:right="47"/>
              <w:spacing w:after="0"/>
              <w:rPr>
                <w:sz w:val="20"/>
                <w:szCs w:val="20"/>
                <w:color w:val="auto"/>
              </w:rPr>
            </w:pPr>
            <w:r>
              <w:rPr>
                <w:rFonts w:ascii="Arial" w:cs="Arial" w:eastAsia="Arial" w:hAnsi="Arial"/>
                <w:sz w:val="15"/>
                <w:szCs w:val="15"/>
                <w:b w:val="1"/>
                <w:bCs w:val="1"/>
                <w:color w:val="FFFFFF"/>
              </w:rPr>
              <w:t>Compensatory ($)</w:t>
            </w:r>
          </w:p>
        </w:tc>
        <w:tc>
          <w:tcPr>
            <w:tcW w:w="1760" w:type="dxa"/>
            <w:vAlign w:val="bottom"/>
            <w:shd w:val="clear" w:color="auto" w:fill="262626"/>
          </w:tcPr>
          <w:p>
            <w:pPr>
              <w:jc w:val="right"/>
              <w:ind w:right="26"/>
              <w:spacing w:after="0"/>
              <w:rPr>
                <w:sz w:val="20"/>
                <w:szCs w:val="20"/>
                <w:color w:val="auto"/>
              </w:rPr>
            </w:pPr>
            <w:r>
              <w:rPr>
                <w:rFonts w:ascii="Arial" w:cs="Arial" w:eastAsia="Arial" w:hAnsi="Arial"/>
                <w:sz w:val="15"/>
                <w:szCs w:val="15"/>
                <w:b w:val="1"/>
                <w:bCs w:val="1"/>
                <w:color w:val="FFFFFF"/>
              </w:rPr>
              <w:t>Accumulated value at</w:t>
            </w:r>
          </w:p>
        </w:tc>
        <w:tc>
          <w:tcPr>
            <w:tcW w:w="0" w:type="dxa"/>
            <w:vAlign w:val="bottom"/>
          </w:tcPr>
          <w:p>
            <w:pPr>
              <w:spacing w:after="0"/>
              <w:rPr>
                <w:sz w:val="1"/>
                <w:szCs w:val="1"/>
                <w:color w:val="auto"/>
              </w:rPr>
            </w:pPr>
          </w:p>
        </w:tc>
      </w:tr>
      <w:tr>
        <w:trPr>
          <w:trHeight w:val="207"/>
        </w:trPr>
        <w:tc>
          <w:tcPr>
            <w:tcW w:w="5980" w:type="dxa"/>
            <w:vAlign w:val="bottom"/>
            <w:vMerge w:val="continue"/>
            <w:shd w:val="clear" w:color="auto" w:fill="262626"/>
          </w:tcPr>
          <w:p>
            <w:pPr>
              <w:spacing w:after="0"/>
              <w:rPr>
                <w:sz w:val="18"/>
                <w:szCs w:val="18"/>
                <w:color w:val="auto"/>
              </w:rPr>
            </w:pPr>
          </w:p>
        </w:tc>
        <w:tc>
          <w:tcPr>
            <w:tcW w:w="1660" w:type="dxa"/>
            <w:vAlign w:val="bottom"/>
            <w:shd w:val="clear" w:color="auto" w:fill="262626"/>
          </w:tcPr>
          <w:p>
            <w:pPr>
              <w:jc w:val="right"/>
              <w:ind w:right="26"/>
              <w:spacing w:after="0"/>
              <w:rPr>
                <w:sz w:val="20"/>
                <w:szCs w:val="20"/>
                <w:color w:val="auto"/>
              </w:rPr>
            </w:pPr>
            <w:r>
              <w:rPr>
                <w:rFonts w:ascii="Arial" w:cs="Arial" w:eastAsia="Arial" w:hAnsi="Arial"/>
                <w:sz w:val="15"/>
                <w:szCs w:val="15"/>
                <w:b w:val="1"/>
                <w:bCs w:val="1"/>
                <w:color w:val="FFFFFF"/>
              </w:rPr>
              <w:t>at start of year ($)</w:t>
            </w:r>
          </w:p>
        </w:tc>
        <w:tc>
          <w:tcPr>
            <w:tcW w:w="1520" w:type="dxa"/>
            <w:vAlign w:val="bottom"/>
            <w:vMerge w:val="continue"/>
            <w:shd w:val="clear" w:color="auto" w:fill="262626"/>
          </w:tcPr>
          <w:p>
            <w:pPr>
              <w:spacing w:after="0"/>
              <w:rPr>
                <w:sz w:val="18"/>
                <w:szCs w:val="18"/>
                <w:color w:val="auto"/>
              </w:rPr>
            </w:pPr>
          </w:p>
        </w:tc>
        <w:tc>
          <w:tcPr>
            <w:tcW w:w="1760" w:type="dxa"/>
            <w:vAlign w:val="bottom"/>
            <w:shd w:val="clear" w:color="auto" w:fill="262626"/>
          </w:tcPr>
          <w:p>
            <w:pPr>
              <w:jc w:val="right"/>
              <w:ind w:right="26"/>
              <w:spacing w:after="0"/>
              <w:rPr>
                <w:sz w:val="20"/>
                <w:szCs w:val="20"/>
                <w:color w:val="auto"/>
              </w:rPr>
            </w:pPr>
            <w:r>
              <w:rPr>
                <w:rFonts w:ascii="Arial" w:cs="Arial" w:eastAsia="Arial" w:hAnsi="Arial"/>
                <w:sz w:val="15"/>
                <w:szCs w:val="15"/>
                <w:b w:val="1"/>
                <w:bCs w:val="1"/>
                <w:color w:val="FFFFFF"/>
              </w:rPr>
              <w:t>year end ($)</w:t>
            </w:r>
            <w:r>
              <w:rPr>
                <w:rFonts w:ascii="Arial" w:cs="Arial" w:eastAsia="Arial" w:hAnsi="Arial"/>
                <w:sz w:val="11"/>
                <w:szCs w:val="11"/>
                <w:b w:val="1"/>
                <w:bCs w:val="1"/>
                <w:color w:val="FFFFFF"/>
              </w:rPr>
              <w:t>1</w:t>
            </w:r>
          </w:p>
        </w:tc>
        <w:tc>
          <w:tcPr>
            <w:tcW w:w="0" w:type="dxa"/>
            <w:vAlign w:val="bottom"/>
          </w:tcPr>
          <w:p>
            <w:pPr>
              <w:spacing w:after="0"/>
              <w:rPr>
                <w:sz w:val="1"/>
                <w:szCs w:val="1"/>
                <w:color w:val="auto"/>
              </w:rPr>
            </w:pPr>
          </w:p>
        </w:tc>
      </w:tr>
      <w:tr>
        <w:trPr>
          <w:trHeight w:val="64"/>
        </w:trPr>
        <w:tc>
          <w:tcPr>
            <w:tcW w:w="5980" w:type="dxa"/>
            <w:vAlign w:val="bottom"/>
            <w:shd w:val="clear" w:color="auto" w:fill="262626"/>
          </w:tcPr>
          <w:p>
            <w:pPr>
              <w:spacing w:after="0"/>
              <w:rPr>
                <w:sz w:val="5"/>
                <w:szCs w:val="5"/>
                <w:color w:val="auto"/>
              </w:rPr>
            </w:pPr>
          </w:p>
        </w:tc>
        <w:tc>
          <w:tcPr>
            <w:tcW w:w="1660" w:type="dxa"/>
            <w:vAlign w:val="bottom"/>
            <w:shd w:val="clear" w:color="auto" w:fill="262626"/>
          </w:tcPr>
          <w:p>
            <w:pPr>
              <w:spacing w:after="0"/>
              <w:rPr>
                <w:sz w:val="5"/>
                <w:szCs w:val="5"/>
                <w:color w:val="auto"/>
              </w:rPr>
            </w:pPr>
          </w:p>
        </w:tc>
        <w:tc>
          <w:tcPr>
            <w:tcW w:w="1520" w:type="dxa"/>
            <w:vAlign w:val="bottom"/>
            <w:shd w:val="clear" w:color="auto" w:fill="262626"/>
          </w:tcPr>
          <w:p>
            <w:pPr>
              <w:spacing w:after="0"/>
              <w:rPr>
                <w:sz w:val="5"/>
                <w:szCs w:val="5"/>
                <w:color w:val="auto"/>
              </w:rPr>
            </w:pPr>
          </w:p>
        </w:tc>
        <w:tc>
          <w:tcPr>
            <w:tcW w:w="1760" w:type="dxa"/>
            <w:vAlign w:val="bottom"/>
            <w:shd w:val="clear" w:color="auto" w:fill="262626"/>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100"/>
              <w:spacing w:after="0"/>
              <w:rPr>
                <w:sz w:val="20"/>
                <w:szCs w:val="20"/>
                <w:color w:val="auto"/>
              </w:rPr>
            </w:pPr>
            <w:r>
              <w:rPr>
                <w:rFonts w:ascii="Arial" w:cs="Arial" w:eastAsia="Arial" w:hAnsi="Arial"/>
                <w:sz w:val="14"/>
                <w:szCs w:val="14"/>
                <w:b w:val="1"/>
                <w:bCs w:val="1"/>
                <w:color w:val="auto"/>
              </w:rPr>
              <w:t>Steve Hasker</w:t>
            </w:r>
          </w:p>
        </w:tc>
        <w:tc>
          <w:tcPr>
            <w:tcW w:w="1660" w:type="dxa"/>
            <w:vAlign w:val="bottom"/>
          </w:tcPr>
          <w:p>
            <w:pPr>
              <w:jc w:val="right"/>
              <w:ind w:right="26"/>
              <w:spacing w:after="0"/>
              <w:rPr>
                <w:sz w:val="20"/>
                <w:szCs w:val="20"/>
                <w:color w:val="auto"/>
              </w:rPr>
            </w:pPr>
            <w:r>
              <w:rPr>
                <w:rFonts w:ascii="Arial" w:cs="Arial" w:eastAsia="Arial" w:hAnsi="Arial"/>
                <w:sz w:val="14"/>
                <w:szCs w:val="14"/>
                <w:color w:val="auto"/>
              </w:rPr>
              <w:t>480,291.92</w:t>
            </w:r>
          </w:p>
        </w:tc>
        <w:tc>
          <w:tcPr>
            <w:tcW w:w="1520" w:type="dxa"/>
            <w:vAlign w:val="bottom"/>
          </w:tcPr>
          <w:p>
            <w:pPr>
              <w:jc w:val="right"/>
              <w:ind w:right="47"/>
              <w:spacing w:after="0"/>
              <w:rPr>
                <w:sz w:val="20"/>
                <w:szCs w:val="20"/>
                <w:color w:val="auto"/>
              </w:rPr>
            </w:pPr>
            <w:r>
              <w:rPr>
                <w:rFonts w:ascii="Arial" w:cs="Arial" w:eastAsia="Arial" w:hAnsi="Arial"/>
                <w:sz w:val="14"/>
                <w:szCs w:val="14"/>
                <w:color w:val="auto"/>
              </w:rPr>
              <w:t>166,436.40</w:t>
            </w:r>
          </w:p>
        </w:tc>
        <w:tc>
          <w:tcPr>
            <w:tcW w:w="1760" w:type="dxa"/>
            <w:vAlign w:val="bottom"/>
          </w:tcPr>
          <w:p>
            <w:pPr>
              <w:jc w:val="right"/>
              <w:ind w:right="26"/>
              <w:spacing w:after="0"/>
              <w:rPr>
                <w:sz w:val="20"/>
                <w:szCs w:val="20"/>
                <w:color w:val="auto"/>
              </w:rPr>
            </w:pPr>
            <w:r>
              <w:rPr>
                <w:rFonts w:ascii="Arial" w:cs="Arial" w:eastAsia="Arial" w:hAnsi="Arial"/>
                <w:sz w:val="14"/>
                <w:szCs w:val="14"/>
                <w:color w:val="auto"/>
              </w:rPr>
              <w:t>689,621.48</w:t>
            </w:r>
          </w:p>
        </w:tc>
        <w:tc>
          <w:tcPr>
            <w:tcW w:w="0" w:type="dxa"/>
            <w:vAlign w:val="bottom"/>
          </w:tcPr>
          <w:p>
            <w:pPr>
              <w:spacing w:after="0"/>
              <w:rPr>
                <w:sz w:val="1"/>
                <w:szCs w:val="1"/>
                <w:color w:val="auto"/>
              </w:rPr>
            </w:pPr>
          </w:p>
        </w:tc>
      </w:tr>
      <w:tr>
        <w:trPr>
          <w:trHeight w:val="42"/>
        </w:trPr>
        <w:tc>
          <w:tcPr>
            <w:tcW w:w="5980" w:type="dxa"/>
            <w:vAlign w:val="bottom"/>
            <w:tcBorders>
              <w:bottom w:val="single" w:sz="8" w:color="AFAFAF"/>
            </w:tcBorders>
          </w:tcPr>
          <w:p>
            <w:pPr>
              <w:spacing w:after="0"/>
              <w:rPr>
                <w:sz w:val="3"/>
                <w:szCs w:val="3"/>
                <w:color w:val="auto"/>
              </w:rPr>
            </w:pPr>
          </w:p>
        </w:tc>
        <w:tc>
          <w:tcPr>
            <w:tcW w:w="1660" w:type="dxa"/>
            <w:vAlign w:val="bottom"/>
            <w:tcBorders>
              <w:bottom w:val="single" w:sz="8" w:color="AFAFAF"/>
            </w:tcBorders>
          </w:tcPr>
          <w:p>
            <w:pPr>
              <w:spacing w:after="0"/>
              <w:rPr>
                <w:sz w:val="3"/>
                <w:szCs w:val="3"/>
                <w:color w:val="auto"/>
              </w:rPr>
            </w:pPr>
          </w:p>
        </w:tc>
        <w:tc>
          <w:tcPr>
            <w:tcW w:w="1520" w:type="dxa"/>
            <w:vAlign w:val="bottom"/>
            <w:tcBorders>
              <w:bottom w:val="single" w:sz="8" w:color="AFAFAF"/>
            </w:tcBorders>
          </w:tcPr>
          <w:p>
            <w:pPr>
              <w:spacing w:after="0"/>
              <w:rPr>
                <w:sz w:val="3"/>
                <w:szCs w:val="3"/>
                <w:color w:val="auto"/>
              </w:rPr>
            </w:pPr>
          </w:p>
        </w:tc>
        <w:tc>
          <w:tcPr>
            <w:tcW w:w="176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980" w:type="dxa"/>
            <w:vAlign w:val="bottom"/>
          </w:tcPr>
          <w:p>
            <w:pPr>
              <w:ind w:left="100"/>
              <w:spacing w:after="0"/>
              <w:rPr>
                <w:sz w:val="20"/>
                <w:szCs w:val="20"/>
                <w:color w:val="auto"/>
              </w:rPr>
            </w:pPr>
            <w:r>
              <w:rPr>
                <w:rFonts w:ascii="Arial" w:cs="Arial" w:eastAsia="Arial" w:hAnsi="Arial"/>
                <w:sz w:val="14"/>
                <w:szCs w:val="14"/>
                <w:b w:val="1"/>
                <w:bCs w:val="1"/>
                <w:color w:val="auto"/>
              </w:rPr>
              <w:t>Mike Eastwood</w:t>
            </w:r>
          </w:p>
        </w:tc>
        <w:tc>
          <w:tcPr>
            <w:tcW w:w="1660" w:type="dxa"/>
            <w:vAlign w:val="bottom"/>
          </w:tcPr>
          <w:p>
            <w:pPr>
              <w:jc w:val="right"/>
              <w:ind w:right="26"/>
              <w:spacing w:after="0"/>
              <w:rPr>
                <w:sz w:val="20"/>
                <w:szCs w:val="20"/>
                <w:color w:val="auto"/>
              </w:rPr>
            </w:pPr>
            <w:r>
              <w:rPr>
                <w:rFonts w:ascii="Arial" w:cs="Arial" w:eastAsia="Arial" w:hAnsi="Arial"/>
                <w:sz w:val="14"/>
                <w:szCs w:val="14"/>
                <w:color w:val="auto"/>
              </w:rPr>
              <w:t>362,118</w:t>
            </w:r>
          </w:p>
        </w:tc>
        <w:tc>
          <w:tcPr>
            <w:tcW w:w="1520" w:type="dxa"/>
            <w:vAlign w:val="bottom"/>
          </w:tcPr>
          <w:p>
            <w:pPr>
              <w:jc w:val="right"/>
              <w:ind w:right="47"/>
              <w:spacing w:after="0"/>
              <w:rPr>
                <w:sz w:val="20"/>
                <w:szCs w:val="20"/>
                <w:color w:val="auto"/>
              </w:rPr>
            </w:pPr>
            <w:r>
              <w:rPr>
                <w:rFonts w:ascii="Arial" w:cs="Arial" w:eastAsia="Arial" w:hAnsi="Arial"/>
                <w:sz w:val="14"/>
                <w:szCs w:val="14"/>
                <w:color w:val="auto"/>
              </w:rPr>
              <w:t>105,066</w:t>
            </w:r>
          </w:p>
        </w:tc>
        <w:tc>
          <w:tcPr>
            <w:tcW w:w="1760" w:type="dxa"/>
            <w:vAlign w:val="bottom"/>
          </w:tcPr>
          <w:p>
            <w:pPr>
              <w:jc w:val="right"/>
              <w:ind w:right="26"/>
              <w:spacing w:after="0"/>
              <w:rPr>
                <w:sz w:val="20"/>
                <w:szCs w:val="20"/>
                <w:color w:val="auto"/>
              </w:rPr>
            </w:pPr>
            <w:r>
              <w:rPr>
                <w:rFonts w:ascii="Arial" w:cs="Arial" w:eastAsia="Arial" w:hAnsi="Arial"/>
                <w:sz w:val="14"/>
                <w:szCs w:val="14"/>
                <w:color w:val="auto"/>
              </w:rPr>
              <w:t>502,883</w:t>
            </w:r>
          </w:p>
        </w:tc>
        <w:tc>
          <w:tcPr>
            <w:tcW w:w="0" w:type="dxa"/>
            <w:vAlign w:val="bottom"/>
          </w:tcPr>
          <w:p>
            <w:pPr>
              <w:spacing w:after="0"/>
              <w:rPr>
                <w:sz w:val="1"/>
                <w:szCs w:val="1"/>
                <w:color w:val="auto"/>
              </w:rPr>
            </w:pPr>
          </w:p>
        </w:tc>
      </w:tr>
      <w:tr>
        <w:trPr>
          <w:trHeight w:val="42"/>
        </w:trPr>
        <w:tc>
          <w:tcPr>
            <w:tcW w:w="5980" w:type="dxa"/>
            <w:vAlign w:val="bottom"/>
            <w:tcBorders>
              <w:bottom w:val="single" w:sz="8" w:color="B94831"/>
            </w:tcBorders>
          </w:tcPr>
          <w:p>
            <w:pPr>
              <w:spacing w:after="0"/>
              <w:rPr>
                <w:sz w:val="3"/>
                <w:szCs w:val="3"/>
                <w:color w:val="auto"/>
              </w:rPr>
            </w:pPr>
          </w:p>
        </w:tc>
        <w:tc>
          <w:tcPr>
            <w:tcW w:w="1660" w:type="dxa"/>
            <w:vAlign w:val="bottom"/>
            <w:tcBorders>
              <w:bottom w:val="single" w:sz="8" w:color="B94831"/>
            </w:tcBorders>
          </w:tcPr>
          <w:p>
            <w:pPr>
              <w:spacing w:after="0"/>
              <w:rPr>
                <w:sz w:val="3"/>
                <w:szCs w:val="3"/>
                <w:color w:val="auto"/>
              </w:rPr>
            </w:pPr>
          </w:p>
        </w:tc>
        <w:tc>
          <w:tcPr>
            <w:tcW w:w="1520" w:type="dxa"/>
            <w:vAlign w:val="bottom"/>
            <w:tcBorders>
              <w:bottom w:val="single" w:sz="8" w:color="B94831"/>
            </w:tcBorders>
          </w:tcPr>
          <w:p>
            <w:pPr>
              <w:spacing w:after="0"/>
              <w:rPr>
                <w:sz w:val="3"/>
                <w:szCs w:val="3"/>
                <w:color w:val="auto"/>
              </w:rPr>
            </w:pPr>
          </w:p>
        </w:tc>
        <w:tc>
          <w:tcPr>
            <w:tcW w:w="1760" w:type="dxa"/>
            <w:vAlign w:val="bottom"/>
            <w:tcBorders>
              <w:bottom w:val="single" w:sz="8" w:color="B9483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  End of year balances reflect losses due to investment performance.</w:t>
      </w:r>
    </w:p>
    <w:p>
      <w:pPr>
        <w:spacing w:after="0" w:line="112"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Laura Clayton McDonnell and Paul Bascobert participate in a 401(k) retirement savings plan, which provide for company matching contributions to amounts contributed by each of them to the plan in 2023. Participating employees can contribute up to 50% of their eligible compensation on a combined before-tax or after-tax basis. All employees (including Laura Clayton McDonnell and Paul Bascobert) receive company matching contributions equal to 100% of the first 5% of eligible compensation that they contributed. The maximum before-tax and/or Roth 401(k) contribution that could be made by each of Laura Clayton McDonnell and Paul Bascobert in 2023 (including age 50+ catch-up contributions) was $30,000.</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Retirement Plus Plans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provide a supplemental benefit to Steve Hasker and Mike Eastwood through an SRP, as discussed above.</w:t>
      </w:r>
    </w:p>
    <w:p>
      <w:pPr>
        <w:spacing w:after="0" w:line="10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We provide a supplemental benefit to Laura Clayton McDonnell and Paul Bascobert through a “retirement plus” plan which is an unfunded, non-qualified defined benefit plan. Under this benefit, we provide allocations with respect to compensation above the eligible compensation limits imposed by the U.S. Internal Revenue Service (IRS). In 2023, the IRS compensation limit was $330,000. As a result, Laura Clayton McDonnell and Paul Bascobert received an allocation of $4,394 and $21,000, respectively, in 2023 under this plan. Amounts under this plan are paid from our general assets. Mike Eastwood ceased participating in that plan at the end of April 2019 and has not received allocations to that plan since that time.</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SERPs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 of our executive officers has a supplemental executive retirement plan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336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92 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Termination Benefits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111760</wp:posOffset>
            </wp:positionV>
            <wp:extent cx="69297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9" w:lineRule="exact"/>
        <w:rPr>
          <w:sz w:val="20"/>
          <w:szCs w:val="20"/>
          <w:color w:val="auto"/>
        </w:rPr>
      </w:pPr>
    </w:p>
    <w:p>
      <w:pPr>
        <w:jc w:val="both"/>
        <w:ind w:left="160" w:right="280"/>
        <w:spacing w:after="0" w:line="254" w:lineRule="auto"/>
        <w:rPr>
          <w:sz w:val="20"/>
          <w:szCs w:val="20"/>
          <w:color w:val="auto"/>
        </w:rPr>
      </w:pPr>
      <w:r>
        <w:rPr>
          <w:rFonts w:ascii="Arial" w:cs="Arial" w:eastAsia="Arial" w:hAnsi="Arial"/>
          <w:sz w:val="27"/>
          <w:szCs w:val="27"/>
          <w:color w:val="auto"/>
        </w:rPr>
        <w:t>Our change in control benefits for named executive officers require a “double trigger”. We do not gross up taxes related to termination and no severance is provided for terminations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Agreements with Named Executive Officers</w:t>
      </w:r>
    </w:p>
    <w:p>
      <w:pPr>
        <w:spacing w:after="0" w:line="115"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We have entered into an agreement with Steve Hasker that relates to potential payments to him upon termination of employment. The discussion below is qualified by the summary of that agreement which is provided later in this section.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Severance payments</w:t>
      </w:r>
    </w:p>
    <w:p>
      <w:pPr>
        <w:spacing w:after="0" w:line="40"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Each of our named executive officers would be entitled to two years of salary continuation in the event of involuntary termination without cause. We typically pay severance in accordance with our standard payroll practices, as opposed to in a lump sum.</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Annual incentive awards</w:t>
      </w:r>
    </w:p>
    <w:p>
      <w:pPr>
        <w:spacing w:after="0" w:line="51"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color w:val="auto"/>
        </w:rPr>
        <w:t>Pursuant to award terms and conditions, 2024 annual incentive awards would be treated as follows in the event of termination. As discussed later in this section, we simplified our treatment of retirement by reflecting one definition for annual incentive awards in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61595</wp:posOffset>
            </wp:positionV>
            <wp:extent cx="8255" cy="2463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246380"/>
                    </a:xfrm>
                    <a:prstGeom prst="rect">
                      <a:avLst/>
                    </a:prstGeom>
                    <a:noFill/>
                  </pic:spPr>
                </pic:pic>
              </a:graphicData>
            </a:graphic>
          </wp:anchor>
        </w:drawing>
      </w:r>
    </w:p>
    <w:p>
      <w:pPr>
        <w:spacing w:after="0" w:line="77"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88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7040" w:type="dxa"/>
            <w:vAlign w:val="bottom"/>
            <w:shd w:val="clear" w:color="auto" w:fill="262626"/>
          </w:tcPr>
          <w:p>
            <w:pPr>
              <w:ind w:left="80"/>
              <w:spacing w:after="0"/>
              <w:rPr>
                <w:sz w:val="20"/>
                <w:szCs w:val="20"/>
                <w:color w:val="auto"/>
              </w:rPr>
            </w:pPr>
            <w:r>
              <w:rPr>
                <w:rFonts w:ascii="Arial" w:cs="Arial" w:eastAsia="Arial" w:hAnsi="Arial"/>
                <w:sz w:val="15"/>
                <w:szCs w:val="15"/>
                <w:b w:val="1"/>
                <w:bCs w:val="1"/>
                <w:color w:val="FFFFFF"/>
              </w:rPr>
              <w:t>Award Treatment</w:t>
            </w:r>
          </w:p>
        </w:tc>
      </w:tr>
      <w:tr>
        <w:trPr>
          <w:trHeight w:val="118"/>
        </w:trPr>
        <w:tc>
          <w:tcPr>
            <w:tcW w:w="3880" w:type="dxa"/>
            <w:vAlign w:val="bottom"/>
            <w:tcBorders>
              <w:right w:val="single" w:sz="8" w:color="262626"/>
            </w:tcBorders>
            <w:shd w:val="clear" w:color="auto" w:fill="262626"/>
          </w:tcPr>
          <w:p>
            <w:pPr>
              <w:spacing w:after="0"/>
              <w:rPr>
                <w:sz w:val="10"/>
                <w:szCs w:val="10"/>
                <w:color w:val="auto"/>
              </w:rPr>
            </w:pPr>
          </w:p>
        </w:tc>
        <w:tc>
          <w:tcPr>
            <w:tcW w:w="7040" w:type="dxa"/>
            <w:vAlign w:val="bottom"/>
            <w:shd w:val="clear" w:color="auto" w:fill="262626"/>
          </w:tcPr>
          <w:p>
            <w:pPr>
              <w:spacing w:after="0"/>
              <w:rPr>
                <w:sz w:val="10"/>
                <w:szCs w:val="10"/>
                <w:color w:val="auto"/>
              </w:rPr>
            </w:pPr>
          </w:p>
        </w:tc>
      </w:tr>
      <w:tr>
        <w:trPr>
          <w:trHeight w:val="239"/>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Voluntary termination</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 if this occurs on or prior to February 28, 2025, subject to applicable law.</w:t>
            </w:r>
          </w:p>
        </w:tc>
      </w:tr>
      <w:tr>
        <w:trPr>
          <w:trHeight w:val="42"/>
        </w:trPr>
        <w:tc>
          <w:tcPr>
            <w:tcW w:w="3880" w:type="dxa"/>
            <w:vAlign w:val="bottom"/>
            <w:tcBorders>
              <w:bottom w:val="single" w:sz="8" w:color="AFAFAF"/>
              <w:right w:val="single" w:sz="8" w:color="AFAFAF"/>
            </w:tcBorders>
          </w:tcPr>
          <w:p>
            <w:pPr>
              <w:spacing w:after="0"/>
              <w:rPr>
                <w:sz w:val="3"/>
                <w:szCs w:val="3"/>
                <w:color w:val="auto"/>
              </w:rPr>
            </w:pPr>
          </w:p>
        </w:tc>
        <w:tc>
          <w:tcPr>
            <w:tcW w:w="7040" w:type="dxa"/>
            <w:vAlign w:val="bottom"/>
            <w:tcBorders>
              <w:bottom w:val="single" w:sz="8" w:color="AFAFAF"/>
            </w:tcBorders>
          </w:tcPr>
          <w:p>
            <w:pPr>
              <w:spacing w:after="0"/>
              <w:rPr>
                <w:sz w:val="3"/>
                <w:szCs w:val="3"/>
                <w:color w:val="auto"/>
              </w:rPr>
            </w:pPr>
          </w:p>
        </w:tc>
      </w:tr>
      <w:tr>
        <w:trPr>
          <w:trHeight w:val="198"/>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Involuntary termination for poor performance or for</w:t>
            </w:r>
          </w:p>
        </w:tc>
        <w:tc>
          <w:tcPr>
            <w:tcW w:w="7040" w:type="dxa"/>
            <w:vAlign w:val="bottom"/>
          </w:tcPr>
          <w:p>
            <w:pPr>
              <w:spacing w:after="0"/>
              <w:rPr>
                <w:sz w:val="17"/>
                <w:szCs w:val="17"/>
                <w:color w:val="auto"/>
              </w:rPr>
            </w:pPr>
          </w:p>
        </w:tc>
      </w:tr>
      <w:tr>
        <w:trPr>
          <w:trHeight w:val="195"/>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Cause</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w:t>
            </w:r>
          </w:p>
        </w:tc>
      </w:tr>
      <w:tr>
        <w:trPr>
          <w:trHeight w:val="42"/>
        </w:trPr>
        <w:tc>
          <w:tcPr>
            <w:tcW w:w="3880" w:type="dxa"/>
            <w:vAlign w:val="bottom"/>
            <w:tcBorders>
              <w:bottom w:val="single" w:sz="8" w:color="AFAFAF"/>
              <w:right w:val="single" w:sz="8" w:color="AFAFAF"/>
            </w:tcBorders>
          </w:tcPr>
          <w:p>
            <w:pPr>
              <w:spacing w:after="0"/>
              <w:rPr>
                <w:sz w:val="3"/>
                <w:szCs w:val="3"/>
                <w:color w:val="auto"/>
              </w:rPr>
            </w:pPr>
          </w:p>
        </w:tc>
        <w:tc>
          <w:tcPr>
            <w:tcW w:w="7040" w:type="dxa"/>
            <w:vAlign w:val="bottom"/>
            <w:tcBorders>
              <w:bottom w:val="single" w:sz="8" w:color="AFAFAF"/>
            </w:tcBorders>
          </w:tcPr>
          <w:p>
            <w:pPr>
              <w:spacing w:after="0"/>
              <w:rPr>
                <w:sz w:val="3"/>
                <w:szCs w:val="3"/>
                <w:color w:val="auto"/>
              </w:rPr>
            </w:pPr>
          </w:p>
        </w:tc>
      </w:tr>
      <w:tr>
        <w:trPr>
          <w:trHeight w:val="198"/>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Involuntary termination not for poor performance or</w:t>
            </w:r>
          </w:p>
        </w:tc>
        <w:tc>
          <w:tcPr>
            <w:tcW w:w="7040" w:type="dxa"/>
            <w:vAlign w:val="bottom"/>
          </w:tcPr>
          <w:p>
            <w:pPr>
              <w:ind w:left="80"/>
              <w:spacing w:after="0"/>
              <w:rPr>
                <w:sz w:val="20"/>
                <w:szCs w:val="20"/>
                <w:color w:val="auto"/>
              </w:rPr>
            </w:pPr>
            <w:r>
              <w:rPr>
                <w:rFonts w:ascii="Arial" w:cs="Arial" w:eastAsia="Arial" w:hAnsi="Arial"/>
                <w:sz w:val="14"/>
                <w:szCs w:val="14"/>
                <w:color w:val="auto"/>
              </w:rPr>
              <w:t>If this occurs between January 1, 2024 and December 31, 2024, an award payout will be made to the</w:t>
            </w:r>
          </w:p>
        </w:tc>
      </w:tr>
      <w:tr>
        <w:trPr>
          <w:trHeight w:val="160"/>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without Cause</w:t>
            </w:r>
          </w:p>
        </w:tc>
        <w:tc>
          <w:tcPr>
            <w:tcW w:w="7040" w:type="dxa"/>
            <w:vAlign w:val="bottom"/>
          </w:tcPr>
          <w:p>
            <w:pPr>
              <w:ind w:left="80"/>
              <w:spacing w:after="0"/>
              <w:rPr>
                <w:sz w:val="20"/>
                <w:szCs w:val="20"/>
                <w:color w:val="auto"/>
              </w:rPr>
            </w:pPr>
            <w:r>
              <w:rPr>
                <w:rFonts w:ascii="Arial" w:cs="Arial" w:eastAsia="Arial" w:hAnsi="Arial"/>
                <w:sz w:val="14"/>
                <w:szCs w:val="14"/>
                <w:color w:val="auto"/>
              </w:rPr>
              <w:t>executive that is pro-rated through the date of termination based on the executive’s target award and modified</w:t>
            </w: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by the business performance for the 2024 performance period. Payment will be made in or about March 2025</w:t>
            </w: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following the completion of the 2024 performance period.</w:t>
            </w:r>
          </w:p>
        </w:tc>
      </w:tr>
      <w:tr>
        <w:trPr>
          <w:trHeight w:val="48"/>
        </w:trPr>
        <w:tc>
          <w:tcPr>
            <w:tcW w:w="3880" w:type="dxa"/>
            <w:vAlign w:val="bottom"/>
            <w:tcBorders>
              <w:bottom w:val="single" w:sz="8" w:color="AFAFAF"/>
              <w:right w:val="single" w:sz="8" w:color="AFAFAF"/>
            </w:tcBorders>
          </w:tcPr>
          <w:p>
            <w:pPr>
              <w:spacing w:after="0"/>
              <w:rPr>
                <w:sz w:val="4"/>
                <w:szCs w:val="4"/>
                <w:color w:val="auto"/>
              </w:rPr>
            </w:pPr>
          </w:p>
        </w:tc>
        <w:tc>
          <w:tcPr>
            <w:tcW w:w="7040" w:type="dxa"/>
            <w:vAlign w:val="bottom"/>
            <w:tcBorders>
              <w:bottom w:val="single" w:sz="8" w:color="AFAFAF"/>
            </w:tcBorders>
          </w:tcPr>
          <w:p>
            <w:pPr>
              <w:spacing w:after="0"/>
              <w:rPr>
                <w:sz w:val="4"/>
                <w:szCs w:val="4"/>
                <w:color w:val="auto"/>
              </w:rPr>
            </w:pPr>
          </w:p>
        </w:tc>
      </w:tr>
      <w:tr>
        <w:trPr>
          <w:trHeight w:val="198"/>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Sale of the executive’s business or Change of Control</w:t>
            </w:r>
          </w:p>
        </w:tc>
        <w:tc>
          <w:tcPr>
            <w:tcW w:w="7040" w:type="dxa"/>
            <w:vAlign w:val="bottom"/>
          </w:tcPr>
          <w:p>
            <w:pPr>
              <w:ind w:left="80"/>
              <w:spacing w:after="0"/>
              <w:rPr>
                <w:sz w:val="20"/>
                <w:szCs w:val="20"/>
                <w:color w:val="auto"/>
              </w:rPr>
            </w:pPr>
            <w:r>
              <w:rPr>
                <w:rFonts w:ascii="Arial" w:cs="Arial" w:eastAsia="Arial" w:hAnsi="Arial"/>
                <w:sz w:val="14"/>
                <w:szCs w:val="14"/>
                <w:color w:val="auto"/>
              </w:rPr>
              <w:t>Thomson Reuters may (without the consent of the executive) assign all or part of its award payment obligation</w:t>
            </w:r>
          </w:p>
        </w:tc>
      </w:tr>
      <w:tr>
        <w:trPr>
          <w:trHeight w:val="160"/>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of Thomson Reuters</w:t>
            </w:r>
          </w:p>
        </w:tc>
        <w:tc>
          <w:tcPr>
            <w:tcW w:w="7040" w:type="dxa"/>
            <w:vAlign w:val="bottom"/>
          </w:tcPr>
          <w:p>
            <w:pPr>
              <w:ind w:left="80"/>
              <w:spacing w:after="0"/>
              <w:rPr>
                <w:sz w:val="20"/>
                <w:szCs w:val="20"/>
                <w:color w:val="auto"/>
              </w:rPr>
            </w:pPr>
            <w:r>
              <w:rPr>
                <w:rFonts w:ascii="Arial" w:cs="Arial" w:eastAsia="Arial" w:hAnsi="Arial"/>
                <w:sz w:val="14"/>
                <w:szCs w:val="14"/>
                <w:color w:val="auto"/>
              </w:rPr>
              <w:t>to make payments under the annual incentive plan or for a third party purchaser to substitute a substantially</w:t>
            </w: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similar award for the executive and other participants whose business is being acquired or if a Change of</w:t>
            </w: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Control occurs.</w:t>
            </w:r>
          </w:p>
        </w:tc>
      </w:tr>
      <w:tr>
        <w:trPr>
          <w:trHeight w:val="48"/>
        </w:trPr>
        <w:tc>
          <w:tcPr>
            <w:tcW w:w="3880" w:type="dxa"/>
            <w:vAlign w:val="bottom"/>
            <w:tcBorders>
              <w:bottom w:val="single" w:sz="8" w:color="AFAFAF"/>
              <w:right w:val="single" w:sz="8" w:color="AFAFAF"/>
            </w:tcBorders>
          </w:tcPr>
          <w:p>
            <w:pPr>
              <w:spacing w:after="0"/>
              <w:rPr>
                <w:sz w:val="4"/>
                <w:szCs w:val="4"/>
                <w:color w:val="auto"/>
              </w:rPr>
            </w:pPr>
          </w:p>
        </w:tc>
        <w:tc>
          <w:tcPr>
            <w:tcW w:w="7040" w:type="dxa"/>
            <w:vAlign w:val="bottom"/>
            <w:tcBorders>
              <w:bottom w:val="single" w:sz="8" w:color="AFAFAF"/>
            </w:tcBorders>
          </w:tcPr>
          <w:p>
            <w:pPr>
              <w:spacing w:after="0"/>
              <w:rPr>
                <w:sz w:val="4"/>
                <w:szCs w:val="4"/>
                <w:color w:val="auto"/>
              </w:rPr>
            </w:pPr>
          </w:p>
        </w:tc>
      </w:tr>
      <w:tr>
        <w:trPr>
          <w:trHeight w:val="198"/>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Retirement</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 if this occurs between January 1, 2024 and June 30, 2024. If this occurs between July 1, 2024 and</w:t>
            </w: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December 31, 2024, an award payout will be made that is pro-rated through the date of termination based on</w:t>
            </w: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the executive’s target award and modified by business performance for the 2024 performance period.</w:t>
            </w: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Payment will be made in or about March 2025 following the completion of the 2024 performance period.</w:t>
            </w:r>
          </w:p>
        </w:tc>
      </w:tr>
      <w:tr>
        <w:trPr>
          <w:trHeight w:val="48"/>
        </w:trPr>
        <w:tc>
          <w:tcPr>
            <w:tcW w:w="3880" w:type="dxa"/>
            <w:vAlign w:val="bottom"/>
            <w:tcBorders>
              <w:bottom w:val="single" w:sz="8" w:color="AFAFAF"/>
              <w:right w:val="single" w:sz="8" w:color="AFAFAF"/>
            </w:tcBorders>
          </w:tcPr>
          <w:p>
            <w:pPr>
              <w:spacing w:after="0"/>
              <w:rPr>
                <w:sz w:val="4"/>
                <w:szCs w:val="4"/>
                <w:color w:val="auto"/>
              </w:rPr>
            </w:pPr>
          </w:p>
        </w:tc>
        <w:tc>
          <w:tcPr>
            <w:tcW w:w="7040" w:type="dxa"/>
            <w:vAlign w:val="bottom"/>
            <w:tcBorders>
              <w:bottom w:val="single" w:sz="8" w:color="AFAFAF"/>
            </w:tcBorders>
          </w:tcPr>
          <w:p>
            <w:pPr>
              <w:spacing w:after="0"/>
              <w:rPr>
                <w:sz w:val="4"/>
                <w:szCs w:val="4"/>
                <w:color w:val="auto"/>
              </w:rPr>
            </w:pPr>
          </w:p>
        </w:tc>
      </w:tr>
      <w:tr>
        <w:trPr>
          <w:trHeight w:val="198"/>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Disability or Death</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 if this occurs between January 1, 2024 and June 30, 2024. If this occurs between July 1, 2024 and</w:t>
            </w: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December 31, 2024, an award payout will be made that is pro-rated through the date of termination based on</w:t>
            </w: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the executive’s target award. Payment will be made as soon as administratively practicable following the</w:t>
            </w: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occurrence of the event.</w:t>
            </w:r>
          </w:p>
        </w:tc>
      </w:tr>
      <w:tr>
        <w:trPr>
          <w:trHeight w:val="48"/>
        </w:trPr>
        <w:tc>
          <w:tcPr>
            <w:tcW w:w="3880" w:type="dxa"/>
            <w:vAlign w:val="bottom"/>
            <w:tcBorders>
              <w:bottom w:val="single" w:sz="8" w:color="B94831"/>
              <w:right w:val="single" w:sz="8" w:color="AFAFAF"/>
            </w:tcBorders>
          </w:tcPr>
          <w:p>
            <w:pPr>
              <w:spacing w:after="0"/>
              <w:rPr>
                <w:sz w:val="4"/>
                <w:szCs w:val="4"/>
                <w:color w:val="auto"/>
              </w:rPr>
            </w:pPr>
          </w:p>
        </w:tc>
        <w:tc>
          <w:tcPr>
            <w:tcW w:w="7040" w:type="dxa"/>
            <w:vAlign w:val="bottom"/>
            <w:tcBorders>
              <w:bottom w:val="single" w:sz="8" w:color="B94831"/>
            </w:tcBorders>
          </w:tcPr>
          <w:p>
            <w:pPr>
              <w:spacing w:after="0"/>
              <w:rPr>
                <w:sz w:val="4"/>
                <w:szCs w:val="4"/>
                <w:color w:val="auto"/>
              </w:rPr>
            </w:pPr>
          </w:p>
        </w:tc>
      </w:tr>
    </w:tbl>
    <w:p>
      <w:pPr>
        <w:spacing w:after="0" w:line="88"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If an executive’s employment is terminated for any reason other than voluntary termination, for poor performance or for Cause (i) between January 1, 2025 and February 28, 2025 but before award payouts are made, an award payout based on the executive’s target award, modified by business performance for the 2024 performance period, will be made on the payment date in 2025; and (ii) between March 1, 2025 and the payment date in 2025, an award payout based on the executive’s target award, modified by the business and individual performance for the 2024 performance period, will be made on the payment date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93</w:t>
      </w:r>
    </w:p>
    <w:p>
      <w:pPr>
        <w:sectPr>
          <w:pgSz w:w="11900" w:h="16838" w:orient="portrait"/>
          <w:cols w:equalWidth="0" w:num="1">
            <w:col w:w="11080"/>
          </w:cols>
          <w:pgMar w:left="320" w:top="454"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Equity-based awards</w:t>
      </w:r>
    </w:p>
    <w:p>
      <w:pPr>
        <w:spacing w:after="0" w:line="49"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tables below set forth the treatment of stock options, TRSUs and PRSUs granted in 2022 and 2023 in the event of termination. As discussed later in this section, we simplified our treatment of retirement by reflecting one definition in equity-based awards granted in 2022 and 2023. Equity-based awards granted prior to 2022 reflected separate definitions for “Early Retirement” and “Normal Retirement” (which are discussed below). We discuss the current definition of “Retirement” and the previous definitions of “Early Retirement” and “Normal Retirement” later in this section.</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Stock options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award terms and conditions, stock options granted in 2022 and 2023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160655</wp:posOffset>
            </wp:positionV>
            <wp:extent cx="8255" cy="2120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21209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160655</wp:posOffset>
            </wp:positionV>
            <wp:extent cx="8255" cy="2120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21209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160655</wp:posOffset>
            </wp:positionV>
            <wp:extent cx="8255" cy="2120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212090"/>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40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1740" w:type="dxa"/>
            <w:vAlign w:val="bottom"/>
            <w:gridSpan w:val="2"/>
            <w:shd w:val="clear" w:color="auto" w:fill="262626"/>
          </w:tcPr>
          <w:p>
            <w:pPr>
              <w:ind w:left="240"/>
              <w:spacing w:after="0"/>
              <w:rPr>
                <w:sz w:val="20"/>
                <w:szCs w:val="20"/>
                <w:color w:val="auto"/>
              </w:rPr>
            </w:pPr>
            <w:r>
              <w:rPr>
                <w:rFonts w:ascii="Arial" w:cs="Arial" w:eastAsia="Arial" w:hAnsi="Arial"/>
                <w:sz w:val="15"/>
                <w:szCs w:val="15"/>
                <w:b w:val="1"/>
                <w:bCs w:val="1"/>
                <w:color w:val="FFFFFF"/>
              </w:rPr>
              <w:t>Vested Options</w:t>
            </w:r>
          </w:p>
        </w:tc>
        <w:tc>
          <w:tcPr>
            <w:tcW w:w="2800" w:type="dxa"/>
            <w:vAlign w:val="bottom"/>
            <w:tcBorders>
              <w:right w:val="single" w:sz="8" w:color="262626"/>
            </w:tcBorders>
            <w:shd w:val="clear" w:color="auto" w:fill="262626"/>
          </w:tcPr>
          <w:p>
            <w:pPr>
              <w:ind w:left="60"/>
              <w:spacing w:after="0"/>
              <w:rPr>
                <w:sz w:val="20"/>
                <w:szCs w:val="20"/>
                <w:color w:val="auto"/>
              </w:rPr>
            </w:pPr>
            <w:r>
              <w:rPr>
                <w:rFonts w:ascii="Arial" w:cs="Arial" w:eastAsia="Arial" w:hAnsi="Arial"/>
                <w:sz w:val="15"/>
                <w:szCs w:val="15"/>
                <w:b w:val="1"/>
                <w:bCs w:val="1"/>
                <w:color w:val="FFFFFF"/>
              </w:rPr>
              <w:t>Unvested Options</w:t>
            </w:r>
          </w:p>
        </w:tc>
        <w:tc>
          <w:tcPr>
            <w:tcW w:w="2980" w:type="dxa"/>
            <w:vAlign w:val="bottom"/>
            <w:shd w:val="clear" w:color="auto" w:fill="262626"/>
          </w:tcPr>
          <w:p>
            <w:pPr>
              <w:ind w:left="260"/>
              <w:spacing w:after="0"/>
              <w:rPr>
                <w:sz w:val="20"/>
                <w:szCs w:val="20"/>
                <w:color w:val="auto"/>
              </w:rPr>
            </w:pPr>
            <w:r>
              <w:rPr>
                <w:rFonts w:ascii="Arial" w:cs="Arial" w:eastAsia="Arial" w:hAnsi="Arial"/>
                <w:sz w:val="15"/>
                <w:szCs w:val="15"/>
                <w:b w:val="1"/>
                <w:bCs w:val="1"/>
                <w:color w:val="FFFFFF"/>
              </w:rPr>
              <w:t>Exercise Period</w:t>
            </w:r>
          </w:p>
        </w:tc>
      </w:tr>
      <w:tr>
        <w:trPr>
          <w:trHeight w:val="64"/>
        </w:trPr>
        <w:tc>
          <w:tcPr>
            <w:tcW w:w="3400" w:type="dxa"/>
            <w:vAlign w:val="bottom"/>
            <w:tcBorders>
              <w:right w:val="single" w:sz="8" w:color="262626"/>
            </w:tcBorders>
            <w:shd w:val="clear" w:color="auto" w:fill="262626"/>
          </w:tcPr>
          <w:p>
            <w:pPr>
              <w:spacing w:after="0"/>
              <w:rPr>
                <w:sz w:val="5"/>
                <w:szCs w:val="5"/>
                <w:color w:val="auto"/>
              </w:rPr>
            </w:pPr>
          </w:p>
        </w:tc>
        <w:tc>
          <w:tcPr>
            <w:tcW w:w="1540" w:type="dxa"/>
            <w:vAlign w:val="bottom"/>
            <w:tcBorders>
              <w:right w:val="single" w:sz="8" w:color="262626"/>
            </w:tcBorders>
            <w:shd w:val="clear" w:color="auto" w:fill="262626"/>
          </w:tcPr>
          <w:p>
            <w:pPr>
              <w:spacing w:after="0"/>
              <w:rPr>
                <w:sz w:val="5"/>
                <w:szCs w:val="5"/>
                <w:color w:val="auto"/>
              </w:rPr>
            </w:pPr>
          </w:p>
        </w:tc>
        <w:tc>
          <w:tcPr>
            <w:tcW w:w="200" w:type="dxa"/>
            <w:vAlign w:val="bottom"/>
            <w:shd w:val="clear" w:color="auto" w:fill="262626"/>
          </w:tcPr>
          <w:p>
            <w:pPr>
              <w:spacing w:after="0"/>
              <w:rPr>
                <w:sz w:val="5"/>
                <w:szCs w:val="5"/>
                <w:color w:val="auto"/>
              </w:rPr>
            </w:pPr>
          </w:p>
        </w:tc>
        <w:tc>
          <w:tcPr>
            <w:tcW w:w="2800" w:type="dxa"/>
            <w:vAlign w:val="bottom"/>
            <w:tcBorders>
              <w:right w:val="single" w:sz="8" w:color="262626"/>
            </w:tcBorders>
            <w:shd w:val="clear" w:color="auto" w:fill="262626"/>
          </w:tcPr>
          <w:p>
            <w:pPr>
              <w:spacing w:after="0"/>
              <w:rPr>
                <w:sz w:val="5"/>
                <w:szCs w:val="5"/>
                <w:color w:val="auto"/>
              </w:rPr>
            </w:pPr>
          </w:p>
        </w:tc>
        <w:tc>
          <w:tcPr>
            <w:tcW w:w="2980" w:type="dxa"/>
            <w:vAlign w:val="bottom"/>
            <w:shd w:val="clear" w:color="auto" w:fill="262626"/>
          </w:tcPr>
          <w:p>
            <w:pPr>
              <w:spacing w:after="0"/>
              <w:rPr>
                <w:sz w:val="5"/>
                <w:szCs w:val="5"/>
                <w:color w:val="auto"/>
              </w:rPr>
            </w:pPr>
          </w:p>
        </w:tc>
      </w:tr>
      <w:tr>
        <w:trPr>
          <w:trHeight w:val="21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Voluntary termination</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8"/>
                <w:szCs w:val="18"/>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Forfeited</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3 months from the</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spacing w:after="0"/>
              <w:rPr>
                <w:sz w:val="13"/>
                <w:szCs w:val="13"/>
                <w:color w:val="auto"/>
              </w:rPr>
            </w:pPr>
          </w:p>
        </w:tc>
        <w:tc>
          <w:tcPr>
            <w:tcW w:w="2980" w:type="dxa"/>
            <w:vAlign w:val="bottom"/>
          </w:tcPr>
          <w:p>
            <w:pPr>
              <w:ind w:left="260"/>
              <w:spacing w:after="0"/>
              <w:rPr>
                <w:sz w:val="20"/>
                <w:szCs w:val="20"/>
                <w:color w:val="auto"/>
              </w:rPr>
            </w:pPr>
            <w:r>
              <w:rPr>
                <w:rFonts w:ascii="Arial" w:cs="Arial" w:eastAsia="Arial" w:hAnsi="Arial"/>
                <w:sz w:val="14"/>
                <w:szCs w:val="14"/>
                <w:color w:val="auto"/>
              </w:rPr>
              <w:t>termination date or the grant expiration</w:t>
            </w: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spacing w:after="0"/>
              <w:rPr>
                <w:sz w:val="16"/>
                <w:szCs w:val="16"/>
                <w:color w:val="auto"/>
              </w:rPr>
            </w:pPr>
          </w:p>
        </w:tc>
        <w:tc>
          <w:tcPr>
            <w:tcW w:w="2980" w:type="dxa"/>
            <w:vAlign w:val="bottom"/>
          </w:tcPr>
          <w:p>
            <w:pPr>
              <w:ind w:left="260"/>
              <w:spacing w:after="0"/>
              <w:rPr>
                <w:sz w:val="20"/>
                <w:szCs w:val="20"/>
                <w:color w:val="auto"/>
              </w:rPr>
            </w:pPr>
            <w:r>
              <w:rPr>
                <w:rFonts w:ascii="Arial" w:cs="Arial" w:eastAsia="Arial" w:hAnsi="Arial"/>
                <w:sz w:val="14"/>
                <w:szCs w:val="14"/>
                <w:color w:val="auto"/>
              </w:rPr>
              <w:t>date.</w:t>
            </w:r>
          </w:p>
        </w:tc>
      </w:tr>
      <w:tr>
        <w:trPr>
          <w:trHeight w:val="61"/>
        </w:trPr>
        <w:tc>
          <w:tcPr>
            <w:tcW w:w="3400" w:type="dxa"/>
            <w:vAlign w:val="bottom"/>
            <w:tcBorders>
              <w:bottom w:val="single" w:sz="8" w:color="AFAFAF"/>
              <w:right w:val="single" w:sz="8" w:color="AFAFAF"/>
            </w:tcBorders>
          </w:tcPr>
          <w:p>
            <w:pPr>
              <w:spacing w:after="0"/>
              <w:rPr>
                <w:sz w:val="5"/>
                <w:szCs w:val="5"/>
                <w:color w:val="auto"/>
              </w:rPr>
            </w:pPr>
          </w:p>
        </w:tc>
        <w:tc>
          <w:tcPr>
            <w:tcW w:w="1540" w:type="dxa"/>
            <w:vAlign w:val="bottom"/>
            <w:tcBorders>
              <w:bottom w:val="single" w:sz="8" w:color="AFAFAF"/>
              <w:right w:val="single" w:sz="8" w:color="AFAFAF"/>
            </w:tcBorders>
          </w:tcPr>
          <w:p>
            <w:pPr>
              <w:spacing w:after="0"/>
              <w:rPr>
                <w:sz w:val="5"/>
                <w:szCs w:val="5"/>
                <w:color w:val="auto"/>
              </w:rPr>
            </w:pPr>
          </w:p>
        </w:tc>
        <w:tc>
          <w:tcPr>
            <w:tcW w:w="200" w:type="dxa"/>
            <w:vAlign w:val="bottom"/>
            <w:tcBorders>
              <w:bottom w:val="single" w:sz="8" w:color="AFAFAF"/>
            </w:tcBorders>
          </w:tcPr>
          <w:p>
            <w:pPr>
              <w:spacing w:after="0"/>
              <w:rPr>
                <w:sz w:val="5"/>
                <w:szCs w:val="5"/>
                <w:color w:val="auto"/>
              </w:rPr>
            </w:pPr>
          </w:p>
        </w:tc>
        <w:tc>
          <w:tcPr>
            <w:tcW w:w="2800" w:type="dxa"/>
            <w:vAlign w:val="bottom"/>
            <w:tcBorders>
              <w:bottom w:val="single" w:sz="8" w:color="AFAFAF"/>
              <w:right w:val="single" w:sz="8" w:color="AFAFAF"/>
            </w:tcBorders>
          </w:tcPr>
          <w:p>
            <w:pPr>
              <w:spacing w:after="0"/>
              <w:rPr>
                <w:sz w:val="5"/>
                <w:szCs w:val="5"/>
                <w:color w:val="auto"/>
              </w:rPr>
            </w:pPr>
          </w:p>
        </w:tc>
        <w:tc>
          <w:tcPr>
            <w:tcW w:w="2980" w:type="dxa"/>
            <w:vAlign w:val="bottom"/>
            <w:tcBorders>
              <w:bottom w:val="single" w:sz="8" w:color="AFAFAF"/>
            </w:tcBorders>
          </w:tcPr>
          <w:p>
            <w:pPr>
              <w:spacing w:after="0"/>
              <w:rPr>
                <w:sz w:val="5"/>
                <w:szCs w:val="5"/>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Involuntary termination for poor performance or</w:t>
            </w:r>
          </w:p>
        </w:tc>
        <w:tc>
          <w:tcPr>
            <w:tcW w:w="1540" w:type="dxa"/>
            <w:vAlign w:val="bottom"/>
            <w:tcBorders>
              <w:right w:val="single" w:sz="8" w:color="AFAFAF"/>
            </w:tcBorders>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Borders>
              <w:right w:val="single" w:sz="8" w:color="AFAFAF"/>
            </w:tcBorders>
          </w:tcPr>
          <w:p>
            <w:pPr>
              <w:spacing w:after="0"/>
              <w:rPr>
                <w:sz w:val="17"/>
                <w:szCs w:val="17"/>
                <w:color w:val="auto"/>
              </w:rPr>
            </w:pPr>
          </w:p>
        </w:tc>
        <w:tc>
          <w:tcPr>
            <w:tcW w:w="2980" w:type="dxa"/>
            <w:vAlign w:val="bottom"/>
          </w:tcPr>
          <w:p>
            <w:pPr>
              <w:spacing w:after="0"/>
              <w:rPr>
                <w:sz w:val="17"/>
                <w:szCs w:val="17"/>
                <w:color w:val="auto"/>
              </w:rPr>
            </w:pPr>
          </w:p>
        </w:tc>
      </w:tr>
      <w:tr>
        <w:trPr>
          <w:trHeight w:val="195"/>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for Cause</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Forfeited</w:t>
            </w:r>
          </w:p>
        </w:tc>
        <w:tc>
          <w:tcPr>
            <w:tcW w:w="200" w:type="dxa"/>
            <w:vAlign w:val="bottom"/>
          </w:tcPr>
          <w:p>
            <w:pPr>
              <w:spacing w:after="0"/>
              <w:rPr>
                <w:sz w:val="16"/>
                <w:szCs w:val="16"/>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Forfeited</w:t>
            </w:r>
          </w:p>
        </w:tc>
        <w:tc>
          <w:tcPr>
            <w:tcW w:w="2980" w:type="dxa"/>
            <w:vAlign w:val="bottom"/>
          </w:tcPr>
          <w:p>
            <w:pPr>
              <w:ind w:left="260"/>
              <w:spacing w:after="0"/>
              <w:rPr>
                <w:sz w:val="20"/>
                <w:szCs w:val="20"/>
                <w:color w:val="auto"/>
              </w:rPr>
            </w:pPr>
            <w:r>
              <w:rPr>
                <w:rFonts w:ascii="Arial" w:cs="Arial" w:eastAsia="Arial" w:hAnsi="Arial"/>
                <w:sz w:val="14"/>
                <w:szCs w:val="14"/>
                <w:color w:val="auto"/>
              </w:rPr>
              <w:t>N/A</w:t>
            </w:r>
          </w:p>
        </w:tc>
      </w:tr>
      <w:tr>
        <w:trPr>
          <w:trHeight w:val="82"/>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200" w:type="dxa"/>
            <w:vAlign w:val="bottom"/>
            <w:tcBorders>
              <w:bottom w:val="single" w:sz="8" w:color="AFAFAF"/>
            </w:tcBorders>
          </w:tcPr>
          <w:p>
            <w:pPr>
              <w:spacing w:after="0"/>
              <w:rPr>
                <w:sz w:val="7"/>
                <w:szCs w:val="7"/>
                <w:color w:val="auto"/>
              </w:rPr>
            </w:pPr>
          </w:p>
        </w:tc>
        <w:tc>
          <w:tcPr>
            <w:tcW w:w="28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Involuntary termination not for poor</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7"/>
                <w:szCs w:val="17"/>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One additional vesting period (standard</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3 months from the</w:t>
            </w:r>
          </w:p>
        </w:tc>
      </w:tr>
      <w:tr>
        <w:trPr>
          <w:trHeight w:val="160"/>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performance or without Cause</w:t>
            </w: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vesting is 25% in each of the first four</w:t>
            </w:r>
          </w:p>
        </w:tc>
        <w:tc>
          <w:tcPr>
            <w:tcW w:w="2980" w:type="dxa"/>
            <w:vAlign w:val="bottom"/>
          </w:tcPr>
          <w:p>
            <w:pPr>
              <w:ind w:left="260"/>
              <w:spacing w:after="0"/>
              <w:rPr>
                <w:sz w:val="20"/>
                <w:szCs w:val="20"/>
                <w:color w:val="auto"/>
              </w:rPr>
            </w:pPr>
            <w:r>
              <w:rPr>
                <w:rFonts w:ascii="Arial" w:cs="Arial" w:eastAsia="Arial" w:hAnsi="Arial"/>
                <w:sz w:val="14"/>
                <w:szCs w:val="14"/>
                <w:color w:val="auto"/>
              </w:rPr>
              <w:t>termination date or the grant expiration</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years of the award) is accelerated and</w:t>
            </w:r>
          </w:p>
        </w:tc>
        <w:tc>
          <w:tcPr>
            <w:tcW w:w="2980" w:type="dxa"/>
            <w:vAlign w:val="bottom"/>
          </w:tcPr>
          <w:p>
            <w:pPr>
              <w:ind w:left="260"/>
              <w:spacing w:after="0"/>
              <w:rPr>
                <w:sz w:val="20"/>
                <w:szCs w:val="20"/>
                <w:color w:val="auto"/>
              </w:rPr>
            </w:pPr>
            <w:r>
              <w:rPr>
                <w:rFonts w:ascii="Arial" w:cs="Arial" w:eastAsia="Arial" w:hAnsi="Arial"/>
                <w:sz w:val="14"/>
                <w:szCs w:val="14"/>
                <w:color w:val="auto"/>
              </w:rPr>
              <w:t>date.</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exercisable upon termination and the</w:t>
            </w:r>
          </w:p>
        </w:tc>
        <w:tc>
          <w:tcPr>
            <w:tcW w:w="2980" w:type="dxa"/>
            <w:vAlign w:val="bottom"/>
          </w:tcPr>
          <w:p>
            <w:pPr>
              <w:spacing w:after="0"/>
              <w:rPr>
                <w:sz w:val="13"/>
                <w:szCs w:val="13"/>
                <w:color w:val="auto"/>
              </w:rPr>
            </w:pP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remaining unvested options are forfeited.</w:t>
            </w:r>
          </w:p>
        </w:tc>
        <w:tc>
          <w:tcPr>
            <w:tcW w:w="2980" w:type="dxa"/>
            <w:vAlign w:val="bottom"/>
          </w:tcPr>
          <w:p>
            <w:pPr>
              <w:spacing w:after="0"/>
              <w:rPr>
                <w:sz w:val="16"/>
                <w:szCs w:val="16"/>
                <w:color w:val="auto"/>
              </w:rPr>
            </w:pPr>
          </w:p>
        </w:tc>
      </w:tr>
      <w:tr>
        <w:trPr>
          <w:trHeight w:val="88"/>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200" w:type="dxa"/>
            <w:vAlign w:val="bottom"/>
            <w:tcBorders>
              <w:bottom w:val="single" w:sz="8" w:color="AFAFAF"/>
            </w:tcBorders>
          </w:tcPr>
          <w:p>
            <w:pPr>
              <w:spacing w:after="0"/>
              <w:rPr>
                <w:sz w:val="7"/>
                <w:szCs w:val="7"/>
                <w:color w:val="auto"/>
              </w:rPr>
            </w:pPr>
          </w:p>
        </w:tc>
        <w:tc>
          <w:tcPr>
            <w:tcW w:w="28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Sale of the holder’s business</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7"/>
                <w:szCs w:val="17"/>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The Board or HR Committee shall meet to</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1 year from the involuntary</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determine the appropriate treatment of any</w:t>
            </w:r>
          </w:p>
        </w:tc>
        <w:tc>
          <w:tcPr>
            <w:tcW w:w="2980" w:type="dxa"/>
            <w:vAlign w:val="bottom"/>
          </w:tcPr>
          <w:p>
            <w:pPr>
              <w:ind w:left="260"/>
              <w:spacing w:after="0"/>
              <w:rPr>
                <w:sz w:val="20"/>
                <w:szCs w:val="20"/>
                <w:color w:val="auto"/>
              </w:rPr>
            </w:pPr>
            <w:r>
              <w:rPr>
                <w:rFonts w:ascii="Arial" w:cs="Arial" w:eastAsia="Arial" w:hAnsi="Arial"/>
                <w:sz w:val="14"/>
                <w:szCs w:val="14"/>
                <w:color w:val="auto"/>
              </w:rPr>
              <w:t>termination without cause date or the grant</w:t>
            </w: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unvested options.</w:t>
            </w:r>
          </w:p>
        </w:tc>
        <w:tc>
          <w:tcPr>
            <w:tcW w:w="2980" w:type="dxa"/>
            <w:vAlign w:val="bottom"/>
          </w:tcPr>
          <w:p>
            <w:pPr>
              <w:ind w:left="260"/>
              <w:spacing w:after="0"/>
              <w:rPr>
                <w:sz w:val="20"/>
                <w:szCs w:val="20"/>
                <w:color w:val="auto"/>
              </w:rPr>
            </w:pPr>
            <w:r>
              <w:rPr>
                <w:rFonts w:ascii="Arial" w:cs="Arial" w:eastAsia="Arial" w:hAnsi="Arial"/>
                <w:sz w:val="14"/>
                <w:szCs w:val="14"/>
                <w:color w:val="auto"/>
              </w:rPr>
              <w:t>expiration date.</w:t>
            </w:r>
          </w:p>
        </w:tc>
      </w:tr>
      <w:tr>
        <w:trPr>
          <w:trHeight w:val="88"/>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200" w:type="dxa"/>
            <w:vAlign w:val="bottom"/>
            <w:tcBorders>
              <w:bottom w:val="single" w:sz="8" w:color="AFAFAF"/>
            </w:tcBorders>
          </w:tcPr>
          <w:p>
            <w:pPr>
              <w:spacing w:after="0"/>
              <w:rPr>
                <w:sz w:val="7"/>
                <w:szCs w:val="7"/>
                <w:color w:val="auto"/>
              </w:rPr>
            </w:pPr>
          </w:p>
        </w:tc>
        <w:tc>
          <w:tcPr>
            <w:tcW w:w="28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A Change of Control of Thomson</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7"/>
                <w:szCs w:val="17"/>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Fully vested upon a “double trigger”</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1 year from the involuntary</w:t>
            </w:r>
          </w:p>
        </w:tc>
      </w:tr>
      <w:tr>
        <w:trPr>
          <w:trHeight w:val="160"/>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Reuters (based on the surviving, successor or</w:t>
            </w: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(involuntary termination not for poor</w:t>
            </w:r>
          </w:p>
        </w:tc>
        <w:tc>
          <w:tcPr>
            <w:tcW w:w="2980" w:type="dxa"/>
            <w:vAlign w:val="bottom"/>
          </w:tcPr>
          <w:p>
            <w:pPr>
              <w:ind w:left="260"/>
              <w:spacing w:after="0"/>
              <w:rPr>
                <w:sz w:val="20"/>
                <w:szCs w:val="20"/>
                <w:color w:val="auto"/>
              </w:rPr>
            </w:pPr>
            <w:r>
              <w:rPr>
                <w:rFonts w:ascii="Arial" w:cs="Arial" w:eastAsia="Arial" w:hAnsi="Arial"/>
                <w:sz w:val="14"/>
                <w:szCs w:val="14"/>
                <w:color w:val="auto"/>
              </w:rPr>
              <w:t>termination without cause date or the grant</w:t>
            </w:r>
          </w:p>
        </w:tc>
      </w:tr>
      <w:tr>
        <w:trPr>
          <w:trHeight w:val="160"/>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acquiring company assuming options or</w:t>
            </w: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performance or without Cause within two</w:t>
            </w:r>
          </w:p>
        </w:tc>
        <w:tc>
          <w:tcPr>
            <w:tcW w:w="2980" w:type="dxa"/>
            <w:vAlign w:val="bottom"/>
          </w:tcPr>
          <w:p>
            <w:pPr>
              <w:ind w:left="260"/>
              <w:spacing w:after="0"/>
              <w:rPr>
                <w:sz w:val="20"/>
                <w:szCs w:val="20"/>
                <w:color w:val="auto"/>
              </w:rPr>
            </w:pPr>
            <w:r>
              <w:rPr>
                <w:rFonts w:ascii="Arial" w:cs="Arial" w:eastAsia="Arial" w:hAnsi="Arial"/>
                <w:sz w:val="14"/>
                <w:szCs w:val="14"/>
                <w:color w:val="auto"/>
              </w:rPr>
              <w:t>expiration date.</w:t>
            </w:r>
          </w:p>
        </w:tc>
      </w:tr>
      <w:tr>
        <w:trPr>
          <w:trHeight w:val="160"/>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substituting similar awards)</w:t>
            </w: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years following a Change of Control (as</w:t>
            </w:r>
          </w:p>
        </w:tc>
        <w:tc>
          <w:tcPr>
            <w:tcW w:w="2980" w:type="dxa"/>
            <w:vAlign w:val="bottom"/>
          </w:tcPr>
          <w:p>
            <w:pPr>
              <w:spacing w:after="0"/>
              <w:rPr>
                <w:sz w:val="13"/>
                <w:szCs w:val="13"/>
                <w:color w:val="auto"/>
              </w:rPr>
            </w:pP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described below)); otherwise, the options</w:t>
            </w:r>
          </w:p>
        </w:tc>
        <w:tc>
          <w:tcPr>
            <w:tcW w:w="2980" w:type="dxa"/>
            <w:vAlign w:val="bottom"/>
          </w:tcPr>
          <w:p>
            <w:pPr>
              <w:spacing w:after="0"/>
              <w:rPr>
                <w:sz w:val="13"/>
                <w:szCs w:val="13"/>
                <w:color w:val="auto"/>
              </w:rPr>
            </w:pP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continue to vest on the original vesting</w:t>
            </w:r>
          </w:p>
        </w:tc>
        <w:tc>
          <w:tcPr>
            <w:tcW w:w="2980" w:type="dxa"/>
            <w:vAlign w:val="bottom"/>
          </w:tcPr>
          <w:p>
            <w:pPr>
              <w:spacing w:after="0"/>
              <w:rPr>
                <w:sz w:val="13"/>
                <w:szCs w:val="13"/>
                <w:color w:val="auto"/>
              </w:rPr>
            </w:pP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date(s) subject to continuous employment.</w:t>
            </w:r>
          </w:p>
        </w:tc>
        <w:tc>
          <w:tcPr>
            <w:tcW w:w="2980" w:type="dxa"/>
            <w:vAlign w:val="bottom"/>
          </w:tcPr>
          <w:p>
            <w:pPr>
              <w:spacing w:after="0"/>
              <w:rPr>
                <w:sz w:val="16"/>
                <w:szCs w:val="16"/>
                <w:color w:val="auto"/>
              </w:rPr>
            </w:pPr>
          </w:p>
        </w:tc>
      </w:tr>
      <w:tr>
        <w:trPr>
          <w:trHeight w:val="88"/>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200" w:type="dxa"/>
            <w:vAlign w:val="bottom"/>
            <w:tcBorders>
              <w:bottom w:val="single" w:sz="8" w:color="AFAFAF"/>
            </w:tcBorders>
          </w:tcPr>
          <w:p>
            <w:pPr>
              <w:spacing w:after="0"/>
              <w:rPr>
                <w:sz w:val="7"/>
                <w:szCs w:val="7"/>
                <w:color w:val="auto"/>
              </w:rPr>
            </w:pPr>
          </w:p>
        </w:tc>
        <w:tc>
          <w:tcPr>
            <w:tcW w:w="28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Retirement</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7"/>
                <w:szCs w:val="17"/>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Continue to vest on the original vesting</w:t>
            </w:r>
          </w:p>
        </w:tc>
        <w:tc>
          <w:tcPr>
            <w:tcW w:w="2980" w:type="dxa"/>
            <w:vAlign w:val="bottom"/>
          </w:tcPr>
          <w:p>
            <w:pPr>
              <w:ind w:left="260"/>
              <w:spacing w:after="0"/>
              <w:rPr>
                <w:sz w:val="20"/>
                <w:szCs w:val="20"/>
                <w:color w:val="auto"/>
              </w:rPr>
            </w:pPr>
            <w:r>
              <w:rPr>
                <w:rFonts w:ascii="Arial" w:cs="Arial" w:eastAsia="Arial" w:hAnsi="Arial"/>
                <w:sz w:val="14"/>
                <w:szCs w:val="14"/>
                <w:color w:val="auto"/>
              </w:rPr>
              <w:t>Options outstanding for 7 years or more:</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date(s); provided that the options have</w:t>
            </w:r>
          </w:p>
        </w:tc>
        <w:tc>
          <w:tcPr>
            <w:tcW w:w="2980" w:type="dxa"/>
            <w:vAlign w:val="bottom"/>
          </w:tcPr>
          <w:p>
            <w:pPr>
              <w:ind w:left="260"/>
              <w:spacing w:after="0"/>
              <w:rPr>
                <w:sz w:val="20"/>
                <w:szCs w:val="20"/>
                <w:color w:val="auto"/>
              </w:rPr>
            </w:pPr>
            <w:r>
              <w:rPr>
                <w:rFonts w:ascii="Arial" w:cs="Arial" w:eastAsia="Arial" w:hAnsi="Arial"/>
                <w:sz w:val="14"/>
                <w:szCs w:val="14"/>
                <w:color w:val="auto"/>
              </w:rPr>
              <w:t>earlier of 1 year from Retirement or</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been outstanding for at least six months</w:t>
            </w:r>
          </w:p>
        </w:tc>
        <w:tc>
          <w:tcPr>
            <w:tcW w:w="2980" w:type="dxa"/>
            <w:vAlign w:val="bottom"/>
          </w:tcPr>
          <w:p>
            <w:pPr>
              <w:ind w:left="260"/>
              <w:spacing w:after="0"/>
              <w:rPr>
                <w:sz w:val="20"/>
                <w:szCs w:val="20"/>
                <w:color w:val="auto"/>
              </w:rPr>
            </w:pPr>
            <w:r>
              <w:rPr>
                <w:rFonts w:ascii="Arial" w:cs="Arial" w:eastAsia="Arial" w:hAnsi="Arial"/>
                <w:sz w:val="14"/>
                <w:szCs w:val="14"/>
                <w:color w:val="auto"/>
              </w:rPr>
              <w:t>expiration of the options. Options</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when Retirement occurs. If the options</w:t>
            </w:r>
          </w:p>
        </w:tc>
        <w:tc>
          <w:tcPr>
            <w:tcW w:w="2980" w:type="dxa"/>
            <w:vAlign w:val="bottom"/>
          </w:tcPr>
          <w:p>
            <w:pPr>
              <w:ind w:left="260"/>
              <w:spacing w:after="0"/>
              <w:rPr>
                <w:sz w:val="20"/>
                <w:szCs w:val="20"/>
                <w:color w:val="auto"/>
              </w:rPr>
            </w:pPr>
            <w:r>
              <w:rPr>
                <w:rFonts w:ascii="Arial" w:cs="Arial" w:eastAsia="Arial" w:hAnsi="Arial"/>
                <w:sz w:val="14"/>
                <w:szCs w:val="14"/>
                <w:color w:val="auto"/>
              </w:rPr>
              <w:t>outstanding for less than 7 years: 7 years</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have not been outstanding for that period,</w:t>
            </w:r>
          </w:p>
        </w:tc>
        <w:tc>
          <w:tcPr>
            <w:tcW w:w="2980" w:type="dxa"/>
            <w:vAlign w:val="bottom"/>
          </w:tcPr>
          <w:p>
            <w:pPr>
              <w:ind w:left="260"/>
              <w:spacing w:after="0"/>
              <w:rPr>
                <w:sz w:val="20"/>
                <w:szCs w:val="20"/>
                <w:color w:val="auto"/>
              </w:rPr>
            </w:pPr>
            <w:r>
              <w:rPr>
                <w:rFonts w:ascii="Arial" w:cs="Arial" w:eastAsia="Arial" w:hAnsi="Arial"/>
                <w:sz w:val="14"/>
                <w:szCs w:val="14"/>
                <w:color w:val="auto"/>
              </w:rPr>
              <w:t>from the grant date.</w:t>
            </w: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they would be forfeited.</w:t>
            </w:r>
          </w:p>
        </w:tc>
        <w:tc>
          <w:tcPr>
            <w:tcW w:w="2980" w:type="dxa"/>
            <w:vAlign w:val="bottom"/>
          </w:tcPr>
          <w:p>
            <w:pPr>
              <w:spacing w:after="0"/>
              <w:rPr>
                <w:sz w:val="16"/>
                <w:szCs w:val="16"/>
                <w:color w:val="auto"/>
              </w:rPr>
            </w:pPr>
          </w:p>
        </w:tc>
      </w:tr>
      <w:tr>
        <w:trPr>
          <w:trHeight w:val="88"/>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200" w:type="dxa"/>
            <w:vAlign w:val="bottom"/>
            <w:tcBorders>
              <w:bottom w:val="single" w:sz="8" w:color="AFAFAF"/>
            </w:tcBorders>
          </w:tcPr>
          <w:p>
            <w:pPr>
              <w:spacing w:after="0"/>
              <w:rPr>
                <w:sz w:val="7"/>
                <w:szCs w:val="7"/>
                <w:color w:val="auto"/>
              </w:rPr>
            </w:pPr>
          </w:p>
        </w:tc>
        <w:tc>
          <w:tcPr>
            <w:tcW w:w="28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Disability</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7"/>
                <w:szCs w:val="17"/>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Fully vested</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1 year from the Disability</w:t>
            </w: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spacing w:after="0"/>
              <w:rPr>
                <w:sz w:val="16"/>
                <w:szCs w:val="16"/>
                <w:color w:val="auto"/>
              </w:rPr>
            </w:pPr>
          </w:p>
        </w:tc>
        <w:tc>
          <w:tcPr>
            <w:tcW w:w="2980" w:type="dxa"/>
            <w:vAlign w:val="bottom"/>
          </w:tcPr>
          <w:p>
            <w:pPr>
              <w:ind w:left="260"/>
              <w:spacing w:after="0"/>
              <w:rPr>
                <w:sz w:val="20"/>
                <w:szCs w:val="20"/>
                <w:color w:val="auto"/>
              </w:rPr>
            </w:pPr>
            <w:r>
              <w:rPr>
                <w:rFonts w:ascii="Arial" w:cs="Arial" w:eastAsia="Arial" w:hAnsi="Arial"/>
                <w:sz w:val="14"/>
                <w:szCs w:val="14"/>
                <w:color w:val="auto"/>
              </w:rPr>
              <w:t>date or the grant expiration date</w:t>
            </w:r>
          </w:p>
        </w:tc>
      </w:tr>
      <w:tr>
        <w:trPr>
          <w:trHeight w:val="88"/>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200" w:type="dxa"/>
            <w:vAlign w:val="bottom"/>
            <w:tcBorders>
              <w:bottom w:val="single" w:sz="8" w:color="AFAFAF"/>
            </w:tcBorders>
          </w:tcPr>
          <w:p>
            <w:pPr>
              <w:spacing w:after="0"/>
              <w:rPr>
                <w:sz w:val="7"/>
                <w:szCs w:val="7"/>
                <w:color w:val="auto"/>
              </w:rPr>
            </w:pPr>
          </w:p>
        </w:tc>
        <w:tc>
          <w:tcPr>
            <w:tcW w:w="28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Death</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200" w:type="dxa"/>
            <w:vAlign w:val="bottom"/>
          </w:tcPr>
          <w:p>
            <w:pPr>
              <w:spacing w:after="0"/>
              <w:rPr>
                <w:sz w:val="17"/>
                <w:szCs w:val="17"/>
                <w:color w:val="auto"/>
              </w:rPr>
            </w:pPr>
          </w:p>
        </w:tc>
        <w:tc>
          <w:tcPr>
            <w:tcW w:w="2800" w:type="dxa"/>
            <w:vAlign w:val="bottom"/>
            <w:tcBorders>
              <w:right w:val="single" w:sz="8" w:color="AFAFAF"/>
            </w:tcBorders>
          </w:tcPr>
          <w:p>
            <w:pPr>
              <w:ind w:left="60"/>
              <w:spacing w:after="0"/>
              <w:rPr>
                <w:sz w:val="20"/>
                <w:szCs w:val="20"/>
                <w:color w:val="auto"/>
              </w:rPr>
            </w:pPr>
            <w:r>
              <w:rPr>
                <w:rFonts w:ascii="Arial" w:cs="Arial" w:eastAsia="Arial" w:hAnsi="Arial"/>
                <w:sz w:val="14"/>
                <w:szCs w:val="14"/>
                <w:color w:val="auto"/>
              </w:rPr>
              <w:t>Fully vested</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1 year from the date of</w:t>
            </w: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right w:val="single" w:sz="8" w:color="AFAFAF"/>
            </w:tcBorders>
          </w:tcPr>
          <w:p>
            <w:pPr>
              <w:spacing w:after="0"/>
              <w:rPr>
                <w:sz w:val="16"/>
                <w:szCs w:val="16"/>
                <w:color w:val="auto"/>
              </w:rPr>
            </w:pPr>
          </w:p>
        </w:tc>
        <w:tc>
          <w:tcPr>
            <w:tcW w:w="2980" w:type="dxa"/>
            <w:vAlign w:val="bottom"/>
          </w:tcPr>
          <w:p>
            <w:pPr>
              <w:ind w:left="260"/>
              <w:spacing w:after="0"/>
              <w:rPr>
                <w:sz w:val="20"/>
                <w:szCs w:val="20"/>
                <w:color w:val="auto"/>
              </w:rPr>
            </w:pPr>
            <w:r>
              <w:rPr>
                <w:rFonts w:ascii="Arial" w:cs="Arial" w:eastAsia="Arial" w:hAnsi="Arial"/>
                <w:sz w:val="14"/>
                <w:szCs w:val="14"/>
                <w:color w:val="auto"/>
              </w:rPr>
              <w:t>Death or the grant expiration date</w:t>
            </w:r>
          </w:p>
        </w:tc>
      </w:tr>
      <w:tr>
        <w:trPr>
          <w:trHeight w:val="88"/>
        </w:trPr>
        <w:tc>
          <w:tcPr>
            <w:tcW w:w="3400" w:type="dxa"/>
            <w:vAlign w:val="bottom"/>
            <w:tcBorders>
              <w:bottom w:val="single" w:sz="8" w:color="B94831"/>
              <w:right w:val="single" w:sz="8" w:color="AFAFAF"/>
            </w:tcBorders>
          </w:tcPr>
          <w:p>
            <w:pPr>
              <w:spacing w:after="0"/>
              <w:rPr>
                <w:sz w:val="7"/>
                <w:szCs w:val="7"/>
                <w:color w:val="auto"/>
              </w:rPr>
            </w:pPr>
          </w:p>
        </w:tc>
        <w:tc>
          <w:tcPr>
            <w:tcW w:w="1540" w:type="dxa"/>
            <w:vAlign w:val="bottom"/>
            <w:tcBorders>
              <w:bottom w:val="single" w:sz="8" w:color="B94831"/>
              <w:right w:val="single" w:sz="8" w:color="AFAFAF"/>
            </w:tcBorders>
          </w:tcPr>
          <w:p>
            <w:pPr>
              <w:spacing w:after="0"/>
              <w:rPr>
                <w:sz w:val="7"/>
                <w:szCs w:val="7"/>
                <w:color w:val="auto"/>
              </w:rPr>
            </w:pPr>
          </w:p>
        </w:tc>
        <w:tc>
          <w:tcPr>
            <w:tcW w:w="200" w:type="dxa"/>
            <w:vAlign w:val="bottom"/>
            <w:tcBorders>
              <w:bottom w:val="single" w:sz="8" w:color="B94831"/>
            </w:tcBorders>
          </w:tcPr>
          <w:p>
            <w:pPr>
              <w:spacing w:after="0"/>
              <w:rPr>
                <w:sz w:val="7"/>
                <w:szCs w:val="7"/>
                <w:color w:val="auto"/>
              </w:rPr>
            </w:pPr>
          </w:p>
        </w:tc>
        <w:tc>
          <w:tcPr>
            <w:tcW w:w="2800" w:type="dxa"/>
            <w:vAlign w:val="bottom"/>
            <w:tcBorders>
              <w:bottom w:val="single" w:sz="8" w:color="B94831"/>
              <w:right w:val="single" w:sz="8" w:color="AFAFAF"/>
            </w:tcBorders>
          </w:tcPr>
          <w:p>
            <w:pPr>
              <w:spacing w:after="0"/>
              <w:rPr>
                <w:sz w:val="7"/>
                <w:szCs w:val="7"/>
                <w:color w:val="auto"/>
              </w:rPr>
            </w:pPr>
          </w:p>
        </w:tc>
        <w:tc>
          <w:tcPr>
            <w:tcW w:w="2980" w:type="dxa"/>
            <w:vAlign w:val="bottom"/>
            <w:tcBorders>
              <w:bottom w:val="single" w:sz="8" w:color="B94831"/>
            </w:tcBorders>
          </w:tcPr>
          <w:p>
            <w:pPr>
              <w:spacing w:after="0"/>
              <w:rPr>
                <w:sz w:val="7"/>
                <w:szCs w:val="7"/>
                <w:color w:val="auto"/>
              </w:rPr>
            </w:pPr>
          </w:p>
        </w:tc>
      </w:tr>
      <w:tr>
        <w:trPr>
          <w:trHeight w:val="227"/>
        </w:trPr>
        <w:tc>
          <w:tcPr>
            <w:tcW w:w="5140" w:type="dxa"/>
            <w:vAlign w:val="bottom"/>
            <w:tcBorders>
              <w:bottom w:val="single" w:sz="8" w:color="B94831"/>
            </w:tcBorders>
            <w:gridSpan w:val="3"/>
          </w:tcPr>
          <w:p>
            <w:pPr>
              <w:spacing w:after="0"/>
              <w:rPr>
                <w:sz w:val="19"/>
                <w:szCs w:val="19"/>
                <w:color w:val="auto"/>
              </w:rPr>
            </w:pPr>
          </w:p>
        </w:tc>
        <w:tc>
          <w:tcPr>
            <w:tcW w:w="2800" w:type="dxa"/>
            <w:vAlign w:val="bottom"/>
            <w:tcBorders>
              <w:bottom w:val="single" w:sz="8" w:color="B94831"/>
            </w:tcBorders>
          </w:tcPr>
          <w:p>
            <w:pPr>
              <w:spacing w:after="0"/>
              <w:rPr>
                <w:sz w:val="19"/>
                <w:szCs w:val="19"/>
                <w:color w:val="auto"/>
              </w:rPr>
            </w:pPr>
          </w:p>
        </w:tc>
        <w:tc>
          <w:tcPr>
            <w:tcW w:w="2980" w:type="dxa"/>
            <w:vAlign w:val="bottom"/>
            <w:tcBorders>
              <w:bottom w:val="single" w:sz="8" w:color="B94831"/>
            </w:tcBorders>
          </w:tcPr>
          <w:p>
            <w:pPr>
              <w:spacing w:after="0"/>
              <w:rPr>
                <w:sz w:val="19"/>
                <w:szCs w:val="19"/>
                <w:color w:val="auto"/>
              </w:rPr>
            </w:pPr>
          </w:p>
        </w:tc>
      </w:tr>
      <w:tr>
        <w:trPr>
          <w:trHeight w:val="269"/>
        </w:trPr>
        <w:tc>
          <w:tcPr>
            <w:tcW w:w="5140" w:type="dxa"/>
            <w:vAlign w:val="bottom"/>
            <w:gridSpan w:val="3"/>
          </w:tcPr>
          <w:p>
            <w:pPr>
              <w:spacing w:after="0"/>
              <w:rPr>
                <w:sz w:val="20"/>
                <w:szCs w:val="20"/>
                <w:color w:val="auto"/>
              </w:rPr>
            </w:pPr>
            <w:r>
              <w:rPr>
                <w:rFonts w:ascii="Arial" w:cs="Arial" w:eastAsia="Arial" w:hAnsi="Arial"/>
                <w:sz w:val="13"/>
                <w:szCs w:val="13"/>
                <w:color w:val="auto"/>
              </w:rPr>
              <w:t>Page 94   Management Proxy Circular and Notice of Annual Meeting of Shareholders</w:t>
            </w:r>
          </w:p>
        </w:tc>
        <w:tc>
          <w:tcPr>
            <w:tcW w:w="2800" w:type="dxa"/>
            <w:vAlign w:val="bottom"/>
          </w:tcPr>
          <w:p>
            <w:pPr>
              <w:spacing w:after="0"/>
              <w:rPr>
                <w:sz w:val="23"/>
                <w:szCs w:val="23"/>
                <w:color w:val="auto"/>
              </w:rPr>
            </w:pPr>
          </w:p>
        </w:tc>
        <w:tc>
          <w:tcPr>
            <w:tcW w:w="2980" w:type="dxa"/>
            <w:vAlign w:val="bottom"/>
          </w:tcPr>
          <w:p>
            <w:pPr>
              <w:spacing w:after="0"/>
              <w:rPr>
                <w:sz w:val="23"/>
                <w:szCs w:val="23"/>
                <w:color w:val="auto"/>
              </w:rPr>
            </w:pPr>
          </w:p>
        </w:tc>
      </w:tr>
    </w:tbl>
    <w:p>
      <w:pPr>
        <w:sectPr>
          <w:pgSz w:w="11900" w:h="16838" w:orient="portrait"/>
          <w:cols w:equalWidth="0" w:num="1">
            <w:col w:w="11080"/>
          </w:cols>
          <w:pgMar w:left="320" w:top="454"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TRSUs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award terms and conditions, TRSUs granted in 2022 and 2023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84455</wp:posOffset>
            </wp:positionV>
            <wp:extent cx="8255" cy="2120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212090"/>
                    </a:xfrm>
                    <a:prstGeom prst="rect">
                      <a:avLst/>
                    </a:prstGeom>
                    <a:noFill/>
                  </pic:spPr>
                </pic:pic>
              </a:graphicData>
            </a:graphic>
          </wp:anchor>
        </w:drawing>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88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7040" w:type="dxa"/>
            <w:vAlign w:val="bottom"/>
            <w:shd w:val="clear" w:color="auto" w:fill="262626"/>
          </w:tcPr>
          <w:p>
            <w:pPr>
              <w:ind w:left="80"/>
              <w:spacing w:after="0"/>
              <w:rPr>
                <w:sz w:val="20"/>
                <w:szCs w:val="20"/>
                <w:color w:val="auto"/>
              </w:rPr>
            </w:pPr>
            <w:r>
              <w:rPr>
                <w:rFonts w:ascii="Arial" w:cs="Arial" w:eastAsia="Arial" w:hAnsi="Arial"/>
                <w:sz w:val="15"/>
                <w:szCs w:val="15"/>
                <w:b w:val="1"/>
                <w:bCs w:val="1"/>
                <w:color w:val="FFFFFF"/>
              </w:rPr>
              <w:t>Unvested TRSUs</w:t>
            </w:r>
          </w:p>
        </w:tc>
      </w:tr>
      <w:tr>
        <w:trPr>
          <w:trHeight w:val="64"/>
        </w:trPr>
        <w:tc>
          <w:tcPr>
            <w:tcW w:w="3880" w:type="dxa"/>
            <w:vAlign w:val="bottom"/>
            <w:tcBorders>
              <w:right w:val="single" w:sz="8" w:color="262626"/>
            </w:tcBorders>
            <w:shd w:val="clear" w:color="auto" w:fill="262626"/>
          </w:tcPr>
          <w:p>
            <w:pPr>
              <w:spacing w:after="0"/>
              <w:rPr>
                <w:sz w:val="5"/>
                <w:szCs w:val="5"/>
                <w:color w:val="auto"/>
              </w:rPr>
            </w:pPr>
          </w:p>
        </w:tc>
        <w:tc>
          <w:tcPr>
            <w:tcW w:w="7040" w:type="dxa"/>
            <w:vAlign w:val="bottom"/>
            <w:shd w:val="clear" w:color="auto" w:fill="262626"/>
          </w:tcPr>
          <w:p>
            <w:pPr>
              <w:spacing w:after="0"/>
              <w:rPr>
                <w:sz w:val="5"/>
                <w:szCs w:val="5"/>
                <w:color w:val="auto"/>
              </w:rPr>
            </w:pPr>
          </w:p>
        </w:tc>
      </w:tr>
      <w:tr>
        <w:trPr>
          <w:trHeight w:val="199"/>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Voluntary termination</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w:t>
            </w: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Involuntary termination for poor performance or for</w:t>
            </w:r>
          </w:p>
        </w:tc>
        <w:tc>
          <w:tcPr>
            <w:tcW w:w="7040" w:type="dxa"/>
            <w:vAlign w:val="bottom"/>
          </w:tcPr>
          <w:p>
            <w:pPr>
              <w:spacing w:after="0"/>
              <w:rPr>
                <w:sz w:val="13"/>
                <w:szCs w:val="13"/>
                <w:color w:val="auto"/>
              </w:rPr>
            </w:pPr>
          </w:p>
        </w:tc>
      </w:tr>
      <w:tr>
        <w:trPr>
          <w:trHeight w:val="195"/>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Cause</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w:t>
            </w: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Involuntary termination not for poor performance or</w:t>
            </w:r>
          </w:p>
        </w:tc>
        <w:tc>
          <w:tcPr>
            <w:tcW w:w="7040" w:type="dxa"/>
            <w:vAlign w:val="bottom"/>
          </w:tcPr>
          <w:p>
            <w:pPr>
              <w:ind w:left="80"/>
              <w:spacing w:after="0" w:line="158" w:lineRule="exact"/>
              <w:rPr>
                <w:sz w:val="20"/>
                <w:szCs w:val="20"/>
                <w:color w:val="auto"/>
              </w:rPr>
            </w:pPr>
            <w:r>
              <w:rPr>
                <w:rFonts w:ascii="Arial" w:cs="Arial" w:eastAsia="Arial" w:hAnsi="Arial"/>
                <w:sz w:val="14"/>
                <w:szCs w:val="14"/>
                <w:color w:val="auto"/>
              </w:rPr>
              <w:t>Pro rata vesting based on active service as an employee (measured in calendar days from the grant date to</w:t>
            </w:r>
          </w:p>
        </w:tc>
      </w:tr>
      <w:tr>
        <w:trPr>
          <w:trHeight w:val="195"/>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without Cause</w:t>
            </w:r>
          </w:p>
        </w:tc>
        <w:tc>
          <w:tcPr>
            <w:tcW w:w="7040" w:type="dxa"/>
            <w:vAlign w:val="bottom"/>
          </w:tcPr>
          <w:p>
            <w:pPr>
              <w:ind w:left="80"/>
              <w:spacing w:after="0"/>
              <w:rPr>
                <w:sz w:val="20"/>
                <w:szCs w:val="20"/>
                <w:color w:val="auto"/>
              </w:rPr>
            </w:pPr>
            <w:r>
              <w:rPr>
                <w:rFonts w:ascii="Arial" w:cs="Arial" w:eastAsia="Arial" w:hAnsi="Arial"/>
                <w:sz w:val="14"/>
                <w:szCs w:val="14"/>
                <w:color w:val="auto"/>
              </w:rPr>
              <w:t>the termination date). Vesting would occur on the termination date. The remaining TRSUs would be forfeited.</w:t>
            </w: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92"/>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Sale of the holder’s business</w:t>
            </w:r>
          </w:p>
        </w:tc>
        <w:tc>
          <w:tcPr>
            <w:tcW w:w="7040" w:type="dxa"/>
            <w:vAlign w:val="bottom"/>
          </w:tcPr>
          <w:p>
            <w:pPr>
              <w:ind w:left="80"/>
              <w:spacing w:after="0"/>
              <w:rPr>
                <w:sz w:val="20"/>
                <w:szCs w:val="20"/>
                <w:color w:val="auto"/>
              </w:rPr>
            </w:pPr>
            <w:r>
              <w:rPr>
                <w:rFonts w:ascii="Arial" w:cs="Arial" w:eastAsia="Arial" w:hAnsi="Arial"/>
                <w:sz w:val="14"/>
                <w:szCs w:val="14"/>
                <w:color w:val="auto"/>
              </w:rPr>
              <w:t>The Board or HR Committee shall meet to determine the appropriate treatment of any unvested TRSUs.</w:t>
            </w: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A Change of Control of Thomson Reuters (based on</w:t>
            </w:r>
          </w:p>
        </w:tc>
        <w:tc>
          <w:tcPr>
            <w:tcW w:w="7040" w:type="dxa"/>
            <w:vAlign w:val="bottom"/>
          </w:tcPr>
          <w:p>
            <w:pPr>
              <w:ind w:left="80"/>
              <w:spacing w:after="0" w:line="158" w:lineRule="exact"/>
              <w:rPr>
                <w:sz w:val="20"/>
                <w:szCs w:val="20"/>
                <w:color w:val="auto"/>
              </w:rPr>
            </w:pPr>
            <w:r>
              <w:rPr>
                <w:rFonts w:ascii="Arial" w:cs="Arial" w:eastAsia="Arial" w:hAnsi="Arial"/>
                <w:sz w:val="14"/>
                <w:szCs w:val="14"/>
                <w:color w:val="auto"/>
              </w:rPr>
              <w:t>Fully vested upon a “double trigger” (involuntary termination not for poor performance or without Cause within</w:t>
            </w:r>
          </w:p>
        </w:tc>
      </w:tr>
      <w:tr>
        <w:trPr>
          <w:trHeight w:val="160"/>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the surviving, successor or acquiring company</w:t>
            </w:r>
          </w:p>
        </w:tc>
        <w:tc>
          <w:tcPr>
            <w:tcW w:w="7040" w:type="dxa"/>
            <w:vAlign w:val="bottom"/>
          </w:tcPr>
          <w:p>
            <w:pPr>
              <w:ind w:left="80"/>
              <w:spacing w:after="0"/>
              <w:rPr>
                <w:sz w:val="20"/>
                <w:szCs w:val="20"/>
                <w:color w:val="auto"/>
              </w:rPr>
            </w:pPr>
            <w:r>
              <w:rPr>
                <w:rFonts w:ascii="Arial" w:cs="Arial" w:eastAsia="Arial" w:hAnsi="Arial"/>
                <w:sz w:val="14"/>
                <w:szCs w:val="14"/>
                <w:color w:val="auto"/>
              </w:rPr>
              <w:t>two years following a Change of Control); otherwise, the TRSUs would become vested on the scheduled</w:t>
            </w:r>
          </w:p>
        </w:tc>
      </w:tr>
      <w:tr>
        <w:trPr>
          <w:trHeight w:val="195"/>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assuming TRSUs or substituting similar awards)</w:t>
            </w:r>
          </w:p>
        </w:tc>
        <w:tc>
          <w:tcPr>
            <w:tcW w:w="7040" w:type="dxa"/>
            <w:vAlign w:val="bottom"/>
          </w:tcPr>
          <w:p>
            <w:pPr>
              <w:ind w:left="80"/>
              <w:spacing w:after="0"/>
              <w:rPr>
                <w:sz w:val="20"/>
                <w:szCs w:val="20"/>
                <w:color w:val="auto"/>
              </w:rPr>
            </w:pPr>
            <w:r>
              <w:rPr>
                <w:rFonts w:ascii="Arial" w:cs="Arial" w:eastAsia="Arial" w:hAnsi="Arial"/>
                <w:sz w:val="14"/>
                <w:szCs w:val="14"/>
                <w:color w:val="auto"/>
              </w:rPr>
              <w:t>vesting date(s), subject to continuous employment.</w:t>
            </w: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Retirement</w:t>
            </w:r>
          </w:p>
        </w:tc>
        <w:tc>
          <w:tcPr>
            <w:tcW w:w="7040" w:type="dxa"/>
            <w:vAlign w:val="bottom"/>
          </w:tcPr>
          <w:p>
            <w:pPr>
              <w:ind w:left="80"/>
              <w:spacing w:after="0" w:line="158" w:lineRule="exact"/>
              <w:rPr>
                <w:sz w:val="20"/>
                <w:szCs w:val="20"/>
                <w:color w:val="auto"/>
              </w:rPr>
            </w:pPr>
            <w:r>
              <w:rPr>
                <w:rFonts w:ascii="Arial" w:cs="Arial" w:eastAsia="Arial" w:hAnsi="Arial"/>
                <w:sz w:val="14"/>
                <w:szCs w:val="14"/>
                <w:color w:val="auto"/>
              </w:rPr>
              <w:t>Continue to vest on the scheduled vesting date(s) if the TRSUs have been outstanding for at least six months</w:t>
            </w: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when Retirement occurs. If the TRSUs have not been outstanding for that period, they would be forfeited.</w:t>
            </w:r>
          </w:p>
        </w:tc>
      </w:tr>
      <w:tr>
        <w:trPr>
          <w:trHeight w:val="88"/>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92"/>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Disability</w:t>
            </w:r>
          </w:p>
        </w:tc>
        <w:tc>
          <w:tcPr>
            <w:tcW w:w="7040" w:type="dxa"/>
            <w:vAlign w:val="bottom"/>
          </w:tcPr>
          <w:p>
            <w:pPr>
              <w:ind w:left="80"/>
              <w:spacing w:after="0"/>
              <w:rPr>
                <w:sz w:val="20"/>
                <w:szCs w:val="20"/>
                <w:color w:val="auto"/>
              </w:rPr>
            </w:pPr>
            <w:r>
              <w:rPr>
                <w:rFonts w:ascii="Arial" w:cs="Arial" w:eastAsia="Arial" w:hAnsi="Arial"/>
                <w:sz w:val="14"/>
                <w:szCs w:val="14"/>
                <w:color w:val="auto"/>
              </w:rPr>
              <w:t>Fully vested</w:t>
            </w: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r>
      <w:tr>
        <w:trPr>
          <w:trHeight w:val="192"/>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Death</w:t>
            </w:r>
          </w:p>
        </w:tc>
        <w:tc>
          <w:tcPr>
            <w:tcW w:w="7040" w:type="dxa"/>
            <w:vAlign w:val="bottom"/>
          </w:tcPr>
          <w:p>
            <w:pPr>
              <w:ind w:left="80"/>
              <w:spacing w:after="0"/>
              <w:rPr>
                <w:sz w:val="20"/>
                <w:szCs w:val="20"/>
                <w:color w:val="auto"/>
              </w:rPr>
            </w:pPr>
            <w:r>
              <w:rPr>
                <w:rFonts w:ascii="Arial" w:cs="Arial" w:eastAsia="Arial" w:hAnsi="Arial"/>
                <w:sz w:val="14"/>
                <w:szCs w:val="14"/>
                <w:color w:val="auto"/>
              </w:rPr>
              <w:t>Fully vested</w:t>
            </w:r>
          </w:p>
        </w:tc>
      </w:tr>
      <w:tr>
        <w:trPr>
          <w:trHeight w:val="82"/>
        </w:trPr>
        <w:tc>
          <w:tcPr>
            <w:tcW w:w="3880" w:type="dxa"/>
            <w:vAlign w:val="bottom"/>
            <w:tcBorders>
              <w:bottom w:val="single" w:sz="8" w:color="B94831"/>
              <w:right w:val="single" w:sz="8" w:color="AFAFAF"/>
            </w:tcBorders>
          </w:tcPr>
          <w:p>
            <w:pPr>
              <w:spacing w:after="0"/>
              <w:rPr>
                <w:sz w:val="7"/>
                <w:szCs w:val="7"/>
                <w:color w:val="auto"/>
              </w:rPr>
            </w:pPr>
          </w:p>
        </w:tc>
        <w:tc>
          <w:tcPr>
            <w:tcW w:w="7040" w:type="dxa"/>
            <w:vAlign w:val="bottom"/>
            <w:tcBorders>
              <w:bottom w:val="single" w:sz="8" w:color="B94831"/>
            </w:tcBorders>
          </w:tcPr>
          <w:p>
            <w:pPr>
              <w:spacing w:after="0"/>
              <w:rPr>
                <w:sz w:val="7"/>
                <w:szCs w:val="7"/>
                <w:color w:val="auto"/>
              </w:rPr>
            </w:pP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PRSUs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award terms and conditions, PRSUs granted in 2022 and 2023 would be treated as follows in the event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84455</wp:posOffset>
            </wp:positionV>
            <wp:extent cx="8255" cy="2120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212090"/>
                    </a:xfrm>
                    <a:prstGeom prst="rect">
                      <a:avLst/>
                    </a:prstGeom>
                    <a:noFill/>
                  </pic:spPr>
                </pic:pic>
              </a:graphicData>
            </a:graphic>
          </wp:anchor>
        </w:drawing>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88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7040" w:type="dxa"/>
            <w:vAlign w:val="bottom"/>
            <w:shd w:val="clear" w:color="auto" w:fill="262626"/>
          </w:tcPr>
          <w:p>
            <w:pPr>
              <w:ind w:left="80"/>
              <w:spacing w:after="0"/>
              <w:rPr>
                <w:sz w:val="20"/>
                <w:szCs w:val="20"/>
                <w:color w:val="auto"/>
              </w:rPr>
            </w:pPr>
            <w:r>
              <w:rPr>
                <w:rFonts w:ascii="Arial" w:cs="Arial" w:eastAsia="Arial" w:hAnsi="Arial"/>
                <w:sz w:val="15"/>
                <w:szCs w:val="15"/>
                <w:b w:val="1"/>
                <w:bCs w:val="1"/>
                <w:color w:val="FFFFFF"/>
              </w:rPr>
              <w:t>Unvested PRSUs</w:t>
            </w:r>
          </w:p>
        </w:tc>
        <w:tc>
          <w:tcPr>
            <w:tcW w:w="0" w:type="dxa"/>
            <w:vAlign w:val="bottom"/>
          </w:tcPr>
          <w:p>
            <w:pPr>
              <w:spacing w:after="0"/>
              <w:rPr>
                <w:sz w:val="1"/>
                <w:szCs w:val="1"/>
                <w:color w:val="auto"/>
              </w:rPr>
            </w:pPr>
          </w:p>
        </w:tc>
      </w:tr>
      <w:tr>
        <w:trPr>
          <w:trHeight w:val="64"/>
        </w:trPr>
        <w:tc>
          <w:tcPr>
            <w:tcW w:w="3880" w:type="dxa"/>
            <w:vAlign w:val="bottom"/>
            <w:tcBorders>
              <w:right w:val="single" w:sz="8" w:color="262626"/>
            </w:tcBorders>
            <w:shd w:val="clear" w:color="auto" w:fill="262626"/>
          </w:tcPr>
          <w:p>
            <w:pPr>
              <w:spacing w:after="0"/>
              <w:rPr>
                <w:sz w:val="5"/>
                <w:szCs w:val="5"/>
                <w:color w:val="auto"/>
              </w:rPr>
            </w:pPr>
          </w:p>
        </w:tc>
        <w:tc>
          <w:tcPr>
            <w:tcW w:w="7040" w:type="dxa"/>
            <w:vAlign w:val="bottom"/>
            <w:shd w:val="clear" w:color="auto" w:fill="262626"/>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Voluntary termination</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w:t>
            </w:r>
          </w:p>
        </w:tc>
        <w:tc>
          <w:tcPr>
            <w:tcW w:w="0" w:type="dxa"/>
            <w:vAlign w:val="bottom"/>
          </w:tcPr>
          <w:p>
            <w:pPr>
              <w:spacing w:after="0"/>
              <w:rPr>
                <w:sz w:val="1"/>
                <w:szCs w:val="1"/>
                <w:color w:val="auto"/>
              </w:rPr>
            </w:pP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Involuntary termination for poor performance or for</w:t>
            </w:r>
          </w:p>
        </w:tc>
        <w:tc>
          <w:tcPr>
            <w:tcW w:w="7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Cause</w:t>
            </w:r>
          </w:p>
        </w:tc>
        <w:tc>
          <w:tcPr>
            <w:tcW w:w="7040" w:type="dxa"/>
            <w:vAlign w:val="bottom"/>
          </w:tcPr>
          <w:p>
            <w:pPr>
              <w:ind w:left="80"/>
              <w:spacing w:after="0"/>
              <w:rPr>
                <w:sz w:val="20"/>
                <w:szCs w:val="20"/>
                <w:color w:val="auto"/>
              </w:rPr>
            </w:pPr>
            <w:r>
              <w:rPr>
                <w:rFonts w:ascii="Arial" w:cs="Arial" w:eastAsia="Arial" w:hAnsi="Arial"/>
                <w:sz w:val="14"/>
                <w:szCs w:val="14"/>
                <w:color w:val="auto"/>
              </w:rPr>
              <w:t>Forfeited</w:t>
            </w:r>
          </w:p>
        </w:tc>
        <w:tc>
          <w:tcPr>
            <w:tcW w:w="0" w:type="dxa"/>
            <w:vAlign w:val="bottom"/>
          </w:tcPr>
          <w:p>
            <w:pPr>
              <w:spacing w:after="0"/>
              <w:rPr>
                <w:sz w:val="1"/>
                <w:szCs w:val="1"/>
                <w:color w:val="auto"/>
              </w:rPr>
            </w:pP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Involuntary termination not for poor performance or</w:t>
            </w:r>
          </w:p>
        </w:tc>
        <w:tc>
          <w:tcPr>
            <w:tcW w:w="7040" w:type="dxa"/>
            <w:vAlign w:val="bottom"/>
          </w:tcPr>
          <w:p>
            <w:pPr>
              <w:ind w:left="80"/>
              <w:spacing w:after="0" w:line="158" w:lineRule="exact"/>
              <w:rPr>
                <w:sz w:val="20"/>
                <w:szCs w:val="20"/>
                <w:color w:val="auto"/>
              </w:rPr>
            </w:pPr>
            <w:r>
              <w:rPr>
                <w:rFonts w:ascii="Arial" w:cs="Arial" w:eastAsia="Arial" w:hAnsi="Arial"/>
                <w:sz w:val="14"/>
                <w:szCs w:val="14"/>
                <w:color w:val="auto"/>
              </w:rPr>
              <w:t>Pro rata vesting based on active service as an employee (measured in calendar days) during the performance</w:t>
            </w:r>
          </w:p>
        </w:tc>
        <w:tc>
          <w:tcPr>
            <w:tcW w:w="0" w:type="dxa"/>
            <w:vAlign w:val="bottom"/>
          </w:tcPr>
          <w:p>
            <w:pPr>
              <w:spacing w:after="0"/>
              <w:rPr>
                <w:sz w:val="1"/>
                <w:szCs w:val="1"/>
                <w:color w:val="auto"/>
              </w:rPr>
            </w:pPr>
          </w:p>
        </w:tc>
      </w:tr>
      <w:tr>
        <w:trPr>
          <w:trHeight w:val="160"/>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without Cause</w:t>
            </w:r>
          </w:p>
        </w:tc>
        <w:tc>
          <w:tcPr>
            <w:tcW w:w="7040" w:type="dxa"/>
            <w:vAlign w:val="bottom"/>
          </w:tcPr>
          <w:p>
            <w:pPr>
              <w:ind w:left="80"/>
              <w:spacing w:after="0"/>
              <w:rPr>
                <w:sz w:val="20"/>
                <w:szCs w:val="20"/>
                <w:color w:val="auto"/>
              </w:rPr>
            </w:pPr>
            <w:r>
              <w:rPr>
                <w:rFonts w:ascii="Arial" w:cs="Arial" w:eastAsia="Arial" w:hAnsi="Arial"/>
                <w:sz w:val="14"/>
                <w:szCs w:val="14"/>
                <w:color w:val="auto"/>
              </w:rPr>
              <w:t>period. Performance factor applied at the end of the performance period. Vesting would occur on the original</w:t>
            </w:r>
          </w:p>
        </w:tc>
        <w:tc>
          <w:tcPr>
            <w:tcW w:w="0" w:type="dxa"/>
            <w:vAlign w:val="bottom"/>
          </w:tcPr>
          <w:p>
            <w:pPr>
              <w:spacing w:after="0"/>
              <w:rPr>
                <w:sz w:val="1"/>
                <w:szCs w:val="1"/>
                <w:color w:val="auto"/>
              </w:rPr>
            </w:pP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vesting date(s). The remaining PRSUs would be forfeited.</w:t>
            </w:r>
          </w:p>
        </w:tc>
        <w:tc>
          <w:tcPr>
            <w:tcW w:w="0" w:type="dxa"/>
            <w:vAlign w:val="bottom"/>
          </w:tcPr>
          <w:p>
            <w:pPr>
              <w:spacing w:after="0"/>
              <w:rPr>
                <w:sz w:val="1"/>
                <w:szCs w:val="1"/>
                <w:color w:val="auto"/>
              </w:rPr>
            </w:pPr>
          </w:p>
        </w:tc>
      </w:tr>
      <w:tr>
        <w:trPr>
          <w:trHeight w:val="88"/>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Sale of the holder’s business</w:t>
            </w:r>
          </w:p>
        </w:tc>
        <w:tc>
          <w:tcPr>
            <w:tcW w:w="7040" w:type="dxa"/>
            <w:vAlign w:val="bottom"/>
          </w:tcPr>
          <w:p>
            <w:pPr>
              <w:ind w:left="80"/>
              <w:spacing w:after="0"/>
              <w:rPr>
                <w:sz w:val="20"/>
                <w:szCs w:val="20"/>
                <w:color w:val="auto"/>
              </w:rPr>
            </w:pPr>
            <w:r>
              <w:rPr>
                <w:rFonts w:ascii="Arial" w:cs="Arial" w:eastAsia="Arial" w:hAnsi="Arial"/>
                <w:sz w:val="14"/>
                <w:szCs w:val="14"/>
                <w:color w:val="auto"/>
              </w:rPr>
              <w:t>The Board or HR Committee shall meet to determine the appropriate treatment of any unvested PRSUs.</w:t>
            </w:r>
          </w:p>
        </w:tc>
        <w:tc>
          <w:tcPr>
            <w:tcW w:w="0" w:type="dxa"/>
            <w:vAlign w:val="bottom"/>
          </w:tcPr>
          <w:p>
            <w:pPr>
              <w:spacing w:after="0"/>
              <w:rPr>
                <w:sz w:val="1"/>
                <w:szCs w:val="1"/>
                <w:color w:val="auto"/>
              </w:rPr>
            </w:pP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A Change of Control of Thomson Reuters (based on</w:t>
            </w:r>
          </w:p>
        </w:tc>
        <w:tc>
          <w:tcPr>
            <w:tcW w:w="7040" w:type="dxa"/>
            <w:vAlign w:val="bottom"/>
          </w:tcPr>
          <w:p>
            <w:pPr>
              <w:ind w:left="80"/>
              <w:spacing w:after="0" w:line="158" w:lineRule="exact"/>
              <w:rPr>
                <w:sz w:val="20"/>
                <w:szCs w:val="20"/>
                <w:color w:val="auto"/>
              </w:rPr>
            </w:pPr>
            <w:r>
              <w:rPr>
                <w:rFonts w:ascii="Arial" w:cs="Arial" w:eastAsia="Arial" w:hAnsi="Arial"/>
                <w:sz w:val="14"/>
                <w:szCs w:val="14"/>
                <w:color w:val="auto"/>
              </w:rPr>
              <w:t>If a Change of Control occurs during first two years of the three year performance period, PRSUs will be</w:t>
            </w:r>
          </w:p>
        </w:tc>
        <w:tc>
          <w:tcPr>
            <w:tcW w:w="0" w:type="dxa"/>
            <w:vAlign w:val="bottom"/>
          </w:tcPr>
          <w:p>
            <w:pPr>
              <w:spacing w:after="0"/>
              <w:rPr>
                <w:sz w:val="1"/>
                <w:szCs w:val="1"/>
                <w:color w:val="auto"/>
              </w:rPr>
            </w:pPr>
          </w:p>
        </w:tc>
      </w:tr>
      <w:tr>
        <w:trPr>
          <w:trHeight w:val="160"/>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the surviving, successor or acquiring company</w:t>
            </w:r>
          </w:p>
        </w:tc>
        <w:tc>
          <w:tcPr>
            <w:tcW w:w="7040" w:type="dxa"/>
            <w:vAlign w:val="bottom"/>
          </w:tcPr>
          <w:p>
            <w:pPr>
              <w:ind w:left="80"/>
              <w:spacing w:after="0"/>
              <w:rPr>
                <w:sz w:val="20"/>
                <w:szCs w:val="20"/>
                <w:color w:val="auto"/>
              </w:rPr>
            </w:pPr>
            <w:r>
              <w:rPr>
                <w:rFonts w:ascii="Arial" w:cs="Arial" w:eastAsia="Arial" w:hAnsi="Arial"/>
                <w:sz w:val="14"/>
                <w:szCs w:val="14"/>
                <w:color w:val="auto"/>
              </w:rPr>
              <w:t>converted to TRSUs at 100% of target performance and become vested on the original vesting date.</w:t>
            </w:r>
          </w:p>
        </w:tc>
        <w:tc>
          <w:tcPr>
            <w:tcW w:w="0" w:type="dxa"/>
            <w:vAlign w:val="bottom"/>
          </w:tcPr>
          <w:p>
            <w:pPr>
              <w:spacing w:after="0"/>
              <w:rPr>
                <w:sz w:val="1"/>
                <w:szCs w:val="1"/>
                <w:color w:val="auto"/>
              </w:rPr>
            </w:pPr>
          </w:p>
        </w:tc>
      </w:tr>
      <w:tr>
        <w:trPr>
          <w:trHeight w:val="195"/>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assuming PRSUs or substituting similar awards)</w:t>
            </w:r>
          </w:p>
        </w:tc>
        <w:tc>
          <w:tcPr>
            <w:tcW w:w="7040" w:type="dxa"/>
            <w:vAlign w:val="bottom"/>
            <w:vMerge w:val="restart"/>
          </w:tcPr>
          <w:p>
            <w:pPr>
              <w:ind w:left="80"/>
              <w:spacing w:after="0"/>
              <w:rPr>
                <w:sz w:val="20"/>
                <w:szCs w:val="20"/>
                <w:color w:val="auto"/>
              </w:rPr>
            </w:pPr>
            <w:r>
              <w:rPr>
                <w:rFonts w:ascii="Arial" w:cs="Arial" w:eastAsia="Arial" w:hAnsi="Arial"/>
                <w:sz w:val="14"/>
                <w:szCs w:val="14"/>
                <w:color w:val="auto"/>
              </w:rPr>
              <w:t>If a Change of Control occurs during year three of the three year performance period, PRSUs will be</w:t>
            </w:r>
          </w:p>
        </w:tc>
        <w:tc>
          <w:tcPr>
            <w:tcW w:w="0" w:type="dxa"/>
            <w:vAlign w:val="bottom"/>
          </w:tcPr>
          <w:p>
            <w:pPr>
              <w:spacing w:after="0"/>
              <w:rPr>
                <w:sz w:val="1"/>
                <w:szCs w:val="1"/>
                <w:color w:val="auto"/>
              </w:rPr>
            </w:pPr>
          </w:p>
        </w:tc>
      </w:tr>
      <w:tr>
        <w:trPr>
          <w:trHeight w:val="86"/>
        </w:trPr>
        <w:tc>
          <w:tcPr>
            <w:tcW w:w="3880" w:type="dxa"/>
            <w:vAlign w:val="bottom"/>
            <w:tcBorders>
              <w:right w:val="single" w:sz="8" w:color="AFAFAF"/>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converted to TRSUs based on estimated performance and become vested on the original vesting date.</w:t>
            </w:r>
          </w:p>
        </w:tc>
        <w:tc>
          <w:tcPr>
            <w:tcW w:w="0" w:type="dxa"/>
            <w:vAlign w:val="bottom"/>
          </w:tcPr>
          <w:p>
            <w:pPr>
              <w:spacing w:after="0"/>
              <w:rPr>
                <w:sz w:val="1"/>
                <w:szCs w:val="1"/>
                <w:color w:val="auto"/>
              </w:rPr>
            </w:pPr>
          </w:p>
        </w:tc>
      </w:tr>
      <w:tr>
        <w:trPr>
          <w:trHeight w:val="252"/>
        </w:trPr>
        <w:tc>
          <w:tcPr>
            <w:tcW w:w="3880" w:type="dxa"/>
            <w:vAlign w:val="bottom"/>
            <w:tcBorders>
              <w:right w:val="single" w:sz="8" w:color="AFAFAF"/>
            </w:tcBorders>
          </w:tcPr>
          <w:p>
            <w:pPr>
              <w:spacing w:after="0"/>
              <w:rPr>
                <w:sz w:val="21"/>
                <w:szCs w:val="21"/>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“Double trigger”—if a holder ceases to be an employee as a result of involuntary termination not for poor</w:t>
            </w:r>
          </w:p>
        </w:tc>
        <w:tc>
          <w:tcPr>
            <w:tcW w:w="0" w:type="dxa"/>
            <w:vAlign w:val="bottom"/>
          </w:tcPr>
          <w:p>
            <w:pPr>
              <w:spacing w:after="0"/>
              <w:rPr>
                <w:sz w:val="1"/>
                <w:szCs w:val="1"/>
                <w:color w:val="auto"/>
              </w:rPr>
            </w:pP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performance or without Cause within two years following a Change of Control, then all of the holder’s</w:t>
            </w:r>
          </w:p>
        </w:tc>
        <w:tc>
          <w:tcPr>
            <w:tcW w:w="0" w:type="dxa"/>
            <w:vAlign w:val="bottom"/>
          </w:tcPr>
          <w:p>
            <w:pPr>
              <w:spacing w:after="0"/>
              <w:rPr>
                <w:sz w:val="1"/>
                <w:szCs w:val="1"/>
                <w:color w:val="auto"/>
              </w:rPr>
            </w:pP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outstanding TRSUs (which were converted from PRSUs at the time of the Change of Control) shall become</w:t>
            </w:r>
          </w:p>
        </w:tc>
        <w:tc>
          <w:tcPr>
            <w:tcW w:w="0" w:type="dxa"/>
            <w:vAlign w:val="bottom"/>
          </w:tcPr>
          <w:p>
            <w:pPr>
              <w:spacing w:after="0"/>
              <w:rPr>
                <w:sz w:val="1"/>
                <w:szCs w:val="1"/>
                <w:color w:val="auto"/>
              </w:rPr>
            </w:pP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fully vested on the date that the holder ceased to be an employee.</w:t>
            </w:r>
          </w:p>
        </w:tc>
        <w:tc>
          <w:tcPr>
            <w:tcW w:w="0" w:type="dxa"/>
            <w:vAlign w:val="bottom"/>
          </w:tcPr>
          <w:p>
            <w:pPr>
              <w:spacing w:after="0"/>
              <w:rPr>
                <w:sz w:val="1"/>
                <w:szCs w:val="1"/>
                <w:color w:val="auto"/>
              </w:rPr>
            </w:pPr>
          </w:p>
        </w:tc>
      </w:tr>
      <w:tr>
        <w:trPr>
          <w:trHeight w:val="101"/>
        </w:trPr>
        <w:tc>
          <w:tcPr>
            <w:tcW w:w="3880" w:type="dxa"/>
            <w:vAlign w:val="bottom"/>
            <w:tcBorders>
              <w:bottom w:val="single" w:sz="8" w:color="AFAFAF"/>
              <w:right w:val="single" w:sz="8" w:color="AFAFAF"/>
            </w:tcBorders>
          </w:tcPr>
          <w:p>
            <w:pPr>
              <w:spacing w:after="0"/>
              <w:rPr>
                <w:sz w:val="8"/>
                <w:szCs w:val="8"/>
                <w:color w:val="auto"/>
              </w:rPr>
            </w:pPr>
          </w:p>
        </w:tc>
        <w:tc>
          <w:tcPr>
            <w:tcW w:w="7040" w:type="dxa"/>
            <w:vAlign w:val="bottom"/>
            <w:tcBorders>
              <w:bottom w:val="single" w:sz="8" w:color="AFAFAF"/>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880" w:type="dxa"/>
            <w:vAlign w:val="bottom"/>
            <w:tcBorders>
              <w:right w:val="single" w:sz="8" w:color="AFAFAF"/>
            </w:tcBorders>
          </w:tcPr>
          <w:p>
            <w:pPr>
              <w:ind w:left="100"/>
              <w:spacing w:after="0" w:line="158" w:lineRule="exact"/>
              <w:rPr>
                <w:sz w:val="20"/>
                <w:szCs w:val="20"/>
                <w:color w:val="auto"/>
              </w:rPr>
            </w:pPr>
            <w:r>
              <w:rPr>
                <w:rFonts w:ascii="Arial" w:cs="Arial" w:eastAsia="Arial" w:hAnsi="Arial"/>
                <w:sz w:val="14"/>
                <w:szCs w:val="14"/>
                <w:b w:val="1"/>
                <w:bCs w:val="1"/>
                <w:color w:val="auto"/>
              </w:rPr>
              <w:t>Retirement</w:t>
            </w:r>
          </w:p>
        </w:tc>
        <w:tc>
          <w:tcPr>
            <w:tcW w:w="7040" w:type="dxa"/>
            <w:vAlign w:val="bottom"/>
          </w:tcPr>
          <w:p>
            <w:pPr>
              <w:ind w:left="80"/>
              <w:spacing w:after="0" w:line="158" w:lineRule="exact"/>
              <w:rPr>
                <w:sz w:val="20"/>
                <w:szCs w:val="20"/>
                <w:color w:val="auto"/>
              </w:rPr>
            </w:pPr>
            <w:r>
              <w:rPr>
                <w:rFonts w:ascii="Arial" w:cs="Arial" w:eastAsia="Arial" w:hAnsi="Arial"/>
                <w:sz w:val="14"/>
                <w:szCs w:val="14"/>
                <w:color w:val="auto"/>
              </w:rPr>
              <w:t>Fully vested on the scheduled vesting date(s) (as adjusted to reflect actual performance) if the PRSUs have</w:t>
            </w:r>
          </w:p>
        </w:tc>
        <w:tc>
          <w:tcPr>
            <w:tcW w:w="0" w:type="dxa"/>
            <w:vAlign w:val="bottom"/>
          </w:tcPr>
          <w:p>
            <w:pPr>
              <w:spacing w:after="0"/>
              <w:rPr>
                <w:sz w:val="1"/>
                <w:szCs w:val="1"/>
                <w:color w:val="auto"/>
              </w:rPr>
            </w:pPr>
          </w:p>
        </w:tc>
      </w:tr>
      <w:tr>
        <w:trPr>
          <w:trHeight w:val="160"/>
        </w:trPr>
        <w:tc>
          <w:tcPr>
            <w:tcW w:w="3880" w:type="dxa"/>
            <w:vAlign w:val="bottom"/>
            <w:tcBorders>
              <w:right w:val="single" w:sz="8" w:color="AFAFAF"/>
            </w:tcBorders>
          </w:tcPr>
          <w:p>
            <w:pPr>
              <w:spacing w:after="0"/>
              <w:rPr>
                <w:sz w:val="13"/>
                <w:szCs w:val="13"/>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been outstanding for at least six months when Retirement occurs. If the PRSUs have not been outstanding for</w:t>
            </w:r>
          </w:p>
        </w:tc>
        <w:tc>
          <w:tcPr>
            <w:tcW w:w="0" w:type="dxa"/>
            <w:vAlign w:val="bottom"/>
          </w:tcPr>
          <w:p>
            <w:pPr>
              <w:spacing w:after="0"/>
              <w:rPr>
                <w:sz w:val="1"/>
                <w:szCs w:val="1"/>
                <w:color w:val="auto"/>
              </w:rPr>
            </w:pPr>
          </w:p>
        </w:tc>
      </w:tr>
      <w:tr>
        <w:trPr>
          <w:trHeight w:val="189"/>
        </w:trPr>
        <w:tc>
          <w:tcPr>
            <w:tcW w:w="3880" w:type="dxa"/>
            <w:vAlign w:val="bottom"/>
            <w:tcBorders>
              <w:right w:val="single" w:sz="8" w:color="AFAFAF"/>
            </w:tcBorders>
          </w:tcPr>
          <w:p>
            <w:pPr>
              <w:spacing w:after="0"/>
              <w:rPr>
                <w:sz w:val="16"/>
                <w:szCs w:val="16"/>
                <w:color w:val="auto"/>
              </w:rPr>
            </w:pPr>
          </w:p>
        </w:tc>
        <w:tc>
          <w:tcPr>
            <w:tcW w:w="7040" w:type="dxa"/>
            <w:vAlign w:val="bottom"/>
          </w:tcPr>
          <w:p>
            <w:pPr>
              <w:ind w:left="80"/>
              <w:spacing w:after="0"/>
              <w:rPr>
                <w:sz w:val="20"/>
                <w:szCs w:val="20"/>
                <w:color w:val="auto"/>
              </w:rPr>
            </w:pPr>
            <w:r>
              <w:rPr>
                <w:rFonts w:ascii="Arial" w:cs="Arial" w:eastAsia="Arial" w:hAnsi="Arial"/>
                <w:sz w:val="14"/>
                <w:szCs w:val="14"/>
                <w:color w:val="auto"/>
              </w:rPr>
              <w:t>that period, they would be forfeited.</w:t>
            </w:r>
          </w:p>
        </w:tc>
        <w:tc>
          <w:tcPr>
            <w:tcW w:w="0" w:type="dxa"/>
            <w:vAlign w:val="bottom"/>
          </w:tcPr>
          <w:p>
            <w:pPr>
              <w:spacing w:after="0"/>
              <w:rPr>
                <w:sz w:val="1"/>
                <w:szCs w:val="1"/>
                <w:color w:val="auto"/>
              </w:rPr>
            </w:pPr>
          </w:p>
        </w:tc>
      </w:tr>
      <w:tr>
        <w:trPr>
          <w:trHeight w:val="88"/>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Disability</w:t>
            </w:r>
          </w:p>
        </w:tc>
        <w:tc>
          <w:tcPr>
            <w:tcW w:w="7040" w:type="dxa"/>
            <w:vAlign w:val="bottom"/>
          </w:tcPr>
          <w:p>
            <w:pPr>
              <w:ind w:left="80"/>
              <w:spacing w:after="0"/>
              <w:rPr>
                <w:sz w:val="20"/>
                <w:szCs w:val="20"/>
                <w:color w:val="auto"/>
              </w:rPr>
            </w:pPr>
            <w:r>
              <w:rPr>
                <w:rFonts w:ascii="Arial" w:cs="Arial" w:eastAsia="Arial" w:hAnsi="Arial"/>
                <w:sz w:val="14"/>
                <w:szCs w:val="14"/>
                <w:color w:val="auto"/>
              </w:rPr>
              <w:t>Fully vested on the scheduled vesting date(s) (as adjusted to reflect actual performance).</w:t>
            </w:r>
          </w:p>
        </w:tc>
        <w:tc>
          <w:tcPr>
            <w:tcW w:w="0" w:type="dxa"/>
            <w:vAlign w:val="bottom"/>
          </w:tcPr>
          <w:p>
            <w:pPr>
              <w:spacing w:after="0"/>
              <w:rPr>
                <w:sz w:val="1"/>
                <w:szCs w:val="1"/>
                <w:color w:val="auto"/>
              </w:rPr>
            </w:pPr>
          </w:p>
        </w:tc>
      </w:tr>
      <w:tr>
        <w:trPr>
          <w:trHeight w:val="82"/>
        </w:trPr>
        <w:tc>
          <w:tcPr>
            <w:tcW w:w="3880" w:type="dxa"/>
            <w:vAlign w:val="bottom"/>
            <w:tcBorders>
              <w:bottom w:val="single" w:sz="8" w:color="AFAFAF"/>
              <w:right w:val="single" w:sz="8" w:color="AFAFAF"/>
            </w:tcBorders>
          </w:tcPr>
          <w:p>
            <w:pPr>
              <w:spacing w:after="0"/>
              <w:rPr>
                <w:sz w:val="7"/>
                <w:szCs w:val="7"/>
                <w:color w:val="auto"/>
              </w:rPr>
            </w:pPr>
          </w:p>
        </w:tc>
        <w:tc>
          <w:tcPr>
            <w:tcW w:w="7040" w:type="dxa"/>
            <w:vAlign w:val="bottom"/>
            <w:tcBorders>
              <w:bottom w:val="single" w:sz="8" w:color="AFAFAF"/>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8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Death</w:t>
            </w:r>
          </w:p>
        </w:tc>
        <w:tc>
          <w:tcPr>
            <w:tcW w:w="7040" w:type="dxa"/>
            <w:vAlign w:val="bottom"/>
          </w:tcPr>
          <w:p>
            <w:pPr>
              <w:ind w:left="80"/>
              <w:spacing w:after="0"/>
              <w:rPr>
                <w:sz w:val="20"/>
                <w:szCs w:val="20"/>
                <w:color w:val="auto"/>
              </w:rPr>
            </w:pPr>
            <w:r>
              <w:rPr>
                <w:rFonts w:ascii="Arial" w:cs="Arial" w:eastAsia="Arial" w:hAnsi="Arial"/>
                <w:sz w:val="14"/>
                <w:szCs w:val="14"/>
                <w:color w:val="auto"/>
              </w:rPr>
              <w:t>Fully vested on the scheduled vesting date(s) (as adjusted to reflect actual performance).</w:t>
            </w:r>
          </w:p>
        </w:tc>
        <w:tc>
          <w:tcPr>
            <w:tcW w:w="0" w:type="dxa"/>
            <w:vAlign w:val="bottom"/>
          </w:tcPr>
          <w:p>
            <w:pPr>
              <w:spacing w:after="0"/>
              <w:rPr>
                <w:sz w:val="1"/>
                <w:szCs w:val="1"/>
                <w:color w:val="auto"/>
              </w:rPr>
            </w:pPr>
          </w:p>
        </w:tc>
      </w:tr>
      <w:tr>
        <w:trPr>
          <w:trHeight w:val="82"/>
        </w:trPr>
        <w:tc>
          <w:tcPr>
            <w:tcW w:w="3880" w:type="dxa"/>
            <w:vAlign w:val="bottom"/>
            <w:tcBorders>
              <w:bottom w:val="single" w:sz="8" w:color="B94831"/>
              <w:right w:val="single" w:sz="8" w:color="AFAFAF"/>
            </w:tcBorders>
          </w:tcPr>
          <w:p>
            <w:pPr>
              <w:spacing w:after="0"/>
              <w:rPr>
                <w:sz w:val="7"/>
                <w:szCs w:val="7"/>
                <w:color w:val="auto"/>
              </w:rPr>
            </w:pPr>
          </w:p>
        </w:tc>
        <w:tc>
          <w:tcPr>
            <w:tcW w:w="7040" w:type="dxa"/>
            <w:vAlign w:val="bottom"/>
            <w:tcBorders>
              <w:bottom w:val="single" w:sz="8" w:color="B9483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880" w:type="dxa"/>
            <w:vAlign w:val="bottom"/>
            <w:tcBorders>
              <w:bottom w:val="single" w:sz="8" w:color="B94831"/>
            </w:tcBorders>
          </w:tcPr>
          <w:p>
            <w:pPr>
              <w:spacing w:after="0"/>
              <w:rPr>
                <w:sz w:val="19"/>
                <w:szCs w:val="19"/>
                <w:color w:val="auto"/>
              </w:rPr>
            </w:pPr>
          </w:p>
        </w:tc>
        <w:tc>
          <w:tcPr>
            <w:tcW w:w="7040" w:type="dxa"/>
            <w:vAlign w:val="bottom"/>
            <w:tcBorders>
              <w:bottom w:val="single" w:sz="8" w:color="B94831"/>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7040" w:type="dxa"/>
            <w:vAlign w:val="bottom"/>
          </w:tcPr>
          <w:p>
            <w:pPr>
              <w:ind w:left="1980"/>
              <w:spacing w:after="0"/>
              <w:rPr>
                <w:sz w:val="20"/>
                <w:szCs w:val="20"/>
                <w:color w:val="auto"/>
              </w:rPr>
            </w:pPr>
            <w:r>
              <w:rPr>
                <w:rFonts w:ascii="Arial" w:cs="Arial" w:eastAsia="Arial" w:hAnsi="Arial"/>
                <w:sz w:val="13"/>
                <w:szCs w:val="13"/>
                <w:color w:val="auto"/>
              </w:rPr>
              <w:t>Management Proxy Circular and Notice of Annual Meeting of Shareholders   Page 95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Retirement</w:t>
      </w:r>
    </w:p>
    <w:p>
      <w:pPr>
        <w:spacing w:after="0" w:line="49" w:lineRule="exact"/>
        <w:rPr>
          <w:sz w:val="20"/>
          <w:szCs w:val="20"/>
          <w:color w:val="auto"/>
        </w:rPr>
      </w:pPr>
    </w:p>
    <w:p>
      <w:pPr>
        <w:ind w:left="160" w:right="380"/>
        <w:spacing w:after="0" w:line="243" w:lineRule="auto"/>
        <w:rPr>
          <w:sz w:val="20"/>
          <w:szCs w:val="20"/>
          <w:color w:val="auto"/>
        </w:rPr>
      </w:pPr>
      <w:r>
        <w:rPr>
          <w:rFonts w:ascii="Arial" w:cs="Arial" w:eastAsia="Arial" w:hAnsi="Arial"/>
          <w:sz w:val="18"/>
          <w:szCs w:val="18"/>
          <w:color w:val="auto"/>
        </w:rPr>
        <w:t>As noted above, we simplified our treatment of retirement by reflecting one definition for annual incentive and equity-based awards granted in 2022 and 2023. Equity-based awards granted prior to 2022 reflect separate definitions for “Early Retirement” and “Normal Retirement”. These definitions are subject to any existing or additional statutory requirements or prescribed definitions that may be set forth by local laws in jurisdictions where awards have been granted and which would take precedence.</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540" w:type="dxa"/>
            <w:vAlign w:val="bottom"/>
            <w:tcBorders>
              <w:top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Awards granted in 2022 and 2023</w:t>
            </w:r>
          </w:p>
        </w:tc>
        <w:tc>
          <w:tcPr>
            <w:tcW w:w="7380" w:type="dxa"/>
            <w:vAlign w:val="bottom"/>
            <w:tcBorders>
              <w:top w:val="single" w:sz="8" w:color="B94831"/>
            </w:tcBorders>
          </w:tcPr>
          <w:p>
            <w:pPr>
              <w:ind w:left="80"/>
              <w:spacing w:after="0"/>
              <w:rPr>
                <w:sz w:val="20"/>
                <w:szCs w:val="20"/>
                <w:color w:val="auto"/>
              </w:rPr>
            </w:pPr>
            <w:r>
              <w:rPr>
                <w:rFonts w:ascii="Arial" w:cs="Arial" w:eastAsia="Arial" w:hAnsi="Arial"/>
                <w:sz w:val="14"/>
                <w:szCs w:val="14"/>
                <w:b w:val="1"/>
                <w:bCs w:val="1"/>
                <w:color w:val="auto"/>
              </w:rPr>
              <w:t xml:space="preserve">Retirement </w:t>
            </w:r>
            <w:r>
              <w:rPr>
                <w:rFonts w:ascii="Arial" w:cs="Arial" w:eastAsia="Arial" w:hAnsi="Arial"/>
                <w:sz w:val="14"/>
                <w:szCs w:val="14"/>
                <w:color w:val="auto"/>
              </w:rPr>
              <w:t>means retirement from active employment on or after attaining (a) age 65 or (b) age 60 or more and</w:t>
            </w:r>
          </w:p>
        </w:tc>
      </w:tr>
      <w:tr>
        <w:trPr>
          <w:trHeight w:val="160"/>
        </w:trPr>
        <w:tc>
          <w:tcPr>
            <w:tcW w:w="3540" w:type="dxa"/>
            <w:vAlign w:val="bottom"/>
            <w:tcBorders>
              <w:right w:val="single" w:sz="8" w:color="AFAFAF"/>
            </w:tcBorders>
          </w:tcPr>
          <w:p>
            <w:pPr>
              <w:spacing w:after="0"/>
              <w:rPr>
                <w:sz w:val="13"/>
                <w:szCs w:val="13"/>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the combination of an employee’s age and years of credited service with Thomson Reuters is equal to 65 or more.</w:t>
            </w:r>
          </w:p>
        </w:tc>
      </w:tr>
      <w:tr>
        <w:trPr>
          <w:trHeight w:val="160"/>
        </w:trPr>
        <w:tc>
          <w:tcPr>
            <w:tcW w:w="3540" w:type="dxa"/>
            <w:vAlign w:val="bottom"/>
            <w:tcBorders>
              <w:right w:val="single" w:sz="8" w:color="AFAFAF"/>
            </w:tcBorders>
          </w:tcPr>
          <w:p>
            <w:pPr>
              <w:spacing w:after="0"/>
              <w:rPr>
                <w:sz w:val="13"/>
                <w:szCs w:val="13"/>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For purposes of section (b) of this definition, partial years will be counted solely to determine whether an employee</w:t>
            </w:r>
          </w:p>
        </w:tc>
      </w:tr>
      <w:tr>
        <w:trPr>
          <w:trHeight w:val="189"/>
        </w:trPr>
        <w:tc>
          <w:tcPr>
            <w:tcW w:w="3540" w:type="dxa"/>
            <w:vAlign w:val="bottom"/>
            <w:tcBorders>
              <w:right w:val="single" w:sz="8" w:color="AFAFAF"/>
            </w:tcBorders>
          </w:tcPr>
          <w:p>
            <w:pPr>
              <w:spacing w:after="0"/>
              <w:rPr>
                <w:sz w:val="16"/>
                <w:szCs w:val="16"/>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satisfies the total of 65 or more, but will not be rounded.</w:t>
            </w:r>
          </w:p>
        </w:tc>
      </w:tr>
      <w:tr>
        <w:trPr>
          <w:trHeight w:val="48"/>
        </w:trPr>
        <w:tc>
          <w:tcPr>
            <w:tcW w:w="3540" w:type="dxa"/>
            <w:vAlign w:val="bottom"/>
            <w:tcBorders>
              <w:bottom w:val="single" w:sz="8" w:color="AFAFAF"/>
              <w:right w:val="single" w:sz="8" w:color="AFAFAF"/>
            </w:tcBorders>
          </w:tcPr>
          <w:p>
            <w:pPr>
              <w:spacing w:after="0"/>
              <w:rPr>
                <w:sz w:val="4"/>
                <w:szCs w:val="4"/>
                <w:color w:val="auto"/>
              </w:rPr>
            </w:pPr>
          </w:p>
        </w:tc>
        <w:tc>
          <w:tcPr>
            <w:tcW w:w="7380" w:type="dxa"/>
            <w:vAlign w:val="bottom"/>
            <w:tcBorders>
              <w:bottom w:val="single" w:sz="8" w:color="AFAFAF"/>
            </w:tcBorders>
          </w:tcPr>
          <w:p>
            <w:pPr>
              <w:spacing w:after="0"/>
              <w:rPr>
                <w:sz w:val="4"/>
                <w:szCs w:val="4"/>
                <w:color w:val="auto"/>
              </w:rPr>
            </w:pPr>
          </w:p>
        </w:tc>
      </w:tr>
      <w:tr>
        <w:trPr>
          <w:trHeight w:val="198"/>
        </w:trPr>
        <w:tc>
          <w:tcPr>
            <w:tcW w:w="3540" w:type="dxa"/>
            <w:vAlign w:val="bottom"/>
            <w:tcBorders>
              <w:right w:val="single" w:sz="8" w:color="AFAFAF"/>
            </w:tcBorders>
          </w:tcPr>
          <w:p>
            <w:pPr>
              <w:ind w:left="100"/>
              <w:spacing w:after="0"/>
              <w:rPr>
                <w:sz w:val="20"/>
                <w:szCs w:val="20"/>
                <w:color w:val="auto"/>
              </w:rPr>
            </w:pPr>
            <w:r>
              <w:rPr>
                <w:rFonts w:ascii="Arial" w:cs="Arial" w:eastAsia="Arial" w:hAnsi="Arial"/>
                <w:sz w:val="14"/>
                <w:szCs w:val="14"/>
                <w:color w:val="auto"/>
              </w:rPr>
              <w:t>Awards granted prior to 2022</w:t>
            </w:r>
          </w:p>
        </w:tc>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 xml:space="preserve">Early Retirement </w:t>
            </w:r>
            <w:r>
              <w:rPr>
                <w:rFonts w:ascii="Arial" w:cs="Arial" w:eastAsia="Arial" w:hAnsi="Arial"/>
                <w:sz w:val="14"/>
                <w:szCs w:val="14"/>
                <w:color w:val="auto"/>
              </w:rPr>
              <w:t>means age 60; provided that employees in the United States (the 50 states and the District of</w:t>
            </w:r>
          </w:p>
        </w:tc>
      </w:tr>
      <w:tr>
        <w:trPr>
          <w:trHeight w:val="189"/>
        </w:trPr>
        <w:tc>
          <w:tcPr>
            <w:tcW w:w="3540" w:type="dxa"/>
            <w:vAlign w:val="bottom"/>
            <w:tcBorders>
              <w:right w:val="single" w:sz="8" w:color="AFAFAF"/>
            </w:tcBorders>
          </w:tcPr>
          <w:p>
            <w:pPr>
              <w:spacing w:after="0"/>
              <w:rPr>
                <w:sz w:val="16"/>
                <w:szCs w:val="16"/>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Columbia) must have at least 5 years of credited service.</w:t>
            </w:r>
          </w:p>
        </w:tc>
      </w:tr>
      <w:tr>
        <w:trPr>
          <w:trHeight w:val="252"/>
        </w:trPr>
        <w:tc>
          <w:tcPr>
            <w:tcW w:w="3540" w:type="dxa"/>
            <w:vAlign w:val="bottom"/>
            <w:tcBorders>
              <w:right w:val="single" w:sz="8" w:color="AFAFAF"/>
            </w:tcBorders>
          </w:tcPr>
          <w:p>
            <w:pPr>
              <w:spacing w:after="0"/>
              <w:rPr>
                <w:sz w:val="21"/>
                <w:szCs w:val="21"/>
                <w:color w:val="auto"/>
              </w:rPr>
            </w:pPr>
          </w:p>
        </w:tc>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 xml:space="preserve">Normal Retirement </w:t>
            </w:r>
            <w:r>
              <w:rPr>
                <w:rFonts w:ascii="Arial" w:cs="Arial" w:eastAsia="Arial" w:hAnsi="Arial"/>
                <w:sz w:val="14"/>
                <w:szCs w:val="14"/>
                <w:color w:val="auto"/>
              </w:rPr>
              <w:t>means age 65 for employees without supplemental executive retirement plans (SERPs) and</w:t>
            </w:r>
          </w:p>
        </w:tc>
      </w:tr>
      <w:tr>
        <w:trPr>
          <w:trHeight w:val="189"/>
        </w:trPr>
        <w:tc>
          <w:tcPr>
            <w:tcW w:w="3540" w:type="dxa"/>
            <w:vAlign w:val="bottom"/>
            <w:tcBorders>
              <w:right w:val="single" w:sz="8" w:color="AFAFAF"/>
            </w:tcBorders>
          </w:tcPr>
          <w:p>
            <w:pPr>
              <w:spacing w:after="0"/>
              <w:rPr>
                <w:sz w:val="16"/>
                <w:szCs w:val="16"/>
                <w:color w:val="auto"/>
              </w:rPr>
            </w:pPr>
          </w:p>
        </w:tc>
        <w:tc>
          <w:tcPr>
            <w:tcW w:w="7380" w:type="dxa"/>
            <w:vAlign w:val="bottom"/>
          </w:tcPr>
          <w:p>
            <w:pPr>
              <w:ind w:left="80"/>
              <w:spacing w:after="0"/>
              <w:rPr>
                <w:sz w:val="20"/>
                <w:szCs w:val="20"/>
                <w:color w:val="auto"/>
              </w:rPr>
            </w:pPr>
            <w:r>
              <w:rPr>
                <w:rFonts w:ascii="Arial" w:cs="Arial" w:eastAsia="Arial" w:hAnsi="Arial"/>
                <w:sz w:val="14"/>
                <w:szCs w:val="14"/>
                <w:color w:val="auto"/>
              </w:rPr>
              <w:t>age 62 and at least 10 years of credited service for employees with SERPs.</w:t>
            </w:r>
          </w:p>
        </w:tc>
      </w:tr>
      <w:tr>
        <w:trPr>
          <w:trHeight w:val="61"/>
        </w:trPr>
        <w:tc>
          <w:tcPr>
            <w:tcW w:w="3540" w:type="dxa"/>
            <w:vAlign w:val="bottom"/>
            <w:tcBorders>
              <w:bottom w:val="single" w:sz="8" w:color="B94831"/>
              <w:right w:val="single" w:sz="8" w:color="AFAFAF"/>
            </w:tcBorders>
          </w:tcPr>
          <w:p>
            <w:pPr>
              <w:spacing w:after="0"/>
              <w:rPr>
                <w:sz w:val="5"/>
                <w:szCs w:val="5"/>
                <w:color w:val="auto"/>
              </w:rPr>
            </w:pPr>
          </w:p>
        </w:tc>
        <w:tc>
          <w:tcPr>
            <w:tcW w:w="7380" w:type="dxa"/>
            <w:vAlign w:val="bottom"/>
            <w:tcBorders>
              <w:bottom w:val="single" w:sz="8" w:color="B94831"/>
            </w:tcBorders>
          </w:tcPr>
          <w:p>
            <w:pPr>
              <w:spacing w:after="0"/>
              <w:rPr>
                <w:sz w:val="5"/>
                <w:szCs w:val="5"/>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Pursuant to award terms and conditions, </w:t>
      </w:r>
      <w:r>
        <w:rPr>
          <w:rFonts w:ascii="Arial" w:cs="Arial" w:eastAsia="Arial" w:hAnsi="Arial"/>
          <w:sz w:val="17"/>
          <w:szCs w:val="17"/>
          <w:i w:val="1"/>
          <w:iCs w:val="1"/>
          <w:color w:val="auto"/>
        </w:rPr>
        <w:t>stock options</w:t>
      </w:r>
      <w:r>
        <w:rPr>
          <w:rFonts w:ascii="Arial" w:cs="Arial" w:eastAsia="Arial" w:hAnsi="Arial"/>
          <w:sz w:val="17"/>
          <w:szCs w:val="17"/>
          <w:color w:val="auto"/>
        </w:rPr>
        <w:t xml:space="preserve"> granted prior to 2022 would be treated as follows in the event of termination due to</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Normal Retirement 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73025</wp:posOffset>
            </wp:positionV>
            <wp:extent cx="8255" cy="2120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21209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73025</wp:posOffset>
            </wp:positionV>
            <wp:extent cx="8255" cy="2120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21209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73025</wp:posOffset>
            </wp:positionV>
            <wp:extent cx="8255" cy="2120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212090"/>
                    </a:xfrm>
                    <a:prstGeom prst="rect">
                      <a:avLst/>
                    </a:prstGeom>
                    <a:noFill/>
                  </pic:spPr>
                </pic:pic>
              </a:graphicData>
            </a:graphic>
          </wp:anchor>
        </w:drawing>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40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1540" w:type="dxa"/>
            <w:vAlign w:val="bottom"/>
            <w:tcBorders>
              <w:right w:val="single" w:sz="8" w:color="262626"/>
            </w:tcBorders>
            <w:shd w:val="clear" w:color="auto" w:fill="262626"/>
          </w:tcPr>
          <w:p>
            <w:pPr>
              <w:ind w:left="240"/>
              <w:spacing w:after="0"/>
              <w:rPr>
                <w:sz w:val="20"/>
                <w:szCs w:val="20"/>
                <w:color w:val="auto"/>
              </w:rPr>
            </w:pPr>
            <w:r>
              <w:rPr>
                <w:rFonts w:ascii="Arial" w:cs="Arial" w:eastAsia="Arial" w:hAnsi="Arial"/>
                <w:sz w:val="15"/>
                <w:szCs w:val="15"/>
                <w:b w:val="1"/>
                <w:bCs w:val="1"/>
                <w:color w:val="FFFFFF"/>
              </w:rPr>
              <w:t>Vested Options</w:t>
            </w:r>
          </w:p>
        </w:tc>
        <w:tc>
          <w:tcPr>
            <w:tcW w:w="3000" w:type="dxa"/>
            <w:vAlign w:val="bottom"/>
            <w:tcBorders>
              <w:right w:val="single" w:sz="8" w:color="262626"/>
            </w:tcBorders>
            <w:shd w:val="clear" w:color="auto" w:fill="262626"/>
          </w:tcPr>
          <w:p>
            <w:pPr>
              <w:ind w:left="260"/>
              <w:spacing w:after="0"/>
              <w:rPr>
                <w:sz w:val="20"/>
                <w:szCs w:val="20"/>
                <w:color w:val="auto"/>
              </w:rPr>
            </w:pPr>
            <w:r>
              <w:rPr>
                <w:rFonts w:ascii="Arial" w:cs="Arial" w:eastAsia="Arial" w:hAnsi="Arial"/>
                <w:sz w:val="15"/>
                <w:szCs w:val="15"/>
                <w:b w:val="1"/>
                <w:bCs w:val="1"/>
                <w:color w:val="FFFFFF"/>
              </w:rPr>
              <w:t>Unvested Options</w:t>
            </w:r>
          </w:p>
        </w:tc>
        <w:tc>
          <w:tcPr>
            <w:tcW w:w="2980" w:type="dxa"/>
            <w:vAlign w:val="bottom"/>
            <w:shd w:val="clear" w:color="auto" w:fill="262626"/>
          </w:tcPr>
          <w:p>
            <w:pPr>
              <w:ind w:left="260"/>
              <w:spacing w:after="0"/>
              <w:rPr>
                <w:sz w:val="20"/>
                <w:szCs w:val="20"/>
                <w:color w:val="auto"/>
              </w:rPr>
            </w:pPr>
            <w:r>
              <w:rPr>
                <w:rFonts w:ascii="Arial" w:cs="Arial" w:eastAsia="Arial" w:hAnsi="Arial"/>
                <w:sz w:val="15"/>
                <w:szCs w:val="15"/>
                <w:b w:val="1"/>
                <w:bCs w:val="1"/>
                <w:color w:val="FFFFFF"/>
              </w:rPr>
              <w:t>Exercise Period</w:t>
            </w:r>
          </w:p>
        </w:tc>
      </w:tr>
      <w:tr>
        <w:trPr>
          <w:trHeight w:val="64"/>
        </w:trPr>
        <w:tc>
          <w:tcPr>
            <w:tcW w:w="3400" w:type="dxa"/>
            <w:vAlign w:val="bottom"/>
            <w:tcBorders>
              <w:right w:val="single" w:sz="8" w:color="262626"/>
            </w:tcBorders>
            <w:shd w:val="clear" w:color="auto" w:fill="262626"/>
          </w:tcPr>
          <w:p>
            <w:pPr>
              <w:spacing w:after="0"/>
              <w:rPr>
                <w:sz w:val="5"/>
                <w:szCs w:val="5"/>
                <w:color w:val="auto"/>
              </w:rPr>
            </w:pPr>
          </w:p>
        </w:tc>
        <w:tc>
          <w:tcPr>
            <w:tcW w:w="1540" w:type="dxa"/>
            <w:vAlign w:val="bottom"/>
            <w:tcBorders>
              <w:right w:val="single" w:sz="8" w:color="262626"/>
            </w:tcBorders>
            <w:shd w:val="clear" w:color="auto" w:fill="262626"/>
          </w:tcPr>
          <w:p>
            <w:pPr>
              <w:spacing w:after="0"/>
              <w:rPr>
                <w:sz w:val="5"/>
                <w:szCs w:val="5"/>
                <w:color w:val="auto"/>
              </w:rPr>
            </w:pPr>
          </w:p>
        </w:tc>
        <w:tc>
          <w:tcPr>
            <w:tcW w:w="3000" w:type="dxa"/>
            <w:vAlign w:val="bottom"/>
            <w:tcBorders>
              <w:right w:val="single" w:sz="8" w:color="262626"/>
            </w:tcBorders>
            <w:shd w:val="clear" w:color="auto" w:fill="262626"/>
          </w:tcPr>
          <w:p>
            <w:pPr>
              <w:spacing w:after="0"/>
              <w:rPr>
                <w:sz w:val="5"/>
                <w:szCs w:val="5"/>
                <w:color w:val="auto"/>
              </w:rPr>
            </w:pPr>
          </w:p>
        </w:tc>
        <w:tc>
          <w:tcPr>
            <w:tcW w:w="2980" w:type="dxa"/>
            <w:vAlign w:val="bottom"/>
            <w:shd w:val="clear" w:color="auto" w:fill="262626"/>
          </w:tcPr>
          <w:p>
            <w:pPr>
              <w:spacing w:after="0"/>
              <w:rPr>
                <w:sz w:val="5"/>
                <w:szCs w:val="5"/>
                <w:color w:val="auto"/>
              </w:rPr>
            </w:pPr>
          </w:p>
        </w:tc>
      </w:tr>
      <w:tr>
        <w:trPr>
          <w:trHeight w:val="205"/>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Normal Retirement</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Continue to vest on the original vesting</w:t>
            </w:r>
          </w:p>
        </w:tc>
        <w:tc>
          <w:tcPr>
            <w:tcW w:w="2980" w:type="dxa"/>
            <w:vAlign w:val="bottom"/>
          </w:tcPr>
          <w:p>
            <w:pPr>
              <w:ind w:left="260"/>
              <w:spacing w:after="0"/>
              <w:rPr>
                <w:sz w:val="20"/>
                <w:szCs w:val="20"/>
                <w:color w:val="auto"/>
              </w:rPr>
            </w:pPr>
            <w:r>
              <w:rPr>
                <w:rFonts w:ascii="Arial" w:cs="Arial" w:eastAsia="Arial" w:hAnsi="Arial"/>
                <w:sz w:val="14"/>
                <w:szCs w:val="14"/>
                <w:color w:val="auto"/>
              </w:rPr>
              <w:t>Options outstanding for 7 years or more:</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date(s); provided that the options have</w:t>
            </w:r>
          </w:p>
        </w:tc>
        <w:tc>
          <w:tcPr>
            <w:tcW w:w="2980" w:type="dxa"/>
            <w:vAlign w:val="bottom"/>
          </w:tcPr>
          <w:p>
            <w:pPr>
              <w:ind w:left="260"/>
              <w:spacing w:after="0"/>
              <w:rPr>
                <w:sz w:val="20"/>
                <w:szCs w:val="20"/>
                <w:color w:val="auto"/>
              </w:rPr>
            </w:pPr>
            <w:r>
              <w:rPr>
                <w:rFonts w:ascii="Arial" w:cs="Arial" w:eastAsia="Arial" w:hAnsi="Arial"/>
                <w:sz w:val="14"/>
                <w:szCs w:val="14"/>
                <w:color w:val="auto"/>
              </w:rPr>
              <w:t>earlier of 1 year from Normal Retirement or</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been outstanding for at least six months</w:t>
            </w:r>
          </w:p>
        </w:tc>
        <w:tc>
          <w:tcPr>
            <w:tcW w:w="2980" w:type="dxa"/>
            <w:vAlign w:val="bottom"/>
          </w:tcPr>
          <w:p>
            <w:pPr>
              <w:ind w:left="260"/>
              <w:spacing w:after="0"/>
              <w:rPr>
                <w:sz w:val="20"/>
                <w:szCs w:val="20"/>
                <w:color w:val="auto"/>
              </w:rPr>
            </w:pPr>
            <w:r>
              <w:rPr>
                <w:rFonts w:ascii="Arial" w:cs="Arial" w:eastAsia="Arial" w:hAnsi="Arial"/>
                <w:sz w:val="14"/>
                <w:szCs w:val="14"/>
                <w:color w:val="auto"/>
              </w:rPr>
              <w:t>expiration of the options. Options</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when Normal Retirement occurs. If the</w:t>
            </w:r>
          </w:p>
        </w:tc>
        <w:tc>
          <w:tcPr>
            <w:tcW w:w="2980" w:type="dxa"/>
            <w:vAlign w:val="bottom"/>
          </w:tcPr>
          <w:p>
            <w:pPr>
              <w:ind w:left="260"/>
              <w:spacing w:after="0"/>
              <w:rPr>
                <w:sz w:val="20"/>
                <w:szCs w:val="20"/>
                <w:color w:val="auto"/>
              </w:rPr>
            </w:pPr>
            <w:r>
              <w:rPr>
                <w:rFonts w:ascii="Arial" w:cs="Arial" w:eastAsia="Arial" w:hAnsi="Arial"/>
                <w:sz w:val="14"/>
                <w:szCs w:val="14"/>
                <w:color w:val="auto"/>
              </w:rPr>
              <w:t>outstanding for less than 7 years: 7 years</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options have not been outstanding for that</w:t>
            </w:r>
          </w:p>
        </w:tc>
        <w:tc>
          <w:tcPr>
            <w:tcW w:w="2980" w:type="dxa"/>
            <w:vAlign w:val="bottom"/>
          </w:tcPr>
          <w:p>
            <w:pPr>
              <w:ind w:left="260"/>
              <w:spacing w:after="0"/>
              <w:rPr>
                <w:sz w:val="20"/>
                <w:szCs w:val="20"/>
                <w:color w:val="auto"/>
              </w:rPr>
            </w:pPr>
            <w:r>
              <w:rPr>
                <w:rFonts w:ascii="Arial" w:cs="Arial" w:eastAsia="Arial" w:hAnsi="Arial"/>
                <w:sz w:val="14"/>
                <w:szCs w:val="14"/>
                <w:color w:val="auto"/>
              </w:rPr>
              <w:t>from the grant date.</w:t>
            </w: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period, they would be forfeited.</w:t>
            </w:r>
          </w:p>
        </w:tc>
        <w:tc>
          <w:tcPr>
            <w:tcW w:w="2980" w:type="dxa"/>
            <w:vAlign w:val="bottom"/>
          </w:tcPr>
          <w:p>
            <w:pPr>
              <w:spacing w:after="0"/>
              <w:rPr>
                <w:sz w:val="16"/>
                <w:szCs w:val="16"/>
                <w:color w:val="auto"/>
              </w:rPr>
            </w:pPr>
          </w:p>
        </w:tc>
      </w:tr>
      <w:tr>
        <w:trPr>
          <w:trHeight w:val="88"/>
        </w:trPr>
        <w:tc>
          <w:tcPr>
            <w:tcW w:w="3400" w:type="dxa"/>
            <w:vAlign w:val="bottom"/>
            <w:tcBorders>
              <w:bottom w:val="single" w:sz="8" w:color="AFAFAF"/>
              <w:right w:val="single" w:sz="8" w:color="AFAFAF"/>
            </w:tcBorders>
          </w:tcPr>
          <w:p>
            <w:pPr>
              <w:spacing w:after="0"/>
              <w:rPr>
                <w:sz w:val="7"/>
                <w:szCs w:val="7"/>
                <w:color w:val="auto"/>
              </w:rPr>
            </w:pPr>
          </w:p>
        </w:tc>
        <w:tc>
          <w:tcPr>
            <w:tcW w:w="1540" w:type="dxa"/>
            <w:vAlign w:val="bottom"/>
            <w:tcBorders>
              <w:bottom w:val="single" w:sz="8" w:color="AFAFAF"/>
              <w:right w:val="single" w:sz="8" w:color="AFAFAF"/>
            </w:tcBorders>
          </w:tcPr>
          <w:p>
            <w:pPr>
              <w:spacing w:after="0"/>
              <w:rPr>
                <w:sz w:val="7"/>
                <w:szCs w:val="7"/>
                <w:color w:val="auto"/>
              </w:rPr>
            </w:pPr>
          </w:p>
        </w:tc>
        <w:tc>
          <w:tcPr>
            <w:tcW w:w="3000" w:type="dxa"/>
            <w:vAlign w:val="bottom"/>
            <w:tcBorders>
              <w:bottom w:val="single" w:sz="8" w:color="AFAFAF"/>
              <w:right w:val="single" w:sz="8" w:color="AFAFAF"/>
            </w:tcBorders>
          </w:tcPr>
          <w:p>
            <w:pPr>
              <w:spacing w:after="0"/>
              <w:rPr>
                <w:sz w:val="7"/>
                <w:szCs w:val="7"/>
                <w:color w:val="auto"/>
              </w:rPr>
            </w:pPr>
          </w:p>
        </w:tc>
        <w:tc>
          <w:tcPr>
            <w:tcW w:w="2980" w:type="dxa"/>
            <w:vAlign w:val="bottom"/>
            <w:tcBorders>
              <w:bottom w:val="single" w:sz="8" w:color="AFAFAF"/>
            </w:tcBorders>
          </w:tcPr>
          <w:p>
            <w:pPr>
              <w:spacing w:after="0"/>
              <w:rPr>
                <w:sz w:val="7"/>
                <w:szCs w:val="7"/>
                <w:color w:val="auto"/>
              </w:rPr>
            </w:pPr>
          </w:p>
        </w:tc>
      </w:tr>
      <w:tr>
        <w:trPr>
          <w:trHeight w:val="198"/>
        </w:trPr>
        <w:tc>
          <w:tcPr>
            <w:tcW w:w="340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Early Retirement</w:t>
            </w:r>
          </w:p>
        </w:tc>
        <w:tc>
          <w:tcPr>
            <w:tcW w:w="1540" w:type="dxa"/>
            <w:vAlign w:val="bottom"/>
            <w:tcBorders>
              <w:right w:val="single" w:sz="8" w:color="AFAFAF"/>
            </w:tcBorders>
          </w:tcPr>
          <w:p>
            <w:pPr>
              <w:ind w:left="240"/>
              <w:spacing w:after="0"/>
              <w:rPr>
                <w:sz w:val="20"/>
                <w:szCs w:val="20"/>
                <w:color w:val="auto"/>
              </w:rPr>
            </w:pPr>
            <w:r>
              <w:rPr>
                <w:rFonts w:ascii="Arial" w:cs="Arial" w:eastAsia="Arial" w:hAnsi="Arial"/>
                <w:sz w:val="14"/>
                <w:szCs w:val="14"/>
                <w:color w:val="auto"/>
              </w:rPr>
              <w:t>Remain exercisable</w:t>
            </w: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Partially vested, reduced by 5% for each</w:t>
            </w:r>
          </w:p>
        </w:tc>
        <w:tc>
          <w:tcPr>
            <w:tcW w:w="2980" w:type="dxa"/>
            <w:vAlign w:val="bottom"/>
          </w:tcPr>
          <w:p>
            <w:pPr>
              <w:ind w:left="260"/>
              <w:spacing w:after="0"/>
              <w:rPr>
                <w:sz w:val="20"/>
                <w:szCs w:val="20"/>
                <w:color w:val="auto"/>
              </w:rPr>
            </w:pPr>
            <w:r>
              <w:rPr>
                <w:rFonts w:ascii="Arial" w:cs="Arial" w:eastAsia="Arial" w:hAnsi="Arial"/>
                <w:sz w:val="14"/>
                <w:szCs w:val="14"/>
                <w:color w:val="auto"/>
              </w:rPr>
              <w:t>The earlier of 1 year from the Early</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year that the holder retired prior to Normal</w:t>
            </w:r>
          </w:p>
        </w:tc>
        <w:tc>
          <w:tcPr>
            <w:tcW w:w="2980" w:type="dxa"/>
            <w:vAlign w:val="bottom"/>
          </w:tcPr>
          <w:p>
            <w:pPr>
              <w:ind w:left="260"/>
              <w:spacing w:after="0"/>
              <w:rPr>
                <w:sz w:val="20"/>
                <w:szCs w:val="20"/>
                <w:color w:val="auto"/>
              </w:rPr>
            </w:pPr>
            <w:r>
              <w:rPr>
                <w:rFonts w:ascii="Arial" w:cs="Arial" w:eastAsia="Arial" w:hAnsi="Arial"/>
                <w:sz w:val="14"/>
                <w:szCs w:val="14"/>
                <w:color w:val="auto"/>
              </w:rPr>
              <w:t>Retirement date or the grant expiration</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Retirement; provided that the options have</w:t>
            </w:r>
          </w:p>
        </w:tc>
        <w:tc>
          <w:tcPr>
            <w:tcW w:w="2980" w:type="dxa"/>
            <w:vAlign w:val="bottom"/>
          </w:tcPr>
          <w:p>
            <w:pPr>
              <w:ind w:left="260"/>
              <w:spacing w:after="0"/>
              <w:rPr>
                <w:sz w:val="20"/>
                <w:szCs w:val="20"/>
                <w:color w:val="auto"/>
              </w:rPr>
            </w:pPr>
            <w:r>
              <w:rPr>
                <w:rFonts w:ascii="Arial" w:cs="Arial" w:eastAsia="Arial" w:hAnsi="Arial"/>
                <w:sz w:val="14"/>
                <w:szCs w:val="14"/>
                <w:color w:val="auto"/>
              </w:rPr>
              <w:t>date.</w:t>
            </w: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been outstanding for at least six months</w:t>
            </w:r>
          </w:p>
        </w:tc>
        <w:tc>
          <w:tcPr>
            <w:tcW w:w="2980" w:type="dxa"/>
            <w:vAlign w:val="bottom"/>
          </w:tcPr>
          <w:p>
            <w:pPr>
              <w:spacing w:after="0"/>
              <w:rPr>
                <w:sz w:val="13"/>
                <w:szCs w:val="13"/>
                <w:color w:val="auto"/>
              </w:rPr>
            </w:pP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when Early Retirement occurs. If the</w:t>
            </w:r>
          </w:p>
        </w:tc>
        <w:tc>
          <w:tcPr>
            <w:tcW w:w="2980" w:type="dxa"/>
            <w:vAlign w:val="bottom"/>
          </w:tcPr>
          <w:p>
            <w:pPr>
              <w:spacing w:after="0"/>
              <w:rPr>
                <w:sz w:val="13"/>
                <w:szCs w:val="13"/>
                <w:color w:val="auto"/>
              </w:rPr>
            </w:pPr>
          </w:p>
        </w:tc>
      </w:tr>
      <w:tr>
        <w:trPr>
          <w:trHeight w:val="160"/>
        </w:trPr>
        <w:tc>
          <w:tcPr>
            <w:tcW w:w="3400" w:type="dxa"/>
            <w:vAlign w:val="bottom"/>
            <w:tcBorders>
              <w:right w:val="single" w:sz="8" w:color="AFAFAF"/>
            </w:tcBorders>
          </w:tcPr>
          <w:p>
            <w:pPr>
              <w:spacing w:after="0"/>
              <w:rPr>
                <w:sz w:val="13"/>
                <w:szCs w:val="13"/>
                <w:color w:val="auto"/>
              </w:rPr>
            </w:pPr>
          </w:p>
        </w:tc>
        <w:tc>
          <w:tcPr>
            <w:tcW w:w="1540" w:type="dxa"/>
            <w:vAlign w:val="bottom"/>
            <w:tcBorders>
              <w:right w:val="single" w:sz="8" w:color="AFAFAF"/>
            </w:tcBorders>
          </w:tcPr>
          <w:p>
            <w:pPr>
              <w:spacing w:after="0"/>
              <w:rPr>
                <w:sz w:val="13"/>
                <w:szCs w:val="13"/>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options have not been outstanding for that</w:t>
            </w:r>
          </w:p>
        </w:tc>
        <w:tc>
          <w:tcPr>
            <w:tcW w:w="2980" w:type="dxa"/>
            <w:vAlign w:val="bottom"/>
          </w:tcPr>
          <w:p>
            <w:pPr>
              <w:spacing w:after="0"/>
              <w:rPr>
                <w:sz w:val="13"/>
                <w:szCs w:val="13"/>
                <w:color w:val="auto"/>
              </w:rPr>
            </w:pPr>
          </w:p>
        </w:tc>
      </w:tr>
      <w:tr>
        <w:trPr>
          <w:trHeight w:val="189"/>
        </w:trPr>
        <w:tc>
          <w:tcPr>
            <w:tcW w:w="3400" w:type="dxa"/>
            <w:vAlign w:val="bottom"/>
            <w:tcBorders>
              <w:right w:val="single" w:sz="8" w:color="AFAFAF"/>
            </w:tcBorders>
          </w:tcPr>
          <w:p>
            <w:pPr>
              <w:spacing w:after="0"/>
              <w:rPr>
                <w:sz w:val="16"/>
                <w:szCs w:val="16"/>
                <w:color w:val="auto"/>
              </w:rPr>
            </w:pPr>
          </w:p>
        </w:tc>
        <w:tc>
          <w:tcPr>
            <w:tcW w:w="1540" w:type="dxa"/>
            <w:vAlign w:val="bottom"/>
            <w:tcBorders>
              <w:right w:val="single" w:sz="8" w:color="AFAFAF"/>
            </w:tcBorders>
          </w:tcPr>
          <w:p>
            <w:pPr>
              <w:spacing w:after="0"/>
              <w:rPr>
                <w:sz w:val="16"/>
                <w:szCs w:val="16"/>
                <w:color w:val="auto"/>
              </w:rPr>
            </w:pPr>
          </w:p>
        </w:tc>
        <w:tc>
          <w:tcPr>
            <w:tcW w:w="3000" w:type="dxa"/>
            <w:vAlign w:val="bottom"/>
            <w:tcBorders>
              <w:right w:val="single" w:sz="8" w:color="AFAFAF"/>
            </w:tcBorders>
          </w:tcPr>
          <w:p>
            <w:pPr>
              <w:ind w:left="260"/>
              <w:spacing w:after="0"/>
              <w:rPr>
                <w:sz w:val="20"/>
                <w:szCs w:val="20"/>
                <w:color w:val="auto"/>
              </w:rPr>
            </w:pPr>
            <w:r>
              <w:rPr>
                <w:rFonts w:ascii="Arial" w:cs="Arial" w:eastAsia="Arial" w:hAnsi="Arial"/>
                <w:sz w:val="14"/>
                <w:szCs w:val="14"/>
                <w:color w:val="auto"/>
              </w:rPr>
              <w:t>period, they would be forfeited.</w:t>
            </w:r>
          </w:p>
        </w:tc>
        <w:tc>
          <w:tcPr>
            <w:tcW w:w="2980" w:type="dxa"/>
            <w:vAlign w:val="bottom"/>
          </w:tcPr>
          <w:p>
            <w:pPr>
              <w:spacing w:after="0"/>
              <w:rPr>
                <w:sz w:val="16"/>
                <w:szCs w:val="16"/>
                <w:color w:val="auto"/>
              </w:rPr>
            </w:pPr>
          </w:p>
        </w:tc>
      </w:tr>
      <w:tr>
        <w:trPr>
          <w:trHeight w:val="88"/>
        </w:trPr>
        <w:tc>
          <w:tcPr>
            <w:tcW w:w="3400" w:type="dxa"/>
            <w:vAlign w:val="bottom"/>
            <w:tcBorders>
              <w:bottom w:val="single" w:sz="8" w:color="B94831"/>
              <w:right w:val="single" w:sz="8" w:color="AFAFAF"/>
            </w:tcBorders>
          </w:tcPr>
          <w:p>
            <w:pPr>
              <w:spacing w:after="0"/>
              <w:rPr>
                <w:sz w:val="7"/>
                <w:szCs w:val="7"/>
                <w:color w:val="auto"/>
              </w:rPr>
            </w:pPr>
          </w:p>
        </w:tc>
        <w:tc>
          <w:tcPr>
            <w:tcW w:w="1540" w:type="dxa"/>
            <w:vAlign w:val="bottom"/>
            <w:tcBorders>
              <w:bottom w:val="single" w:sz="8" w:color="B94831"/>
              <w:right w:val="single" w:sz="8" w:color="AFAFAF"/>
            </w:tcBorders>
          </w:tcPr>
          <w:p>
            <w:pPr>
              <w:spacing w:after="0"/>
              <w:rPr>
                <w:sz w:val="7"/>
                <w:szCs w:val="7"/>
                <w:color w:val="auto"/>
              </w:rPr>
            </w:pPr>
          </w:p>
        </w:tc>
        <w:tc>
          <w:tcPr>
            <w:tcW w:w="3000" w:type="dxa"/>
            <w:vAlign w:val="bottom"/>
            <w:tcBorders>
              <w:bottom w:val="single" w:sz="8" w:color="B94831"/>
              <w:right w:val="single" w:sz="8" w:color="AFAFAF"/>
            </w:tcBorders>
          </w:tcPr>
          <w:p>
            <w:pPr>
              <w:spacing w:after="0"/>
              <w:rPr>
                <w:sz w:val="7"/>
                <w:szCs w:val="7"/>
                <w:color w:val="auto"/>
              </w:rPr>
            </w:pPr>
          </w:p>
        </w:tc>
        <w:tc>
          <w:tcPr>
            <w:tcW w:w="2980" w:type="dxa"/>
            <w:vAlign w:val="bottom"/>
            <w:tcBorders>
              <w:bottom w:val="single" w:sz="8" w:color="B94831"/>
            </w:tcBorders>
          </w:tcPr>
          <w:p>
            <w:pPr>
              <w:spacing w:after="0"/>
              <w:rPr>
                <w:sz w:val="7"/>
                <w:szCs w:val="7"/>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Pursuant to award terms and conditions, </w:t>
      </w:r>
      <w:r>
        <w:rPr>
          <w:rFonts w:ascii="Arial" w:cs="Arial" w:eastAsia="Arial" w:hAnsi="Arial"/>
          <w:sz w:val="18"/>
          <w:szCs w:val="18"/>
          <w:i w:val="1"/>
          <w:iCs w:val="1"/>
          <w:color w:val="auto"/>
        </w:rPr>
        <w:t>TRSUs</w:t>
      </w:r>
      <w:r>
        <w:rPr>
          <w:rFonts w:ascii="Arial" w:cs="Arial" w:eastAsia="Arial" w:hAnsi="Arial"/>
          <w:sz w:val="18"/>
          <w:szCs w:val="18"/>
          <w:color w:val="auto"/>
        </w:rPr>
        <w:t xml:space="preserve"> granted prior to 2022 would be treated as follows in the event of termination due to</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Normal Retirement 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73025</wp:posOffset>
            </wp:positionV>
            <wp:extent cx="8255" cy="2120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212090"/>
                    </a:xfrm>
                    <a:prstGeom prst="rect">
                      <a:avLst/>
                    </a:prstGeom>
                    <a:noFill/>
                  </pic:spPr>
                </pic:pic>
              </a:graphicData>
            </a:graphic>
          </wp:anchor>
        </w:drawing>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58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7340" w:type="dxa"/>
            <w:vAlign w:val="bottom"/>
            <w:shd w:val="clear" w:color="auto" w:fill="262626"/>
          </w:tcPr>
          <w:p>
            <w:pPr>
              <w:ind w:left="100"/>
              <w:spacing w:after="0"/>
              <w:rPr>
                <w:sz w:val="20"/>
                <w:szCs w:val="20"/>
                <w:color w:val="auto"/>
              </w:rPr>
            </w:pPr>
            <w:r>
              <w:rPr>
                <w:rFonts w:ascii="Arial" w:cs="Arial" w:eastAsia="Arial" w:hAnsi="Arial"/>
                <w:sz w:val="15"/>
                <w:szCs w:val="15"/>
                <w:b w:val="1"/>
                <w:bCs w:val="1"/>
                <w:color w:val="FFFFFF"/>
              </w:rPr>
              <w:t>Unvested TRSUs</w:t>
            </w:r>
          </w:p>
        </w:tc>
      </w:tr>
      <w:tr>
        <w:trPr>
          <w:trHeight w:val="64"/>
        </w:trPr>
        <w:tc>
          <w:tcPr>
            <w:tcW w:w="3580" w:type="dxa"/>
            <w:vAlign w:val="bottom"/>
            <w:tcBorders>
              <w:right w:val="single" w:sz="8" w:color="262626"/>
            </w:tcBorders>
            <w:shd w:val="clear" w:color="auto" w:fill="262626"/>
          </w:tcPr>
          <w:p>
            <w:pPr>
              <w:spacing w:after="0"/>
              <w:rPr>
                <w:sz w:val="5"/>
                <w:szCs w:val="5"/>
                <w:color w:val="auto"/>
              </w:rPr>
            </w:pPr>
          </w:p>
        </w:tc>
        <w:tc>
          <w:tcPr>
            <w:tcW w:w="7340" w:type="dxa"/>
            <w:vAlign w:val="bottom"/>
            <w:shd w:val="clear" w:color="auto" w:fill="262626"/>
          </w:tcPr>
          <w:p>
            <w:pPr>
              <w:spacing w:after="0"/>
              <w:rPr>
                <w:sz w:val="5"/>
                <w:szCs w:val="5"/>
                <w:color w:val="auto"/>
              </w:rPr>
            </w:pPr>
          </w:p>
        </w:tc>
      </w:tr>
      <w:tr>
        <w:trPr>
          <w:trHeight w:val="205"/>
        </w:trPr>
        <w:tc>
          <w:tcPr>
            <w:tcW w:w="35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Normal Retirement</w:t>
            </w:r>
          </w:p>
        </w:tc>
        <w:tc>
          <w:tcPr>
            <w:tcW w:w="7340" w:type="dxa"/>
            <w:vAlign w:val="bottom"/>
          </w:tcPr>
          <w:p>
            <w:pPr>
              <w:ind w:left="100"/>
              <w:spacing w:after="0"/>
              <w:rPr>
                <w:sz w:val="20"/>
                <w:szCs w:val="20"/>
                <w:color w:val="auto"/>
              </w:rPr>
            </w:pPr>
            <w:r>
              <w:rPr>
                <w:rFonts w:ascii="Arial" w:cs="Arial" w:eastAsia="Arial" w:hAnsi="Arial"/>
                <w:sz w:val="14"/>
                <w:szCs w:val="14"/>
                <w:color w:val="auto"/>
              </w:rPr>
              <w:t>Continue to vest on the scheduled vesting date(s) if the TRSUs have been outstanding for at least six months</w:t>
            </w:r>
          </w:p>
        </w:tc>
      </w:tr>
      <w:tr>
        <w:trPr>
          <w:trHeight w:val="189"/>
        </w:trPr>
        <w:tc>
          <w:tcPr>
            <w:tcW w:w="3580" w:type="dxa"/>
            <w:vAlign w:val="bottom"/>
            <w:tcBorders>
              <w:right w:val="single" w:sz="8" w:color="AFAFAF"/>
            </w:tcBorders>
          </w:tcPr>
          <w:p>
            <w:pPr>
              <w:spacing w:after="0"/>
              <w:rPr>
                <w:sz w:val="16"/>
                <w:szCs w:val="16"/>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when Normal Retirement occurs. If the TRSUs have not been outstanding for that period, they would be forfeited.</w:t>
            </w:r>
          </w:p>
        </w:tc>
      </w:tr>
      <w:tr>
        <w:trPr>
          <w:trHeight w:val="88"/>
        </w:trPr>
        <w:tc>
          <w:tcPr>
            <w:tcW w:w="3580" w:type="dxa"/>
            <w:vAlign w:val="bottom"/>
            <w:tcBorders>
              <w:bottom w:val="single" w:sz="8" w:color="AFAFAF"/>
              <w:right w:val="single" w:sz="8" w:color="AFAFAF"/>
            </w:tcBorders>
          </w:tcPr>
          <w:p>
            <w:pPr>
              <w:spacing w:after="0"/>
              <w:rPr>
                <w:sz w:val="7"/>
                <w:szCs w:val="7"/>
                <w:color w:val="auto"/>
              </w:rPr>
            </w:pPr>
          </w:p>
        </w:tc>
        <w:tc>
          <w:tcPr>
            <w:tcW w:w="7340" w:type="dxa"/>
            <w:vAlign w:val="bottom"/>
            <w:tcBorders>
              <w:bottom w:val="single" w:sz="8" w:color="AFAFAF"/>
            </w:tcBorders>
          </w:tcPr>
          <w:p>
            <w:pPr>
              <w:spacing w:after="0"/>
              <w:rPr>
                <w:sz w:val="7"/>
                <w:szCs w:val="7"/>
                <w:color w:val="auto"/>
              </w:rPr>
            </w:pPr>
          </w:p>
        </w:tc>
      </w:tr>
      <w:tr>
        <w:trPr>
          <w:trHeight w:val="198"/>
        </w:trPr>
        <w:tc>
          <w:tcPr>
            <w:tcW w:w="35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Early Retirement</w:t>
            </w:r>
          </w:p>
        </w:tc>
        <w:tc>
          <w:tcPr>
            <w:tcW w:w="7340" w:type="dxa"/>
            <w:vAlign w:val="bottom"/>
          </w:tcPr>
          <w:p>
            <w:pPr>
              <w:ind w:left="100"/>
              <w:spacing w:after="0"/>
              <w:rPr>
                <w:sz w:val="20"/>
                <w:szCs w:val="20"/>
                <w:color w:val="auto"/>
              </w:rPr>
            </w:pPr>
            <w:r>
              <w:rPr>
                <w:rFonts w:ascii="Arial" w:cs="Arial" w:eastAsia="Arial" w:hAnsi="Arial"/>
                <w:sz w:val="14"/>
                <w:szCs w:val="14"/>
                <w:color w:val="auto"/>
              </w:rPr>
              <w:t>Pro rata vesting based on active service as an employee (measured in calendar days) during the award period if</w:t>
            </w:r>
          </w:p>
        </w:tc>
      </w:tr>
      <w:tr>
        <w:trPr>
          <w:trHeight w:val="160"/>
        </w:trPr>
        <w:tc>
          <w:tcPr>
            <w:tcW w:w="3580" w:type="dxa"/>
            <w:vAlign w:val="bottom"/>
            <w:tcBorders>
              <w:right w:val="single" w:sz="8" w:color="AFAFAF"/>
            </w:tcBorders>
          </w:tcPr>
          <w:p>
            <w:pPr>
              <w:spacing w:after="0"/>
              <w:rPr>
                <w:sz w:val="13"/>
                <w:szCs w:val="13"/>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the TRSUs have been outstanding for at least six months when Early Retirement occurs. Vesting would occur on</w:t>
            </w:r>
          </w:p>
        </w:tc>
      </w:tr>
      <w:tr>
        <w:trPr>
          <w:trHeight w:val="189"/>
        </w:trPr>
        <w:tc>
          <w:tcPr>
            <w:tcW w:w="3580" w:type="dxa"/>
            <w:vAlign w:val="bottom"/>
            <w:tcBorders>
              <w:right w:val="single" w:sz="8" w:color="AFAFAF"/>
            </w:tcBorders>
          </w:tcPr>
          <w:p>
            <w:pPr>
              <w:spacing w:after="0"/>
              <w:rPr>
                <w:sz w:val="16"/>
                <w:szCs w:val="16"/>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the termination date. If the TRSUs have not been outstanding for that period, they would be forfeited.</w:t>
            </w:r>
          </w:p>
        </w:tc>
      </w:tr>
      <w:tr>
        <w:trPr>
          <w:trHeight w:val="88"/>
        </w:trPr>
        <w:tc>
          <w:tcPr>
            <w:tcW w:w="3580" w:type="dxa"/>
            <w:vAlign w:val="bottom"/>
            <w:tcBorders>
              <w:bottom w:val="single" w:sz="8" w:color="B94831"/>
              <w:right w:val="single" w:sz="8" w:color="AFAFAF"/>
            </w:tcBorders>
          </w:tcPr>
          <w:p>
            <w:pPr>
              <w:spacing w:after="0"/>
              <w:rPr>
                <w:sz w:val="7"/>
                <w:szCs w:val="7"/>
                <w:color w:val="auto"/>
              </w:rPr>
            </w:pPr>
          </w:p>
        </w:tc>
        <w:tc>
          <w:tcPr>
            <w:tcW w:w="7340" w:type="dxa"/>
            <w:vAlign w:val="bottom"/>
            <w:tcBorders>
              <w:bottom w:val="single" w:sz="8" w:color="B94831"/>
            </w:tcBorders>
          </w:tcPr>
          <w:p>
            <w:pPr>
              <w:spacing w:after="0"/>
              <w:rPr>
                <w:sz w:val="7"/>
                <w:szCs w:val="7"/>
                <w:color w:val="auto"/>
              </w:rPr>
            </w:pPr>
          </w:p>
        </w:tc>
      </w:tr>
      <w:tr>
        <w:trPr>
          <w:trHeight w:val="227"/>
        </w:trPr>
        <w:tc>
          <w:tcPr>
            <w:tcW w:w="3580" w:type="dxa"/>
            <w:vAlign w:val="bottom"/>
            <w:tcBorders>
              <w:bottom w:val="single" w:sz="8" w:color="B94831"/>
            </w:tcBorders>
          </w:tcPr>
          <w:p>
            <w:pPr>
              <w:spacing w:after="0"/>
              <w:rPr>
                <w:sz w:val="19"/>
                <w:szCs w:val="19"/>
                <w:color w:val="auto"/>
              </w:rPr>
            </w:pPr>
          </w:p>
        </w:tc>
        <w:tc>
          <w:tcPr>
            <w:tcW w:w="7340" w:type="dxa"/>
            <w:vAlign w:val="bottom"/>
            <w:tcBorders>
              <w:bottom w:val="single" w:sz="8" w:color="B94831"/>
            </w:tcBorders>
          </w:tcPr>
          <w:p>
            <w:pPr>
              <w:spacing w:after="0"/>
              <w:rPr>
                <w:sz w:val="19"/>
                <w:szCs w:val="19"/>
                <w:color w:val="auto"/>
              </w:rPr>
            </w:pPr>
          </w:p>
        </w:tc>
      </w:tr>
    </w:tbl>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96 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Pursuant to award terms and conditions, </w:t>
      </w:r>
      <w:r>
        <w:rPr>
          <w:rFonts w:ascii="Arial" w:cs="Arial" w:eastAsia="Arial" w:hAnsi="Arial"/>
          <w:sz w:val="18"/>
          <w:szCs w:val="18"/>
          <w:i w:val="1"/>
          <w:iCs w:val="1"/>
          <w:color w:val="auto"/>
        </w:rPr>
        <w:t>PRSUs</w:t>
      </w:r>
      <w:r>
        <w:rPr>
          <w:rFonts w:ascii="Arial" w:cs="Arial" w:eastAsia="Arial" w:hAnsi="Arial"/>
          <w:sz w:val="18"/>
          <w:szCs w:val="18"/>
          <w:color w:val="auto"/>
        </w:rPr>
        <w:t xml:space="preserve"> granted prior to 2022 would be treated as follows in the event of termination due to</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Normal Retirement 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123825</wp:posOffset>
            </wp:positionV>
            <wp:extent cx="8255" cy="2120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212090"/>
                    </a:xfrm>
                    <a:prstGeom prst="rect">
                      <a:avLst/>
                    </a:prstGeom>
                    <a:noFill/>
                  </pic:spPr>
                </pic:pic>
              </a:graphicData>
            </a:graphic>
          </wp:anchor>
        </w:drawing>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3580" w:type="dxa"/>
            <w:vAlign w:val="bottom"/>
            <w:tcBorders>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Termination Event</w:t>
            </w:r>
          </w:p>
        </w:tc>
        <w:tc>
          <w:tcPr>
            <w:tcW w:w="7340" w:type="dxa"/>
            <w:vAlign w:val="bottom"/>
            <w:shd w:val="clear" w:color="auto" w:fill="262626"/>
          </w:tcPr>
          <w:p>
            <w:pPr>
              <w:ind w:left="100"/>
              <w:spacing w:after="0"/>
              <w:rPr>
                <w:sz w:val="20"/>
                <w:szCs w:val="20"/>
                <w:color w:val="auto"/>
              </w:rPr>
            </w:pPr>
            <w:r>
              <w:rPr>
                <w:rFonts w:ascii="Arial" w:cs="Arial" w:eastAsia="Arial" w:hAnsi="Arial"/>
                <w:sz w:val="15"/>
                <w:szCs w:val="15"/>
                <w:b w:val="1"/>
                <w:bCs w:val="1"/>
                <w:color w:val="FFFFFF"/>
              </w:rPr>
              <w:t>Unvested PRSUs</w:t>
            </w:r>
          </w:p>
        </w:tc>
      </w:tr>
      <w:tr>
        <w:trPr>
          <w:trHeight w:val="64"/>
        </w:trPr>
        <w:tc>
          <w:tcPr>
            <w:tcW w:w="3580" w:type="dxa"/>
            <w:vAlign w:val="bottom"/>
            <w:tcBorders>
              <w:right w:val="single" w:sz="8" w:color="262626"/>
            </w:tcBorders>
            <w:shd w:val="clear" w:color="auto" w:fill="262626"/>
          </w:tcPr>
          <w:p>
            <w:pPr>
              <w:spacing w:after="0"/>
              <w:rPr>
                <w:sz w:val="5"/>
                <w:szCs w:val="5"/>
                <w:color w:val="auto"/>
              </w:rPr>
            </w:pPr>
          </w:p>
        </w:tc>
        <w:tc>
          <w:tcPr>
            <w:tcW w:w="7340" w:type="dxa"/>
            <w:vAlign w:val="bottom"/>
            <w:shd w:val="clear" w:color="auto" w:fill="262626"/>
          </w:tcPr>
          <w:p>
            <w:pPr>
              <w:spacing w:after="0"/>
              <w:rPr>
                <w:sz w:val="5"/>
                <w:szCs w:val="5"/>
                <w:color w:val="auto"/>
              </w:rPr>
            </w:pPr>
          </w:p>
        </w:tc>
      </w:tr>
      <w:tr>
        <w:trPr>
          <w:trHeight w:val="205"/>
        </w:trPr>
        <w:tc>
          <w:tcPr>
            <w:tcW w:w="35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Normal Retirement</w:t>
            </w:r>
          </w:p>
        </w:tc>
        <w:tc>
          <w:tcPr>
            <w:tcW w:w="7340" w:type="dxa"/>
            <w:vAlign w:val="bottom"/>
          </w:tcPr>
          <w:p>
            <w:pPr>
              <w:ind w:left="100"/>
              <w:spacing w:after="0"/>
              <w:rPr>
                <w:sz w:val="20"/>
                <w:szCs w:val="20"/>
                <w:color w:val="auto"/>
              </w:rPr>
            </w:pPr>
            <w:r>
              <w:rPr>
                <w:rFonts w:ascii="Arial" w:cs="Arial" w:eastAsia="Arial" w:hAnsi="Arial"/>
                <w:sz w:val="14"/>
                <w:szCs w:val="14"/>
                <w:color w:val="auto"/>
              </w:rPr>
              <w:t>Fully vested on the scheduled vesting date(s) (as adjusted to reflect actual performance) if the PRSUs have been</w:t>
            </w:r>
          </w:p>
        </w:tc>
      </w:tr>
      <w:tr>
        <w:trPr>
          <w:trHeight w:val="160"/>
        </w:trPr>
        <w:tc>
          <w:tcPr>
            <w:tcW w:w="3580" w:type="dxa"/>
            <w:vAlign w:val="bottom"/>
            <w:tcBorders>
              <w:right w:val="single" w:sz="8" w:color="AFAFAF"/>
            </w:tcBorders>
          </w:tcPr>
          <w:p>
            <w:pPr>
              <w:spacing w:after="0"/>
              <w:rPr>
                <w:sz w:val="13"/>
                <w:szCs w:val="13"/>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outstanding for at least six months when Normal Retirement occurs. If the PRSUs have not been outstanding for</w:t>
            </w:r>
          </w:p>
        </w:tc>
      </w:tr>
      <w:tr>
        <w:trPr>
          <w:trHeight w:val="189"/>
        </w:trPr>
        <w:tc>
          <w:tcPr>
            <w:tcW w:w="3580" w:type="dxa"/>
            <w:vAlign w:val="bottom"/>
            <w:tcBorders>
              <w:right w:val="single" w:sz="8" w:color="AFAFAF"/>
            </w:tcBorders>
          </w:tcPr>
          <w:p>
            <w:pPr>
              <w:spacing w:after="0"/>
              <w:rPr>
                <w:sz w:val="16"/>
                <w:szCs w:val="16"/>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that period, they would be forfeited.</w:t>
            </w:r>
          </w:p>
        </w:tc>
      </w:tr>
      <w:tr>
        <w:trPr>
          <w:trHeight w:val="88"/>
        </w:trPr>
        <w:tc>
          <w:tcPr>
            <w:tcW w:w="3580" w:type="dxa"/>
            <w:vAlign w:val="bottom"/>
            <w:tcBorders>
              <w:bottom w:val="single" w:sz="8" w:color="AFAFAF"/>
              <w:right w:val="single" w:sz="8" w:color="AFAFAF"/>
            </w:tcBorders>
          </w:tcPr>
          <w:p>
            <w:pPr>
              <w:spacing w:after="0"/>
              <w:rPr>
                <w:sz w:val="7"/>
                <w:szCs w:val="7"/>
                <w:color w:val="auto"/>
              </w:rPr>
            </w:pPr>
          </w:p>
        </w:tc>
        <w:tc>
          <w:tcPr>
            <w:tcW w:w="7340" w:type="dxa"/>
            <w:vAlign w:val="bottom"/>
            <w:tcBorders>
              <w:bottom w:val="single" w:sz="8" w:color="AFAFAF"/>
            </w:tcBorders>
          </w:tcPr>
          <w:p>
            <w:pPr>
              <w:spacing w:after="0"/>
              <w:rPr>
                <w:sz w:val="7"/>
                <w:szCs w:val="7"/>
                <w:color w:val="auto"/>
              </w:rPr>
            </w:pPr>
          </w:p>
        </w:tc>
      </w:tr>
      <w:tr>
        <w:trPr>
          <w:trHeight w:val="198"/>
        </w:trPr>
        <w:tc>
          <w:tcPr>
            <w:tcW w:w="3580" w:type="dxa"/>
            <w:vAlign w:val="bottom"/>
            <w:tcBorders>
              <w:right w:val="single" w:sz="8" w:color="AFAFAF"/>
            </w:tcBorders>
          </w:tcPr>
          <w:p>
            <w:pPr>
              <w:ind w:left="100"/>
              <w:spacing w:after="0"/>
              <w:rPr>
                <w:sz w:val="20"/>
                <w:szCs w:val="20"/>
                <w:color w:val="auto"/>
              </w:rPr>
            </w:pPr>
            <w:r>
              <w:rPr>
                <w:rFonts w:ascii="Arial" w:cs="Arial" w:eastAsia="Arial" w:hAnsi="Arial"/>
                <w:sz w:val="14"/>
                <w:szCs w:val="14"/>
                <w:b w:val="1"/>
                <w:bCs w:val="1"/>
                <w:color w:val="auto"/>
              </w:rPr>
              <w:t>Early Retirement</w:t>
            </w:r>
          </w:p>
        </w:tc>
        <w:tc>
          <w:tcPr>
            <w:tcW w:w="7340" w:type="dxa"/>
            <w:vAlign w:val="bottom"/>
          </w:tcPr>
          <w:p>
            <w:pPr>
              <w:ind w:left="100"/>
              <w:spacing w:after="0"/>
              <w:rPr>
                <w:sz w:val="20"/>
                <w:szCs w:val="20"/>
                <w:color w:val="auto"/>
              </w:rPr>
            </w:pPr>
            <w:r>
              <w:rPr>
                <w:rFonts w:ascii="Arial" w:cs="Arial" w:eastAsia="Arial" w:hAnsi="Arial"/>
                <w:sz w:val="14"/>
                <w:szCs w:val="14"/>
                <w:color w:val="auto"/>
              </w:rPr>
              <w:t>Pro rata vesting on the scheduled vesting date(s) based on active service as an employee (measured in calendar</w:t>
            </w:r>
          </w:p>
        </w:tc>
      </w:tr>
      <w:tr>
        <w:trPr>
          <w:trHeight w:val="160"/>
        </w:trPr>
        <w:tc>
          <w:tcPr>
            <w:tcW w:w="3580" w:type="dxa"/>
            <w:vAlign w:val="bottom"/>
            <w:tcBorders>
              <w:right w:val="single" w:sz="8" w:color="AFAFAF"/>
            </w:tcBorders>
          </w:tcPr>
          <w:p>
            <w:pPr>
              <w:spacing w:after="0"/>
              <w:rPr>
                <w:sz w:val="13"/>
                <w:szCs w:val="13"/>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days) during the performance period (and as adjusted to reflect actual performance) if the PRSUs have been</w:t>
            </w:r>
          </w:p>
        </w:tc>
      </w:tr>
      <w:tr>
        <w:trPr>
          <w:trHeight w:val="160"/>
        </w:trPr>
        <w:tc>
          <w:tcPr>
            <w:tcW w:w="3580" w:type="dxa"/>
            <w:vAlign w:val="bottom"/>
            <w:tcBorders>
              <w:right w:val="single" w:sz="8" w:color="AFAFAF"/>
            </w:tcBorders>
          </w:tcPr>
          <w:p>
            <w:pPr>
              <w:spacing w:after="0"/>
              <w:rPr>
                <w:sz w:val="13"/>
                <w:szCs w:val="13"/>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outstanding for at least six months when Early Retirement occurs. If the PRSUs have not been outstanding for that</w:t>
            </w:r>
          </w:p>
        </w:tc>
      </w:tr>
      <w:tr>
        <w:trPr>
          <w:trHeight w:val="189"/>
        </w:trPr>
        <w:tc>
          <w:tcPr>
            <w:tcW w:w="3580" w:type="dxa"/>
            <w:vAlign w:val="bottom"/>
            <w:tcBorders>
              <w:right w:val="single" w:sz="8" w:color="AFAFAF"/>
            </w:tcBorders>
          </w:tcPr>
          <w:p>
            <w:pPr>
              <w:spacing w:after="0"/>
              <w:rPr>
                <w:sz w:val="16"/>
                <w:szCs w:val="16"/>
                <w:color w:val="auto"/>
              </w:rPr>
            </w:pPr>
          </w:p>
        </w:tc>
        <w:tc>
          <w:tcPr>
            <w:tcW w:w="7340" w:type="dxa"/>
            <w:vAlign w:val="bottom"/>
          </w:tcPr>
          <w:p>
            <w:pPr>
              <w:ind w:left="100"/>
              <w:spacing w:after="0"/>
              <w:rPr>
                <w:sz w:val="20"/>
                <w:szCs w:val="20"/>
                <w:color w:val="auto"/>
              </w:rPr>
            </w:pPr>
            <w:r>
              <w:rPr>
                <w:rFonts w:ascii="Arial" w:cs="Arial" w:eastAsia="Arial" w:hAnsi="Arial"/>
                <w:sz w:val="14"/>
                <w:szCs w:val="14"/>
                <w:color w:val="auto"/>
              </w:rPr>
              <w:t>period, they would be forfeited.</w:t>
            </w:r>
          </w:p>
        </w:tc>
      </w:tr>
      <w:tr>
        <w:trPr>
          <w:trHeight w:val="88"/>
        </w:trPr>
        <w:tc>
          <w:tcPr>
            <w:tcW w:w="3580" w:type="dxa"/>
            <w:vAlign w:val="bottom"/>
            <w:tcBorders>
              <w:bottom w:val="single" w:sz="8" w:color="B94831"/>
              <w:right w:val="single" w:sz="8" w:color="AFAFAF"/>
            </w:tcBorders>
          </w:tcPr>
          <w:p>
            <w:pPr>
              <w:spacing w:after="0"/>
              <w:rPr>
                <w:sz w:val="7"/>
                <w:szCs w:val="7"/>
                <w:color w:val="auto"/>
              </w:rPr>
            </w:pPr>
          </w:p>
        </w:tc>
        <w:tc>
          <w:tcPr>
            <w:tcW w:w="7340" w:type="dxa"/>
            <w:vAlign w:val="bottom"/>
            <w:tcBorders>
              <w:bottom w:val="single" w:sz="8" w:color="B94831"/>
            </w:tcBorders>
          </w:tcPr>
          <w:p>
            <w:pPr>
              <w:spacing w:after="0"/>
              <w:rPr>
                <w:sz w:val="7"/>
                <w:szCs w:val="7"/>
                <w:color w:val="auto"/>
              </w:rPr>
            </w:pP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Change of Control</w:t>
      </w:r>
    </w:p>
    <w:p>
      <w:pPr>
        <w:spacing w:after="0" w:line="4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 “Change of Control” for purposes of our incentive plan awards would occur in the following circumstances: (i) all or substantially all of the assets of our company are sold, assigned or transferred other than to a subsidiary; (ii) a change in a majority of our Board members;</w:t>
      </w:r>
    </w:p>
    <w:p>
      <w:pPr>
        <w:ind w:left="160" w:right="200" w:firstLine="7"/>
        <w:spacing w:after="0" w:line="244" w:lineRule="auto"/>
        <w:tabs>
          <w:tab w:leader="none" w:pos="4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50% or more of our company’s outstanding voting securities are acquired by someone other than Woodbridge; or (iv) a going private transaction results in Woodbridge owning more than 50% of our company’s outstanding voting securities.</w:t>
      </w:r>
    </w:p>
    <w:p>
      <w:pPr>
        <w:spacing w:after="0" w:line="69"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 Change of Control treatment described in the tables above is based on the surviving, successor or acquiring company assuming our outstanding incentive plan awards or substituting similar options or awards for our outstanding incentive plan awards. If the surviving, successor or acquiring company does not assume our outstanding incentive plan awards or substitute similar options or awards for our outstanding incentive plan awards, or our Board otherwise determines, our incentive plan awards will generally vest.</w:t>
      </w:r>
    </w:p>
    <w:p>
      <w:pPr>
        <w:spacing w:after="0" w:line="71" w:lineRule="exact"/>
        <w:rPr>
          <w:sz w:val="20"/>
          <w:szCs w:val="20"/>
          <w:color w:val="auto"/>
        </w:rPr>
      </w:pPr>
    </w:p>
    <w:p>
      <w:pPr>
        <w:ind w:left="160" w:right="280"/>
        <w:spacing w:after="0" w:line="270" w:lineRule="auto"/>
        <w:rPr>
          <w:sz w:val="20"/>
          <w:szCs w:val="20"/>
          <w:color w:val="auto"/>
        </w:rPr>
      </w:pPr>
      <w:r>
        <w:rPr>
          <w:rFonts w:ascii="Arial" w:cs="Arial" w:eastAsia="Arial" w:hAnsi="Arial"/>
          <w:sz w:val="17"/>
          <w:szCs w:val="17"/>
          <w:color w:val="auto"/>
        </w:rPr>
        <w:t>In the event of a Change of Control, our Board also has the power to (i) modify the terms of our annual incentive awards as it considers fair and appropriate to participants; (ii) modify the terms of our annual incentive awards to assist participation in the actual or potential Change of Control event; or (iii) terminate annual incentive awards not exercised or settled following the Change of Control.</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Pension and benefits</w:t>
      </w:r>
    </w:p>
    <w:p>
      <w:pPr>
        <w:spacing w:after="0" w:line="49"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Each named executive officer would be entitled to outplacement and continuation of generally available health and welfare benefits during the applicable period following termination. In addition, an executive may be eligible for continuation of supplemental benefits such as executive physicals, tax, and financial planning.</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Other terms and conditions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named executive officers do not have a right to receive a gross-up for any taxes that might be due upon termination.</w:t>
      </w:r>
    </w:p>
    <w:p>
      <w:pPr>
        <w:spacing w:after="0" w:line="95"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In the event of termination without cause, each named executive officer would be required to provide a release and waiver of employment and other claims in favor of our company in connection with receiving severance benefits. Each named executive officer has agreed to a set of restrictive covenants (e.g., non-compete, non-solicit, non-disparagement and confidentiality obligations) as part of PRSU, TRSU and/or stock option award terms and conditions.</w:t>
      </w:r>
    </w:p>
    <w:p>
      <w:pPr>
        <w:spacing w:after="0" w:line="71"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Amounts actually received should any of the named executive officers cease to be employed will vary based on factors such as the timing during the year of any such event, our share price, the executive’s age, the circumstances of termination and any changes to our benefit arrangements and policies.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25"/>
          <w:szCs w:val="25"/>
          <w:i w:val="1"/>
          <w:iCs w:val="1"/>
          <w:color w:val="B94831"/>
        </w:rPr>
        <w:t>Agreement with Steve Hasker</w:t>
      </w:r>
    </w:p>
    <w:p>
      <w:pPr>
        <w:spacing w:after="0" w:line="49"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We agreed with Steve Hasker that any PRSUs, TRSUs and stock options granted to him in 2020 and 2021 will vest in full in the event of his involuntary termination without cause or his resignation for good reason within 48 months of his start date with our company. Equity awards granted to Steve in 2022 and later years are subject to standard grant terms and conditions.</w:t>
      </w:r>
    </w:p>
    <w:p>
      <w:pPr>
        <w:spacing w:after="0" w:line="65"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Prior to August 24, 2024 (and, in either event, at least six months prior to the fifth anniversary of Steve becoming a Canadian tax resident) (referred to as the “Departure Tax Trigger Date”), our company and Steve will undertake to analyze the impact to him of tax that may be levied by Canada Revenue Agency on the deemed disposition of certain types of assets when a person emigrates from Canada if his employment were to terminate with Thomson Reuters following the Departure Tax Trigger Date and he were to relocate back to the United States or to any other jurisdiction outside of Canada. Prior to a date which is 30 days prior to the Departure Tax Trigger Date, our company will choose, after good faith consultation with Steve, a commercially reasonable step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33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97</w:t>
      </w:r>
    </w:p>
    <w:p>
      <w:pPr>
        <w:sectPr>
          <w:pgSz w:w="11900" w:h="16838" w:orient="portrait"/>
          <w:cols w:equalWidth="0" w:num="1">
            <w:col w:w="11080"/>
          </w:cols>
          <w:pgMar w:left="320" w:top="454"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120"/>
        <w:spacing w:after="0"/>
        <w:rPr>
          <w:sz w:val="20"/>
          <w:szCs w:val="20"/>
          <w:color w:val="auto"/>
        </w:rPr>
      </w:pPr>
      <w:r>
        <w:rPr>
          <w:rFonts w:ascii="Arial" w:cs="Arial" w:eastAsia="Arial" w:hAnsi="Arial"/>
          <w:sz w:val="18"/>
          <w:szCs w:val="18"/>
          <w:color w:val="auto"/>
        </w:rPr>
        <w:t>deal with the impact to him of the Canadian departure tax at no net cost to him. Such a step may include relocating Steve’s primary place of employment to any of Thomson Reuters’ offices in Ann Arbor, Dallas, Minneapolis-St. Paul or New York City (with such choice of location to be the subject of consultation with Steve, but ultimately within Thomson Reuters’ sole discretion taking into account the best interests of our company). Any such relocation shall not constitute “Good Reason” for purposes of Steve’s employment agreement with our company.</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25"/>
          <w:szCs w:val="25"/>
          <w:color w:val="B94831"/>
        </w:rPr>
        <w:t>Estimated incremental values</w:t>
      </w:r>
    </w:p>
    <w:p>
      <w:pPr>
        <w:spacing w:after="0" w:line="5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Each named executive officer may be eligible to receive certain incremental payments and benefits upon termination of employment under various circumstances. The table below includes the value of incremental compensation that could be available to each named executive officer upon the applicable specified event. Payments and benefits contemplated by plan or award terms and conditions are not reflected in the table. The amounts in the table assume that the named executive officer left our company on December 31, 2023. The closing price of our common shares on the NYSE on that date was $146.22.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67945</wp:posOffset>
            </wp:positionV>
            <wp:extent cx="8255" cy="789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78994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67945</wp:posOffset>
            </wp:positionV>
            <wp:extent cx="8255" cy="789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78994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67945</wp:posOffset>
            </wp:positionV>
            <wp:extent cx="8255" cy="789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78994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67945</wp:posOffset>
            </wp:positionV>
            <wp:extent cx="8255" cy="789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789940"/>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67945</wp:posOffset>
            </wp:positionV>
            <wp:extent cx="8255" cy="789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789940"/>
                    </a:xfrm>
                    <a:prstGeom prst="rect">
                      <a:avLst/>
                    </a:prstGeom>
                    <a:noFill/>
                  </pic:spPr>
                </pic:pic>
              </a:graphicData>
            </a:graphic>
          </wp:anchor>
        </w:drawing>
      </w:r>
    </w:p>
    <w:p>
      <w:pPr>
        <w:spacing w:after="0" w:line="8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700" w:type="dxa"/>
            <w:vAlign w:val="bottom"/>
            <w:tcBorders>
              <w:right w:val="single" w:sz="8" w:color="AFAFAF"/>
            </w:tcBorders>
          </w:tcPr>
          <w:p>
            <w:pPr>
              <w:spacing w:after="0"/>
              <w:rPr>
                <w:sz w:val="14"/>
                <w:szCs w:val="14"/>
                <w:color w:val="auto"/>
              </w:rPr>
            </w:pPr>
          </w:p>
        </w:tc>
        <w:tc>
          <w:tcPr>
            <w:tcW w:w="300" w:type="dxa"/>
            <w:vAlign w:val="bottom"/>
            <w:shd w:val="clear" w:color="auto" w:fill="262626"/>
          </w:tcPr>
          <w:p>
            <w:pPr>
              <w:spacing w:after="0"/>
              <w:rPr>
                <w:sz w:val="14"/>
                <w:szCs w:val="14"/>
                <w:color w:val="auto"/>
              </w:rPr>
            </w:pPr>
          </w:p>
        </w:tc>
        <w:tc>
          <w:tcPr>
            <w:tcW w:w="1120" w:type="dxa"/>
            <w:vAlign w:val="bottom"/>
            <w:tcBorders>
              <w:right w:val="single" w:sz="8" w:color="262626"/>
            </w:tcBorders>
            <w:shd w:val="clear" w:color="auto" w:fill="262626"/>
          </w:tcPr>
          <w:p>
            <w:pPr>
              <w:spacing w:after="0"/>
              <w:rPr>
                <w:sz w:val="14"/>
                <w:szCs w:val="14"/>
                <w:color w:val="auto"/>
              </w:rPr>
            </w:pPr>
          </w:p>
        </w:tc>
        <w:tc>
          <w:tcPr>
            <w:tcW w:w="1000" w:type="dxa"/>
            <w:vAlign w:val="bottom"/>
            <w:tcBorders>
              <w:right w:val="single" w:sz="8" w:color="262626"/>
            </w:tcBorders>
            <w:shd w:val="clear" w:color="auto" w:fill="262626"/>
          </w:tcPr>
          <w:p>
            <w:pPr>
              <w:spacing w:after="0"/>
              <w:rPr>
                <w:sz w:val="14"/>
                <w:szCs w:val="14"/>
                <w:color w:val="auto"/>
              </w:rPr>
            </w:pPr>
          </w:p>
        </w:tc>
        <w:tc>
          <w:tcPr>
            <w:tcW w:w="1240" w:type="dxa"/>
            <w:vAlign w:val="bottom"/>
            <w:tcBorders>
              <w:right w:val="single" w:sz="8" w:color="262626"/>
            </w:tcBorders>
            <w:shd w:val="clear" w:color="auto" w:fill="262626"/>
          </w:tcPr>
          <w:p>
            <w:pPr>
              <w:spacing w:after="0"/>
              <w:rPr>
                <w:sz w:val="14"/>
                <w:szCs w:val="14"/>
                <w:color w:val="auto"/>
              </w:rPr>
            </w:pPr>
          </w:p>
        </w:tc>
        <w:tc>
          <w:tcPr>
            <w:tcW w:w="1320" w:type="dxa"/>
            <w:vAlign w:val="bottom"/>
            <w:tcBorders>
              <w:right w:val="single" w:sz="8" w:color="262626"/>
            </w:tcBorders>
            <w:shd w:val="clear" w:color="auto" w:fill="262626"/>
          </w:tcPr>
          <w:p>
            <w:pPr>
              <w:spacing w:after="0"/>
              <w:rPr>
                <w:sz w:val="14"/>
                <w:szCs w:val="14"/>
                <w:color w:val="auto"/>
              </w:rPr>
            </w:pPr>
          </w:p>
        </w:tc>
        <w:tc>
          <w:tcPr>
            <w:tcW w:w="340" w:type="dxa"/>
            <w:vAlign w:val="bottom"/>
            <w:shd w:val="clear" w:color="auto" w:fill="262626"/>
          </w:tcPr>
          <w:p>
            <w:pPr>
              <w:spacing w:after="0"/>
              <w:rPr>
                <w:sz w:val="14"/>
                <w:szCs w:val="14"/>
                <w:color w:val="auto"/>
              </w:rPr>
            </w:pPr>
          </w:p>
        </w:tc>
        <w:tc>
          <w:tcPr>
            <w:tcW w:w="720" w:type="dxa"/>
            <w:vAlign w:val="bottom"/>
            <w:tcBorders>
              <w:right w:val="single" w:sz="8" w:color="262626"/>
            </w:tcBorders>
            <w:shd w:val="clear" w:color="auto" w:fill="262626"/>
          </w:tcPr>
          <w:p>
            <w:pPr>
              <w:spacing w:after="0"/>
              <w:rPr>
                <w:sz w:val="14"/>
                <w:szCs w:val="14"/>
                <w:color w:val="auto"/>
              </w:rPr>
            </w:pPr>
          </w:p>
        </w:tc>
        <w:tc>
          <w:tcPr>
            <w:tcW w:w="240" w:type="dxa"/>
            <w:vAlign w:val="bottom"/>
            <w:shd w:val="clear" w:color="auto" w:fill="262626"/>
          </w:tcPr>
          <w:p>
            <w:pPr>
              <w:spacing w:after="0"/>
              <w:rPr>
                <w:sz w:val="14"/>
                <w:szCs w:val="14"/>
                <w:color w:val="auto"/>
              </w:rPr>
            </w:pPr>
          </w:p>
        </w:tc>
        <w:tc>
          <w:tcPr>
            <w:tcW w:w="940" w:type="dxa"/>
            <w:vAlign w:val="bottom"/>
            <w:shd w:val="clear" w:color="auto" w:fill="262626"/>
          </w:tcPr>
          <w:p>
            <w:pPr>
              <w:jc w:val="right"/>
              <w:ind w:right="108"/>
              <w:spacing w:after="0"/>
              <w:rPr>
                <w:sz w:val="20"/>
                <w:szCs w:val="20"/>
                <w:color w:val="auto"/>
              </w:rPr>
            </w:pPr>
            <w:r>
              <w:rPr>
                <w:rFonts w:ascii="Arial" w:cs="Arial" w:eastAsia="Arial" w:hAnsi="Arial"/>
                <w:sz w:val="15"/>
                <w:szCs w:val="15"/>
                <w:b w:val="1"/>
                <w:bCs w:val="1"/>
                <w:color w:val="FFFFFF"/>
              </w:rPr>
              <w:t>Qualifying</w:t>
            </w:r>
          </w:p>
        </w:tc>
        <w:tc>
          <w:tcPr>
            <w:tcW w:w="0" w:type="dxa"/>
            <w:vAlign w:val="bottom"/>
          </w:tcPr>
          <w:p>
            <w:pPr>
              <w:spacing w:after="0"/>
              <w:rPr>
                <w:sz w:val="1"/>
                <w:szCs w:val="1"/>
                <w:color w:val="auto"/>
              </w:rPr>
            </w:pPr>
          </w:p>
        </w:tc>
      </w:tr>
      <w:tr>
        <w:trPr>
          <w:trHeight w:val="160"/>
        </w:trPr>
        <w:tc>
          <w:tcPr>
            <w:tcW w:w="3700" w:type="dxa"/>
            <w:vAlign w:val="bottom"/>
            <w:tcBorders>
              <w:right w:val="single" w:sz="8" w:color="AFAFAF"/>
            </w:tcBorders>
          </w:tcPr>
          <w:p>
            <w:pPr>
              <w:spacing w:after="0"/>
              <w:rPr>
                <w:sz w:val="13"/>
                <w:szCs w:val="13"/>
                <w:color w:val="auto"/>
              </w:rPr>
            </w:pPr>
          </w:p>
        </w:tc>
        <w:tc>
          <w:tcPr>
            <w:tcW w:w="300" w:type="dxa"/>
            <w:vAlign w:val="bottom"/>
            <w:shd w:val="clear" w:color="auto" w:fill="262626"/>
          </w:tcPr>
          <w:p>
            <w:pPr>
              <w:spacing w:after="0"/>
              <w:rPr>
                <w:sz w:val="13"/>
                <w:szCs w:val="13"/>
                <w:color w:val="auto"/>
              </w:rPr>
            </w:pPr>
          </w:p>
        </w:tc>
        <w:tc>
          <w:tcPr>
            <w:tcW w:w="1120" w:type="dxa"/>
            <w:vAlign w:val="bottom"/>
            <w:tcBorders>
              <w:right w:val="single" w:sz="8" w:color="262626"/>
            </w:tcBorders>
            <w:shd w:val="clear" w:color="auto" w:fill="262626"/>
          </w:tcPr>
          <w:p>
            <w:pPr>
              <w:spacing w:after="0"/>
              <w:rPr>
                <w:sz w:val="13"/>
                <w:szCs w:val="13"/>
                <w:color w:val="auto"/>
              </w:rPr>
            </w:pPr>
          </w:p>
        </w:tc>
        <w:tc>
          <w:tcPr>
            <w:tcW w:w="1000" w:type="dxa"/>
            <w:vAlign w:val="bottom"/>
            <w:tcBorders>
              <w:right w:val="single" w:sz="8" w:color="262626"/>
            </w:tcBorders>
            <w:shd w:val="clear" w:color="auto" w:fill="262626"/>
          </w:tcPr>
          <w:p>
            <w:pPr>
              <w:spacing w:after="0"/>
              <w:rPr>
                <w:sz w:val="13"/>
                <w:szCs w:val="13"/>
                <w:color w:val="auto"/>
              </w:rPr>
            </w:pPr>
          </w:p>
        </w:tc>
        <w:tc>
          <w:tcPr>
            <w:tcW w:w="1240" w:type="dxa"/>
            <w:vAlign w:val="bottom"/>
            <w:tcBorders>
              <w:right w:val="single" w:sz="8" w:color="262626"/>
            </w:tcBorders>
            <w:vMerge w:val="restart"/>
            <w:shd w:val="clear" w:color="auto" w:fill="262626"/>
          </w:tcPr>
          <w:p>
            <w:pPr>
              <w:jc w:val="right"/>
              <w:spacing w:after="0"/>
              <w:rPr>
                <w:sz w:val="20"/>
                <w:szCs w:val="20"/>
                <w:color w:val="auto"/>
              </w:rPr>
            </w:pPr>
            <w:r>
              <w:rPr>
                <w:rFonts w:ascii="Arial" w:cs="Arial" w:eastAsia="Arial" w:hAnsi="Arial"/>
                <w:sz w:val="15"/>
                <w:szCs w:val="15"/>
                <w:b w:val="1"/>
                <w:bCs w:val="1"/>
                <w:color w:val="FFFFFF"/>
              </w:rPr>
              <w:t>Involuntary</w:t>
            </w:r>
          </w:p>
        </w:tc>
        <w:tc>
          <w:tcPr>
            <w:tcW w:w="1320" w:type="dxa"/>
            <w:vAlign w:val="bottom"/>
            <w:tcBorders>
              <w:right w:val="single" w:sz="8" w:color="262626"/>
            </w:tcBorders>
            <w:shd w:val="clear" w:color="auto" w:fill="262626"/>
          </w:tcPr>
          <w:p>
            <w:pPr>
              <w:spacing w:after="0"/>
              <w:rPr>
                <w:sz w:val="13"/>
                <w:szCs w:val="13"/>
                <w:color w:val="auto"/>
              </w:rPr>
            </w:pPr>
          </w:p>
        </w:tc>
        <w:tc>
          <w:tcPr>
            <w:tcW w:w="340" w:type="dxa"/>
            <w:vAlign w:val="bottom"/>
            <w:shd w:val="clear" w:color="auto" w:fill="262626"/>
          </w:tcPr>
          <w:p>
            <w:pPr>
              <w:spacing w:after="0"/>
              <w:rPr>
                <w:sz w:val="13"/>
                <w:szCs w:val="13"/>
                <w:color w:val="auto"/>
              </w:rPr>
            </w:pPr>
          </w:p>
        </w:tc>
        <w:tc>
          <w:tcPr>
            <w:tcW w:w="720" w:type="dxa"/>
            <w:vAlign w:val="bottom"/>
            <w:tcBorders>
              <w:right w:val="single" w:sz="8" w:color="262626"/>
            </w:tcBorders>
            <w:shd w:val="clear" w:color="auto" w:fill="262626"/>
          </w:tcPr>
          <w:p>
            <w:pPr>
              <w:spacing w:after="0"/>
              <w:rPr>
                <w:sz w:val="13"/>
                <w:szCs w:val="13"/>
                <w:color w:val="auto"/>
              </w:rPr>
            </w:pPr>
          </w:p>
        </w:tc>
        <w:tc>
          <w:tcPr>
            <w:tcW w:w="240" w:type="dxa"/>
            <w:vAlign w:val="bottom"/>
            <w:shd w:val="clear" w:color="auto" w:fill="262626"/>
          </w:tcPr>
          <w:p>
            <w:pPr>
              <w:spacing w:after="0"/>
              <w:rPr>
                <w:sz w:val="13"/>
                <w:szCs w:val="13"/>
                <w:color w:val="auto"/>
              </w:rPr>
            </w:pPr>
          </w:p>
        </w:tc>
        <w:tc>
          <w:tcPr>
            <w:tcW w:w="940" w:type="dxa"/>
            <w:vAlign w:val="bottom"/>
            <w:shd w:val="clear" w:color="auto" w:fill="262626"/>
          </w:tcPr>
          <w:p>
            <w:pPr>
              <w:jc w:val="right"/>
              <w:ind w:right="108"/>
              <w:spacing w:after="0" w:line="161" w:lineRule="exact"/>
              <w:rPr>
                <w:sz w:val="20"/>
                <w:szCs w:val="20"/>
                <w:color w:val="auto"/>
              </w:rPr>
            </w:pPr>
            <w:r>
              <w:rPr>
                <w:rFonts w:ascii="Arial" w:cs="Arial" w:eastAsia="Arial" w:hAnsi="Arial"/>
                <w:sz w:val="15"/>
                <w:szCs w:val="15"/>
                <w:b w:val="1"/>
                <w:bCs w:val="1"/>
                <w:color w:val="FFFFFF"/>
              </w:rPr>
              <w:t>“double</w:t>
            </w:r>
          </w:p>
        </w:tc>
        <w:tc>
          <w:tcPr>
            <w:tcW w:w="0" w:type="dxa"/>
            <w:vAlign w:val="bottom"/>
          </w:tcPr>
          <w:p>
            <w:pPr>
              <w:spacing w:after="0"/>
              <w:rPr>
                <w:sz w:val="1"/>
                <w:szCs w:val="1"/>
                <w:color w:val="auto"/>
              </w:rPr>
            </w:pPr>
          </w:p>
        </w:tc>
      </w:tr>
      <w:tr>
        <w:trPr>
          <w:trHeight w:val="160"/>
        </w:trPr>
        <w:tc>
          <w:tcPr>
            <w:tcW w:w="3700" w:type="dxa"/>
            <w:vAlign w:val="bottom"/>
            <w:tcBorders>
              <w:right w:val="single" w:sz="8" w:color="AFAFAF"/>
            </w:tcBorders>
          </w:tcPr>
          <w:p>
            <w:pPr>
              <w:spacing w:after="0"/>
              <w:rPr>
                <w:sz w:val="13"/>
                <w:szCs w:val="13"/>
                <w:color w:val="auto"/>
              </w:rPr>
            </w:pPr>
          </w:p>
        </w:tc>
        <w:tc>
          <w:tcPr>
            <w:tcW w:w="300" w:type="dxa"/>
            <w:vAlign w:val="bottom"/>
            <w:shd w:val="clear" w:color="auto" w:fill="262626"/>
          </w:tcPr>
          <w:p>
            <w:pPr>
              <w:spacing w:after="0"/>
              <w:rPr>
                <w:sz w:val="13"/>
                <w:szCs w:val="13"/>
                <w:color w:val="auto"/>
              </w:rPr>
            </w:pPr>
          </w:p>
        </w:tc>
        <w:tc>
          <w:tcPr>
            <w:tcW w:w="1120" w:type="dxa"/>
            <w:vAlign w:val="bottom"/>
            <w:tcBorders>
              <w:right w:val="single" w:sz="8" w:color="262626"/>
            </w:tcBorders>
            <w:shd w:val="clear" w:color="auto" w:fill="262626"/>
          </w:tcPr>
          <w:p>
            <w:pPr>
              <w:spacing w:after="0"/>
              <w:rPr>
                <w:sz w:val="13"/>
                <w:szCs w:val="13"/>
                <w:color w:val="auto"/>
              </w:rPr>
            </w:pPr>
          </w:p>
        </w:tc>
        <w:tc>
          <w:tcPr>
            <w:tcW w:w="1000" w:type="dxa"/>
            <w:vAlign w:val="bottom"/>
            <w:tcBorders>
              <w:right w:val="single" w:sz="8" w:color="262626"/>
            </w:tcBorders>
            <w:shd w:val="clear" w:color="auto" w:fill="262626"/>
          </w:tcPr>
          <w:p>
            <w:pPr>
              <w:spacing w:after="0"/>
              <w:rPr>
                <w:sz w:val="13"/>
                <w:szCs w:val="13"/>
                <w:color w:val="auto"/>
              </w:rPr>
            </w:pPr>
          </w:p>
        </w:tc>
        <w:tc>
          <w:tcPr>
            <w:tcW w:w="1240" w:type="dxa"/>
            <w:vAlign w:val="bottom"/>
            <w:tcBorders>
              <w:right w:val="single" w:sz="8" w:color="262626"/>
            </w:tcBorders>
            <w:vMerge w:val="continue"/>
            <w:shd w:val="clear" w:color="auto" w:fill="262626"/>
          </w:tcPr>
          <w:p>
            <w:pPr>
              <w:spacing w:after="0"/>
              <w:rPr>
                <w:sz w:val="13"/>
                <w:szCs w:val="13"/>
                <w:color w:val="auto"/>
              </w:rPr>
            </w:pPr>
          </w:p>
        </w:tc>
        <w:tc>
          <w:tcPr>
            <w:tcW w:w="1320" w:type="dxa"/>
            <w:vAlign w:val="bottom"/>
            <w:tcBorders>
              <w:right w:val="single" w:sz="8" w:color="262626"/>
            </w:tcBorders>
            <w:shd w:val="clear" w:color="auto" w:fill="262626"/>
          </w:tcPr>
          <w:p>
            <w:pPr>
              <w:spacing w:after="0"/>
              <w:rPr>
                <w:sz w:val="13"/>
                <w:szCs w:val="13"/>
                <w:color w:val="auto"/>
              </w:rPr>
            </w:pPr>
          </w:p>
        </w:tc>
        <w:tc>
          <w:tcPr>
            <w:tcW w:w="340" w:type="dxa"/>
            <w:vAlign w:val="bottom"/>
            <w:shd w:val="clear" w:color="auto" w:fill="262626"/>
          </w:tcPr>
          <w:p>
            <w:pPr>
              <w:spacing w:after="0"/>
              <w:rPr>
                <w:sz w:val="13"/>
                <w:szCs w:val="13"/>
                <w:color w:val="auto"/>
              </w:rPr>
            </w:pPr>
          </w:p>
        </w:tc>
        <w:tc>
          <w:tcPr>
            <w:tcW w:w="720" w:type="dxa"/>
            <w:vAlign w:val="bottom"/>
            <w:tcBorders>
              <w:right w:val="single" w:sz="8" w:color="262626"/>
            </w:tcBorders>
            <w:shd w:val="clear" w:color="auto" w:fill="262626"/>
          </w:tcPr>
          <w:p>
            <w:pPr>
              <w:spacing w:after="0"/>
              <w:rPr>
                <w:sz w:val="13"/>
                <w:szCs w:val="13"/>
                <w:color w:val="auto"/>
              </w:rPr>
            </w:pPr>
          </w:p>
        </w:tc>
        <w:tc>
          <w:tcPr>
            <w:tcW w:w="240" w:type="dxa"/>
            <w:vAlign w:val="bottom"/>
            <w:shd w:val="clear" w:color="auto" w:fill="262626"/>
          </w:tcPr>
          <w:p>
            <w:pPr>
              <w:spacing w:after="0"/>
              <w:rPr>
                <w:sz w:val="13"/>
                <w:szCs w:val="13"/>
                <w:color w:val="auto"/>
              </w:rPr>
            </w:pPr>
          </w:p>
        </w:tc>
        <w:tc>
          <w:tcPr>
            <w:tcW w:w="940" w:type="dxa"/>
            <w:vAlign w:val="bottom"/>
            <w:shd w:val="clear" w:color="auto" w:fill="262626"/>
          </w:tcPr>
          <w:p>
            <w:pPr>
              <w:jc w:val="right"/>
              <w:ind w:right="108"/>
              <w:spacing w:after="0" w:line="161" w:lineRule="exact"/>
              <w:rPr>
                <w:sz w:val="20"/>
                <w:szCs w:val="20"/>
                <w:color w:val="auto"/>
              </w:rPr>
            </w:pPr>
            <w:r>
              <w:rPr>
                <w:rFonts w:ascii="Arial" w:cs="Arial" w:eastAsia="Arial" w:hAnsi="Arial"/>
                <w:sz w:val="15"/>
                <w:szCs w:val="15"/>
                <w:b w:val="1"/>
                <w:bCs w:val="1"/>
                <w:color w:val="FFFFFF"/>
              </w:rPr>
              <w:t>trigger”</w:t>
            </w:r>
          </w:p>
        </w:tc>
        <w:tc>
          <w:tcPr>
            <w:tcW w:w="0" w:type="dxa"/>
            <w:vAlign w:val="bottom"/>
          </w:tcPr>
          <w:p>
            <w:pPr>
              <w:spacing w:after="0"/>
              <w:rPr>
                <w:sz w:val="1"/>
                <w:szCs w:val="1"/>
                <w:color w:val="auto"/>
              </w:rPr>
            </w:pPr>
          </w:p>
        </w:tc>
      </w:tr>
      <w:tr>
        <w:trPr>
          <w:trHeight w:val="160"/>
        </w:trPr>
        <w:tc>
          <w:tcPr>
            <w:tcW w:w="3700" w:type="dxa"/>
            <w:vAlign w:val="bottom"/>
            <w:tcBorders>
              <w:right w:val="single" w:sz="8" w:color="AFAFAF"/>
            </w:tcBorders>
          </w:tcPr>
          <w:p>
            <w:pPr>
              <w:spacing w:after="0"/>
              <w:rPr>
                <w:sz w:val="13"/>
                <w:szCs w:val="13"/>
                <w:color w:val="auto"/>
              </w:rPr>
            </w:pPr>
          </w:p>
        </w:tc>
        <w:tc>
          <w:tcPr>
            <w:tcW w:w="300" w:type="dxa"/>
            <w:vAlign w:val="bottom"/>
            <w:shd w:val="clear" w:color="auto" w:fill="262626"/>
          </w:tcPr>
          <w:p>
            <w:pPr>
              <w:spacing w:after="0"/>
              <w:rPr>
                <w:sz w:val="13"/>
                <w:szCs w:val="13"/>
                <w:color w:val="auto"/>
              </w:rPr>
            </w:pPr>
          </w:p>
        </w:tc>
        <w:tc>
          <w:tcPr>
            <w:tcW w:w="1120" w:type="dxa"/>
            <w:vAlign w:val="bottom"/>
            <w:tcBorders>
              <w:right w:val="single" w:sz="8" w:color="262626"/>
            </w:tcBorders>
            <w:vMerge w:val="restart"/>
            <w:shd w:val="clear" w:color="auto" w:fill="262626"/>
          </w:tcPr>
          <w:p>
            <w:pPr>
              <w:jc w:val="right"/>
              <w:ind w:right="128"/>
              <w:spacing w:after="0"/>
              <w:rPr>
                <w:sz w:val="20"/>
                <w:szCs w:val="20"/>
                <w:color w:val="auto"/>
              </w:rPr>
            </w:pPr>
            <w:r>
              <w:rPr>
                <w:rFonts w:ascii="Arial" w:cs="Arial" w:eastAsia="Arial" w:hAnsi="Arial"/>
                <w:sz w:val="15"/>
                <w:szCs w:val="15"/>
                <w:b w:val="1"/>
                <w:bCs w:val="1"/>
                <w:color w:val="FFFFFF"/>
              </w:rPr>
              <w:t>Involuntary</w:t>
            </w:r>
          </w:p>
        </w:tc>
        <w:tc>
          <w:tcPr>
            <w:tcW w:w="1000" w:type="dxa"/>
            <w:vAlign w:val="bottom"/>
            <w:tcBorders>
              <w:right w:val="single" w:sz="8" w:color="262626"/>
            </w:tcBorders>
            <w:shd w:val="clear" w:color="auto" w:fill="262626"/>
          </w:tcPr>
          <w:p>
            <w:pPr>
              <w:spacing w:after="0"/>
              <w:rPr>
                <w:sz w:val="13"/>
                <w:szCs w:val="13"/>
                <w:color w:val="auto"/>
              </w:rPr>
            </w:pPr>
          </w:p>
        </w:tc>
        <w:tc>
          <w:tcPr>
            <w:tcW w:w="1240" w:type="dxa"/>
            <w:vAlign w:val="bottom"/>
            <w:tcBorders>
              <w:right w:val="single" w:sz="8" w:color="262626"/>
            </w:tcBorders>
            <w:shd w:val="clear" w:color="auto" w:fill="262626"/>
          </w:tcPr>
          <w:p>
            <w:pPr>
              <w:jc w:val="right"/>
              <w:spacing w:after="0" w:line="161" w:lineRule="exact"/>
              <w:rPr>
                <w:sz w:val="20"/>
                <w:szCs w:val="20"/>
                <w:color w:val="auto"/>
              </w:rPr>
            </w:pPr>
            <w:r>
              <w:rPr>
                <w:rFonts w:ascii="Arial" w:cs="Arial" w:eastAsia="Arial" w:hAnsi="Arial"/>
                <w:sz w:val="15"/>
                <w:szCs w:val="15"/>
                <w:b w:val="1"/>
                <w:bCs w:val="1"/>
                <w:color w:val="FFFFFF"/>
              </w:rPr>
              <w:t>termination for</w:t>
            </w:r>
          </w:p>
        </w:tc>
        <w:tc>
          <w:tcPr>
            <w:tcW w:w="1320" w:type="dxa"/>
            <w:vAlign w:val="bottom"/>
            <w:tcBorders>
              <w:right w:val="single" w:sz="8" w:color="262626"/>
            </w:tcBorders>
            <w:shd w:val="clear" w:color="auto" w:fill="262626"/>
          </w:tcPr>
          <w:p>
            <w:pPr>
              <w:spacing w:after="0"/>
              <w:rPr>
                <w:sz w:val="13"/>
                <w:szCs w:val="13"/>
                <w:color w:val="auto"/>
              </w:rPr>
            </w:pPr>
          </w:p>
        </w:tc>
        <w:tc>
          <w:tcPr>
            <w:tcW w:w="340" w:type="dxa"/>
            <w:vAlign w:val="bottom"/>
            <w:shd w:val="clear" w:color="auto" w:fill="262626"/>
          </w:tcPr>
          <w:p>
            <w:pPr>
              <w:spacing w:after="0"/>
              <w:rPr>
                <w:sz w:val="13"/>
                <w:szCs w:val="13"/>
                <w:color w:val="auto"/>
              </w:rPr>
            </w:pPr>
          </w:p>
        </w:tc>
        <w:tc>
          <w:tcPr>
            <w:tcW w:w="720" w:type="dxa"/>
            <w:vAlign w:val="bottom"/>
            <w:tcBorders>
              <w:right w:val="single" w:sz="8" w:color="262626"/>
            </w:tcBorders>
            <w:shd w:val="clear" w:color="auto" w:fill="262626"/>
          </w:tcPr>
          <w:p>
            <w:pPr>
              <w:spacing w:after="0"/>
              <w:rPr>
                <w:sz w:val="13"/>
                <w:szCs w:val="13"/>
                <w:color w:val="auto"/>
              </w:rPr>
            </w:pPr>
          </w:p>
        </w:tc>
        <w:tc>
          <w:tcPr>
            <w:tcW w:w="1180" w:type="dxa"/>
            <w:vAlign w:val="bottom"/>
            <w:gridSpan w:val="2"/>
            <w:shd w:val="clear" w:color="auto" w:fill="262626"/>
          </w:tcPr>
          <w:p>
            <w:pPr>
              <w:ind w:left="160"/>
              <w:spacing w:after="0" w:line="161" w:lineRule="exact"/>
              <w:rPr>
                <w:sz w:val="20"/>
                <w:szCs w:val="20"/>
                <w:color w:val="auto"/>
              </w:rPr>
            </w:pPr>
            <w:r>
              <w:rPr>
                <w:rFonts w:ascii="Arial" w:cs="Arial" w:eastAsia="Arial" w:hAnsi="Arial"/>
                <w:sz w:val="15"/>
                <w:szCs w:val="15"/>
                <w:b w:val="1"/>
                <w:bCs w:val="1"/>
                <w:color w:val="FFFFFF"/>
              </w:rPr>
              <w:t>termination</w:t>
            </w:r>
          </w:p>
        </w:tc>
        <w:tc>
          <w:tcPr>
            <w:tcW w:w="0" w:type="dxa"/>
            <w:vAlign w:val="bottom"/>
          </w:tcPr>
          <w:p>
            <w:pPr>
              <w:spacing w:after="0"/>
              <w:rPr>
                <w:sz w:val="1"/>
                <w:szCs w:val="1"/>
                <w:color w:val="auto"/>
              </w:rPr>
            </w:pPr>
          </w:p>
        </w:tc>
      </w:tr>
      <w:tr>
        <w:trPr>
          <w:trHeight w:val="160"/>
        </w:trPr>
        <w:tc>
          <w:tcPr>
            <w:tcW w:w="3700" w:type="dxa"/>
            <w:vAlign w:val="bottom"/>
            <w:tcBorders>
              <w:right w:val="single" w:sz="8" w:color="AFAFAF"/>
            </w:tcBorders>
          </w:tcPr>
          <w:p>
            <w:pPr>
              <w:spacing w:after="0"/>
              <w:rPr>
                <w:sz w:val="13"/>
                <w:szCs w:val="13"/>
                <w:color w:val="auto"/>
              </w:rPr>
            </w:pPr>
          </w:p>
        </w:tc>
        <w:tc>
          <w:tcPr>
            <w:tcW w:w="300" w:type="dxa"/>
            <w:vAlign w:val="bottom"/>
            <w:shd w:val="clear" w:color="auto" w:fill="262626"/>
          </w:tcPr>
          <w:p>
            <w:pPr>
              <w:spacing w:after="0"/>
              <w:rPr>
                <w:sz w:val="13"/>
                <w:szCs w:val="13"/>
                <w:color w:val="auto"/>
              </w:rPr>
            </w:pPr>
          </w:p>
        </w:tc>
        <w:tc>
          <w:tcPr>
            <w:tcW w:w="1120" w:type="dxa"/>
            <w:vAlign w:val="bottom"/>
            <w:tcBorders>
              <w:right w:val="single" w:sz="8" w:color="262626"/>
            </w:tcBorders>
            <w:vMerge w:val="continue"/>
            <w:shd w:val="clear" w:color="auto" w:fill="262626"/>
          </w:tcPr>
          <w:p>
            <w:pPr>
              <w:spacing w:after="0"/>
              <w:rPr>
                <w:sz w:val="13"/>
                <w:szCs w:val="13"/>
                <w:color w:val="auto"/>
              </w:rPr>
            </w:pPr>
          </w:p>
        </w:tc>
        <w:tc>
          <w:tcPr>
            <w:tcW w:w="1000" w:type="dxa"/>
            <w:vAlign w:val="bottom"/>
            <w:tcBorders>
              <w:right w:val="single" w:sz="8" w:color="262626"/>
            </w:tcBorders>
            <w:vMerge w:val="restart"/>
            <w:shd w:val="clear" w:color="auto" w:fill="262626"/>
          </w:tcPr>
          <w:p>
            <w:pPr>
              <w:jc w:val="right"/>
              <w:spacing w:after="0"/>
              <w:rPr>
                <w:sz w:val="20"/>
                <w:szCs w:val="20"/>
                <w:color w:val="auto"/>
              </w:rPr>
            </w:pPr>
            <w:r>
              <w:rPr>
                <w:rFonts w:ascii="Arial" w:cs="Arial" w:eastAsia="Arial" w:hAnsi="Arial"/>
                <w:sz w:val="15"/>
                <w:szCs w:val="15"/>
                <w:b w:val="1"/>
                <w:bCs w:val="1"/>
                <w:color w:val="FFFFFF"/>
              </w:rPr>
              <w:t>Early</w:t>
            </w:r>
          </w:p>
        </w:tc>
        <w:tc>
          <w:tcPr>
            <w:tcW w:w="1240" w:type="dxa"/>
            <w:vAlign w:val="bottom"/>
            <w:tcBorders>
              <w:right w:val="single" w:sz="8" w:color="262626"/>
            </w:tcBorders>
            <w:shd w:val="clear" w:color="auto" w:fill="262626"/>
          </w:tcPr>
          <w:p>
            <w:pPr>
              <w:jc w:val="right"/>
              <w:spacing w:after="0" w:line="161" w:lineRule="exact"/>
              <w:rPr>
                <w:sz w:val="20"/>
                <w:szCs w:val="20"/>
                <w:color w:val="auto"/>
              </w:rPr>
            </w:pPr>
            <w:r>
              <w:rPr>
                <w:rFonts w:ascii="Arial" w:cs="Arial" w:eastAsia="Arial" w:hAnsi="Arial"/>
                <w:sz w:val="15"/>
                <w:szCs w:val="15"/>
                <w:b w:val="1"/>
                <w:bCs w:val="1"/>
                <w:color w:val="FFFFFF"/>
              </w:rPr>
              <w:t>Cause or</w:t>
            </w:r>
          </w:p>
        </w:tc>
        <w:tc>
          <w:tcPr>
            <w:tcW w:w="1320" w:type="dxa"/>
            <w:vAlign w:val="bottom"/>
            <w:tcBorders>
              <w:right w:val="single" w:sz="8" w:color="262626"/>
            </w:tcBorders>
            <w:vMerge w:val="restart"/>
            <w:shd w:val="clear" w:color="auto" w:fill="262626"/>
          </w:tcPr>
          <w:p>
            <w:pPr>
              <w:jc w:val="right"/>
              <w:spacing w:after="0"/>
              <w:rPr>
                <w:sz w:val="20"/>
                <w:szCs w:val="20"/>
                <w:color w:val="auto"/>
              </w:rPr>
            </w:pPr>
            <w:r>
              <w:rPr>
                <w:rFonts w:ascii="Arial" w:cs="Arial" w:eastAsia="Arial" w:hAnsi="Arial"/>
                <w:sz w:val="15"/>
                <w:szCs w:val="15"/>
                <w:b w:val="1"/>
                <w:bCs w:val="1"/>
                <w:color w:val="FFFFFF"/>
              </w:rPr>
              <w:t>Resignation for</w:t>
            </w:r>
          </w:p>
        </w:tc>
        <w:tc>
          <w:tcPr>
            <w:tcW w:w="1060" w:type="dxa"/>
            <w:vAlign w:val="bottom"/>
            <w:tcBorders>
              <w:right w:val="single" w:sz="8" w:color="262626"/>
            </w:tcBorders>
            <w:gridSpan w:val="2"/>
            <w:vMerge w:val="restart"/>
            <w:shd w:val="clear" w:color="auto" w:fill="262626"/>
          </w:tcPr>
          <w:p>
            <w:pPr>
              <w:jc w:val="center"/>
              <w:spacing w:after="0"/>
              <w:rPr>
                <w:sz w:val="20"/>
                <w:szCs w:val="20"/>
                <w:color w:val="auto"/>
              </w:rPr>
            </w:pPr>
            <w:r>
              <w:rPr>
                <w:rFonts w:ascii="Arial" w:cs="Arial" w:eastAsia="Arial" w:hAnsi="Arial"/>
                <w:sz w:val="15"/>
                <w:szCs w:val="15"/>
                <w:b w:val="1"/>
                <w:bCs w:val="1"/>
                <w:color w:val="FFFFFF"/>
                <w:w w:val="98"/>
              </w:rPr>
              <w:t>Death or</w:t>
            </w:r>
          </w:p>
        </w:tc>
        <w:tc>
          <w:tcPr>
            <w:tcW w:w="1180" w:type="dxa"/>
            <w:vAlign w:val="bottom"/>
            <w:gridSpan w:val="2"/>
            <w:shd w:val="clear" w:color="auto" w:fill="262626"/>
          </w:tcPr>
          <w:p>
            <w:pPr>
              <w:jc w:val="right"/>
              <w:ind w:right="108"/>
              <w:spacing w:after="0" w:line="161" w:lineRule="exact"/>
              <w:rPr>
                <w:sz w:val="20"/>
                <w:szCs w:val="20"/>
                <w:color w:val="auto"/>
              </w:rPr>
            </w:pPr>
            <w:r>
              <w:rPr>
                <w:rFonts w:ascii="Arial" w:cs="Arial" w:eastAsia="Arial" w:hAnsi="Arial"/>
                <w:sz w:val="15"/>
                <w:szCs w:val="15"/>
                <w:b w:val="1"/>
                <w:bCs w:val="1"/>
                <w:color w:val="FFFFFF"/>
              </w:rPr>
              <w:t>following a</w:t>
            </w:r>
          </w:p>
        </w:tc>
        <w:tc>
          <w:tcPr>
            <w:tcW w:w="0" w:type="dxa"/>
            <w:vAlign w:val="bottom"/>
          </w:tcPr>
          <w:p>
            <w:pPr>
              <w:spacing w:after="0"/>
              <w:rPr>
                <w:sz w:val="1"/>
                <w:szCs w:val="1"/>
                <w:color w:val="auto"/>
              </w:rPr>
            </w:pPr>
          </w:p>
        </w:tc>
      </w:tr>
      <w:tr>
        <w:trPr>
          <w:trHeight w:val="160"/>
        </w:trPr>
        <w:tc>
          <w:tcPr>
            <w:tcW w:w="3700" w:type="dxa"/>
            <w:vAlign w:val="bottom"/>
            <w:tcBorders>
              <w:right w:val="single" w:sz="8" w:color="AFAFAF"/>
            </w:tcBorders>
          </w:tcPr>
          <w:p>
            <w:pPr>
              <w:spacing w:after="0"/>
              <w:rPr>
                <w:sz w:val="13"/>
                <w:szCs w:val="13"/>
                <w:color w:val="auto"/>
              </w:rPr>
            </w:pPr>
          </w:p>
        </w:tc>
        <w:tc>
          <w:tcPr>
            <w:tcW w:w="300" w:type="dxa"/>
            <w:vAlign w:val="bottom"/>
            <w:shd w:val="clear" w:color="auto" w:fill="262626"/>
          </w:tcPr>
          <w:p>
            <w:pPr>
              <w:spacing w:after="0"/>
              <w:rPr>
                <w:sz w:val="13"/>
                <w:szCs w:val="13"/>
                <w:color w:val="auto"/>
              </w:rPr>
            </w:pPr>
          </w:p>
        </w:tc>
        <w:tc>
          <w:tcPr>
            <w:tcW w:w="1120" w:type="dxa"/>
            <w:vAlign w:val="bottom"/>
            <w:tcBorders>
              <w:right w:val="single" w:sz="8" w:color="262626"/>
            </w:tcBorders>
            <w:shd w:val="clear" w:color="auto" w:fill="262626"/>
          </w:tcPr>
          <w:p>
            <w:pPr>
              <w:jc w:val="right"/>
              <w:ind w:right="128"/>
              <w:spacing w:after="0" w:line="161" w:lineRule="exact"/>
              <w:rPr>
                <w:sz w:val="20"/>
                <w:szCs w:val="20"/>
                <w:color w:val="auto"/>
              </w:rPr>
            </w:pPr>
            <w:r>
              <w:rPr>
                <w:rFonts w:ascii="Arial" w:cs="Arial" w:eastAsia="Arial" w:hAnsi="Arial"/>
                <w:sz w:val="15"/>
                <w:szCs w:val="15"/>
                <w:b w:val="1"/>
                <w:bCs w:val="1"/>
                <w:color w:val="FFFFFF"/>
              </w:rPr>
              <w:t>Termination</w:t>
            </w:r>
          </w:p>
        </w:tc>
        <w:tc>
          <w:tcPr>
            <w:tcW w:w="1000" w:type="dxa"/>
            <w:vAlign w:val="bottom"/>
            <w:tcBorders>
              <w:right w:val="single" w:sz="8" w:color="262626"/>
            </w:tcBorders>
            <w:vMerge w:val="continue"/>
            <w:shd w:val="clear" w:color="auto" w:fill="262626"/>
          </w:tcPr>
          <w:p>
            <w:pPr>
              <w:spacing w:after="0"/>
              <w:rPr>
                <w:sz w:val="13"/>
                <w:szCs w:val="13"/>
                <w:color w:val="auto"/>
              </w:rPr>
            </w:pPr>
          </w:p>
        </w:tc>
        <w:tc>
          <w:tcPr>
            <w:tcW w:w="1240" w:type="dxa"/>
            <w:vAlign w:val="bottom"/>
            <w:tcBorders>
              <w:right w:val="single" w:sz="8" w:color="262626"/>
            </w:tcBorders>
            <w:shd w:val="clear" w:color="auto" w:fill="262626"/>
          </w:tcPr>
          <w:p>
            <w:pPr>
              <w:jc w:val="right"/>
              <w:spacing w:after="0" w:line="161" w:lineRule="exact"/>
              <w:rPr>
                <w:sz w:val="20"/>
                <w:szCs w:val="20"/>
                <w:color w:val="auto"/>
              </w:rPr>
            </w:pPr>
            <w:r>
              <w:rPr>
                <w:rFonts w:ascii="Arial" w:cs="Arial" w:eastAsia="Arial" w:hAnsi="Arial"/>
                <w:sz w:val="15"/>
                <w:szCs w:val="15"/>
                <w:b w:val="1"/>
                <w:bCs w:val="1"/>
                <w:color w:val="FFFFFF"/>
              </w:rPr>
              <w:t>voluntary</w:t>
            </w:r>
          </w:p>
        </w:tc>
        <w:tc>
          <w:tcPr>
            <w:tcW w:w="1320" w:type="dxa"/>
            <w:vAlign w:val="bottom"/>
            <w:tcBorders>
              <w:right w:val="single" w:sz="8" w:color="262626"/>
            </w:tcBorders>
            <w:vMerge w:val="continue"/>
            <w:shd w:val="clear" w:color="auto" w:fill="262626"/>
          </w:tcPr>
          <w:p>
            <w:pPr>
              <w:spacing w:after="0"/>
              <w:rPr>
                <w:sz w:val="13"/>
                <w:szCs w:val="13"/>
                <w:color w:val="auto"/>
              </w:rPr>
            </w:pPr>
          </w:p>
        </w:tc>
        <w:tc>
          <w:tcPr>
            <w:tcW w:w="1060" w:type="dxa"/>
            <w:vAlign w:val="bottom"/>
            <w:tcBorders>
              <w:right w:val="single" w:sz="8" w:color="262626"/>
            </w:tcBorders>
            <w:gridSpan w:val="2"/>
            <w:vMerge w:val="continue"/>
            <w:shd w:val="clear" w:color="auto" w:fill="262626"/>
          </w:tcPr>
          <w:p>
            <w:pPr>
              <w:spacing w:after="0"/>
              <w:rPr>
                <w:sz w:val="13"/>
                <w:szCs w:val="13"/>
                <w:color w:val="auto"/>
              </w:rPr>
            </w:pPr>
          </w:p>
        </w:tc>
        <w:tc>
          <w:tcPr>
            <w:tcW w:w="240" w:type="dxa"/>
            <w:vAlign w:val="bottom"/>
            <w:shd w:val="clear" w:color="auto" w:fill="262626"/>
          </w:tcPr>
          <w:p>
            <w:pPr>
              <w:spacing w:after="0"/>
              <w:rPr>
                <w:sz w:val="13"/>
                <w:szCs w:val="13"/>
                <w:color w:val="auto"/>
              </w:rPr>
            </w:pPr>
          </w:p>
        </w:tc>
        <w:tc>
          <w:tcPr>
            <w:tcW w:w="940" w:type="dxa"/>
            <w:vAlign w:val="bottom"/>
            <w:shd w:val="clear" w:color="auto" w:fill="262626"/>
          </w:tcPr>
          <w:p>
            <w:pPr>
              <w:jc w:val="right"/>
              <w:ind w:right="108"/>
              <w:spacing w:after="0" w:line="161" w:lineRule="exact"/>
              <w:rPr>
                <w:sz w:val="20"/>
                <w:szCs w:val="20"/>
                <w:color w:val="auto"/>
              </w:rPr>
            </w:pPr>
            <w:r>
              <w:rPr>
                <w:rFonts w:ascii="Arial" w:cs="Arial" w:eastAsia="Arial" w:hAnsi="Arial"/>
                <w:sz w:val="15"/>
                <w:szCs w:val="15"/>
                <w:b w:val="1"/>
                <w:bCs w:val="1"/>
                <w:color w:val="FFFFFF"/>
              </w:rPr>
              <w:t>Change of</w:t>
            </w:r>
          </w:p>
        </w:tc>
        <w:tc>
          <w:tcPr>
            <w:tcW w:w="0" w:type="dxa"/>
            <w:vAlign w:val="bottom"/>
          </w:tcPr>
          <w:p>
            <w:pPr>
              <w:spacing w:after="0"/>
              <w:rPr>
                <w:sz w:val="1"/>
                <w:szCs w:val="1"/>
                <w:color w:val="auto"/>
              </w:rPr>
            </w:pPr>
          </w:p>
        </w:tc>
      </w:tr>
      <w:tr>
        <w:trPr>
          <w:trHeight w:val="258"/>
        </w:trPr>
        <w:tc>
          <w:tcPr>
            <w:tcW w:w="3700" w:type="dxa"/>
            <w:vAlign w:val="bottom"/>
            <w:tcBorders>
              <w:right w:val="single" w:sz="8" w:color="AFAFAF"/>
            </w:tcBorders>
          </w:tcPr>
          <w:p>
            <w:pPr>
              <w:spacing w:after="0"/>
              <w:rPr>
                <w:sz w:val="22"/>
                <w:szCs w:val="22"/>
                <w:color w:val="auto"/>
              </w:rPr>
            </w:pPr>
          </w:p>
        </w:tc>
        <w:tc>
          <w:tcPr>
            <w:tcW w:w="1420" w:type="dxa"/>
            <w:vAlign w:val="bottom"/>
            <w:tcBorders>
              <w:bottom w:val="single" w:sz="8" w:color="262626"/>
              <w:right w:val="single" w:sz="8" w:color="262626"/>
            </w:tcBorders>
            <w:gridSpan w:val="2"/>
            <w:shd w:val="clear" w:color="auto" w:fill="262626"/>
          </w:tcPr>
          <w:p>
            <w:pPr>
              <w:ind w:left="180"/>
              <w:spacing w:after="0"/>
              <w:rPr>
                <w:sz w:val="20"/>
                <w:szCs w:val="20"/>
                <w:color w:val="auto"/>
              </w:rPr>
            </w:pPr>
            <w:r>
              <w:rPr>
                <w:rFonts w:ascii="Arial" w:cs="Arial" w:eastAsia="Arial" w:hAnsi="Arial"/>
                <w:sz w:val="15"/>
                <w:szCs w:val="15"/>
                <w:b w:val="1"/>
                <w:bCs w:val="1"/>
                <w:color w:val="FFFFFF"/>
              </w:rPr>
              <w:t>without Cause</w:t>
            </w:r>
          </w:p>
        </w:tc>
        <w:tc>
          <w:tcPr>
            <w:tcW w:w="1000" w:type="dxa"/>
            <w:vAlign w:val="bottom"/>
            <w:tcBorders>
              <w:bottom w:val="single" w:sz="8" w:color="262626"/>
              <w:right w:val="single" w:sz="8" w:color="262626"/>
            </w:tcBorders>
            <w:shd w:val="clear" w:color="auto" w:fill="262626"/>
          </w:tcPr>
          <w:p>
            <w:pPr>
              <w:jc w:val="right"/>
              <w:spacing w:after="0"/>
              <w:rPr>
                <w:sz w:val="20"/>
                <w:szCs w:val="20"/>
                <w:color w:val="auto"/>
              </w:rPr>
            </w:pPr>
            <w:r>
              <w:rPr>
                <w:rFonts w:ascii="Arial" w:cs="Arial" w:eastAsia="Arial" w:hAnsi="Arial"/>
                <w:sz w:val="15"/>
                <w:szCs w:val="15"/>
                <w:b w:val="1"/>
                <w:bCs w:val="1"/>
                <w:color w:val="FFFFFF"/>
              </w:rPr>
              <w:t>Retirement</w:t>
            </w:r>
          </w:p>
        </w:tc>
        <w:tc>
          <w:tcPr>
            <w:tcW w:w="1240" w:type="dxa"/>
            <w:vAlign w:val="bottom"/>
            <w:tcBorders>
              <w:bottom w:val="single" w:sz="8" w:color="262626"/>
              <w:right w:val="single" w:sz="8" w:color="262626"/>
            </w:tcBorders>
            <w:shd w:val="clear" w:color="auto" w:fill="262626"/>
          </w:tcPr>
          <w:p>
            <w:pPr>
              <w:jc w:val="right"/>
              <w:spacing w:after="0"/>
              <w:rPr>
                <w:sz w:val="20"/>
                <w:szCs w:val="20"/>
                <w:color w:val="auto"/>
              </w:rPr>
            </w:pPr>
            <w:r>
              <w:rPr>
                <w:rFonts w:ascii="Arial" w:cs="Arial" w:eastAsia="Arial" w:hAnsi="Arial"/>
                <w:sz w:val="15"/>
                <w:szCs w:val="15"/>
                <w:b w:val="1"/>
                <w:bCs w:val="1"/>
                <w:color w:val="FFFFFF"/>
              </w:rPr>
              <w:t>resignation</w:t>
            </w:r>
          </w:p>
        </w:tc>
        <w:tc>
          <w:tcPr>
            <w:tcW w:w="1320" w:type="dxa"/>
            <w:vAlign w:val="bottom"/>
            <w:tcBorders>
              <w:bottom w:val="single" w:sz="8" w:color="262626"/>
              <w:right w:val="single" w:sz="8" w:color="262626"/>
            </w:tcBorders>
            <w:shd w:val="clear" w:color="auto" w:fill="262626"/>
          </w:tcPr>
          <w:p>
            <w:pPr>
              <w:jc w:val="right"/>
              <w:spacing w:after="0"/>
              <w:rPr>
                <w:sz w:val="20"/>
                <w:szCs w:val="20"/>
                <w:color w:val="auto"/>
              </w:rPr>
            </w:pPr>
            <w:r>
              <w:rPr>
                <w:rFonts w:ascii="Arial" w:cs="Arial" w:eastAsia="Arial" w:hAnsi="Arial"/>
                <w:sz w:val="15"/>
                <w:szCs w:val="15"/>
                <w:b w:val="1"/>
                <w:bCs w:val="1"/>
                <w:color w:val="FFFFFF"/>
              </w:rPr>
              <w:t>good reason</w:t>
            </w:r>
          </w:p>
        </w:tc>
        <w:tc>
          <w:tcPr>
            <w:tcW w:w="1060" w:type="dxa"/>
            <w:vAlign w:val="bottom"/>
            <w:tcBorders>
              <w:bottom w:val="single" w:sz="8" w:color="262626"/>
              <w:right w:val="single" w:sz="8" w:color="262626"/>
            </w:tcBorders>
            <w:gridSpan w:val="2"/>
            <w:shd w:val="clear" w:color="auto" w:fill="262626"/>
          </w:tcPr>
          <w:p>
            <w:pPr>
              <w:ind w:left="180"/>
              <w:spacing w:after="0"/>
              <w:rPr>
                <w:sz w:val="20"/>
                <w:szCs w:val="20"/>
                <w:color w:val="auto"/>
              </w:rPr>
            </w:pPr>
            <w:r>
              <w:rPr>
                <w:rFonts w:ascii="Arial" w:cs="Arial" w:eastAsia="Arial" w:hAnsi="Arial"/>
                <w:sz w:val="15"/>
                <w:szCs w:val="15"/>
                <w:b w:val="1"/>
                <w:bCs w:val="1"/>
                <w:color w:val="FFFFFF"/>
              </w:rPr>
              <w:t>Disability</w:t>
            </w:r>
          </w:p>
        </w:tc>
        <w:tc>
          <w:tcPr>
            <w:tcW w:w="240" w:type="dxa"/>
            <w:vAlign w:val="bottom"/>
            <w:tcBorders>
              <w:bottom w:val="single" w:sz="8" w:color="262626"/>
            </w:tcBorders>
            <w:shd w:val="clear" w:color="auto" w:fill="262626"/>
          </w:tcPr>
          <w:p>
            <w:pPr>
              <w:spacing w:after="0"/>
              <w:rPr>
                <w:sz w:val="22"/>
                <w:szCs w:val="22"/>
                <w:color w:val="auto"/>
              </w:rPr>
            </w:pPr>
          </w:p>
        </w:tc>
        <w:tc>
          <w:tcPr>
            <w:tcW w:w="940" w:type="dxa"/>
            <w:vAlign w:val="bottom"/>
            <w:tcBorders>
              <w:bottom w:val="single" w:sz="8" w:color="262626"/>
            </w:tcBorders>
            <w:shd w:val="clear" w:color="auto" w:fill="262626"/>
          </w:tcPr>
          <w:p>
            <w:pPr>
              <w:jc w:val="right"/>
              <w:ind w:right="108"/>
              <w:spacing w:after="0"/>
              <w:rPr>
                <w:sz w:val="20"/>
                <w:szCs w:val="20"/>
                <w:color w:val="auto"/>
              </w:rPr>
            </w:pPr>
            <w:r>
              <w:rPr>
                <w:rFonts w:ascii="Arial" w:cs="Arial" w:eastAsia="Arial" w:hAnsi="Arial"/>
                <w:sz w:val="15"/>
                <w:szCs w:val="15"/>
                <w:b w:val="1"/>
                <w:bCs w:val="1"/>
                <w:color w:val="FFFFFF"/>
              </w:rPr>
              <w:t>Control</w:t>
            </w:r>
            <w:r>
              <w:rPr>
                <w:rFonts w:ascii="Arial" w:cs="Arial" w:eastAsia="Arial" w:hAnsi="Arial"/>
                <w:sz w:val="11"/>
                <w:szCs w:val="11"/>
                <w:b w:val="1"/>
                <w:bCs w:val="1"/>
                <w:color w:val="FFFFFF"/>
              </w:rPr>
              <w:t>1</w:t>
            </w:r>
          </w:p>
        </w:tc>
        <w:tc>
          <w:tcPr>
            <w:tcW w:w="0" w:type="dxa"/>
            <w:vAlign w:val="bottom"/>
          </w:tcPr>
          <w:p>
            <w:pPr>
              <w:spacing w:after="0"/>
              <w:rPr>
                <w:sz w:val="1"/>
                <w:szCs w:val="1"/>
                <w:color w:val="auto"/>
              </w:rPr>
            </w:pPr>
          </w:p>
        </w:tc>
      </w:tr>
      <w:tr>
        <w:trPr>
          <w:trHeight w:val="193"/>
        </w:trPr>
        <w:tc>
          <w:tcPr>
            <w:tcW w:w="3700" w:type="dxa"/>
            <w:vAlign w:val="bottom"/>
            <w:tcBorders>
              <w:top w:val="single" w:sz="8" w:color="B94831"/>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Steve Hasker</w:t>
            </w:r>
          </w:p>
        </w:tc>
        <w:tc>
          <w:tcPr>
            <w:tcW w:w="300" w:type="dxa"/>
            <w:vAlign w:val="bottom"/>
            <w:tcBorders>
              <w:top w:val="single" w:sz="8" w:color="B94831"/>
              <w:bottom w:val="single" w:sz="8" w:color="AFAFAF"/>
            </w:tcBorders>
          </w:tcPr>
          <w:p>
            <w:pPr>
              <w:spacing w:after="0"/>
              <w:rPr>
                <w:sz w:val="16"/>
                <w:szCs w:val="16"/>
                <w:color w:val="auto"/>
              </w:rPr>
            </w:pPr>
          </w:p>
        </w:tc>
        <w:tc>
          <w:tcPr>
            <w:tcW w:w="1120" w:type="dxa"/>
            <w:vAlign w:val="bottom"/>
            <w:tcBorders>
              <w:top w:val="single" w:sz="8" w:color="B94831"/>
              <w:bottom w:val="single" w:sz="8" w:color="AFAFAF"/>
              <w:right w:val="single" w:sz="8" w:color="AFAFAF"/>
            </w:tcBorders>
          </w:tcPr>
          <w:p>
            <w:pPr>
              <w:spacing w:after="0"/>
              <w:rPr>
                <w:sz w:val="16"/>
                <w:szCs w:val="16"/>
                <w:color w:val="auto"/>
              </w:rPr>
            </w:pPr>
          </w:p>
        </w:tc>
        <w:tc>
          <w:tcPr>
            <w:tcW w:w="1000" w:type="dxa"/>
            <w:vAlign w:val="bottom"/>
            <w:tcBorders>
              <w:top w:val="single" w:sz="8" w:color="B94831"/>
              <w:bottom w:val="single" w:sz="8" w:color="AFAFAF"/>
              <w:right w:val="single" w:sz="8" w:color="AFAFAF"/>
            </w:tcBorders>
          </w:tcPr>
          <w:p>
            <w:pPr>
              <w:spacing w:after="0"/>
              <w:rPr>
                <w:sz w:val="16"/>
                <w:szCs w:val="16"/>
                <w:color w:val="auto"/>
              </w:rPr>
            </w:pPr>
          </w:p>
        </w:tc>
        <w:tc>
          <w:tcPr>
            <w:tcW w:w="1240" w:type="dxa"/>
            <w:vAlign w:val="bottom"/>
            <w:tcBorders>
              <w:top w:val="single" w:sz="8" w:color="B94831"/>
              <w:bottom w:val="single" w:sz="8" w:color="AFAFAF"/>
              <w:right w:val="single" w:sz="8" w:color="AFAFAF"/>
            </w:tcBorders>
          </w:tcPr>
          <w:p>
            <w:pPr>
              <w:spacing w:after="0"/>
              <w:rPr>
                <w:sz w:val="16"/>
                <w:szCs w:val="16"/>
                <w:color w:val="auto"/>
              </w:rPr>
            </w:pPr>
          </w:p>
        </w:tc>
        <w:tc>
          <w:tcPr>
            <w:tcW w:w="1320" w:type="dxa"/>
            <w:vAlign w:val="bottom"/>
            <w:tcBorders>
              <w:top w:val="single" w:sz="8" w:color="B94831"/>
              <w:bottom w:val="single" w:sz="8" w:color="AFAFAF"/>
              <w:right w:val="single" w:sz="8" w:color="AFAFAF"/>
            </w:tcBorders>
          </w:tcPr>
          <w:p>
            <w:pPr>
              <w:spacing w:after="0"/>
              <w:rPr>
                <w:sz w:val="16"/>
                <w:szCs w:val="16"/>
                <w:color w:val="auto"/>
              </w:rPr>
            </w:pPr>
          </w:p>
        </w:tc>
        <w:tc>
          <w:tcPr>
            <w:tcW w:w="340" w:type="dxa"/>
            <w:vAlign w:val="bottom"/>
            <w:tcBorders>
              <w:top w:val="single" w:sz="8" w:color="B94831"/>
              <w:bottom w:val="single" w:sz="8" w:color="AFAFAF"/>
            </w:tcBorders>
          </w:tcPr>
          <w:p>
            <w:pPr>
              <w:spacing w:after="0"/>
              <w:rPr>
                <w:sz w:val="16"/>
                <w:szCs w:val="16"/>
                <w:color w:val="auto"/>
              </w:rPr>
            </w:pPr>
          </w:p>
        </w:tc>
        <w:tc>
          <w:tcPr>
            <w:tcW w:w="720" w:type="dxa"/>
            <w:vAlign w:val="bottom"/>
            <w:tcBorders>
              <w:top w:val="single" w:sz="8" w:color="B94831"/>
              <w:bottom w:val="single" w:sz="8" w:color="AFAFAF"/>
              <w:right w:val="single" w:sz="8" w:color="AFAFAF"/>
            </w:tcBorders>
          </w:tcPr>
          <w:p>
            <w:pPr>
              <w:spacing w:after="0"/>
              <w:rPr>
                <w:sz w:val="16"/>
                <w:szCs w:val="16"/>
                <w:color w:val="auto"/>
              </w:rPr>
            </w:pPr>
          </w:p>
        </w:tc>
        <w:tc>
          <w:tcPr>
            <w:tcW w:w="240" w:type="dxa"/>
            <w:vAlign w:val="bottom"/>
            <w:tcBorders>
              <w:top w:val="single" w:sz="8" w:color="B94831"/>
              <w:bottom w:val="single" w:sz="8" w:color="AFAFAF"/>
            </w:tcBorders>
          </w:tcPr>
          <w:p>
            <w:pPr>
              <w:spacing w:after="0"/>
              <w:rPr>
                <w:sz w:val="16"/>
                <w:szCs w:val="16"/>
                <w:color w:val="auto"/>
              </w:rPr>
            </w:pPr>
          </w:p>
        </w:tc>
        <w:tc>
          <w:tcPr>
            <w:tcW w:w="940" w:type="dxa"/>
            <w:vAlign w:val="bottom"/>
            <w:tcBorders>
              <w:top w:val="single" w:sz="8" w:color="B94831"/>
              <w:bottom w:val="single" w:sz="8" w:color="AFAFA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Severance</w:t>
            </w:r>
          </w:p>
        </w:tc>
        <w:tc>
          <w:tcPr>
            <w:tcW w:w="30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FAFAF"/>
              <w:right w:val="single" w:sz="8" w:color="AFAFAF"/>
            </w:tcBorders>
          </w:tcPr>
          <w:p>
            <w:pPr>
              <w:jc w:val="right"/>
              <w:ind w:right="128"/>
              <w:spacing w:after="0"/>
              <w:rPr>
                <w:sz w:val="20"/>
                <w:szCs w:val="20"/>
                <w:color w:val="auto"/>
              </w:rPr>
            </w:pPr>
            <w:r>
              <w:rPr>
                <w:rFonts w:ascii="Arial" w:cs="Arial" w:eastAsia="Arial" w:hAnsi="Arial"/>
                <w:sz w:val="14"/>
                <w:szCs w:val="14"/>
                <w:color w:val="auto"/>
              </w:rPr>
              <w:t>2,219,152</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FAFAF"/>
            </w:tcBorders>
          </w:tcPr>
          <w:p>
            <w:pPr>
              <w:jc w:val="right"/>
              <w:ind w:right="108"/>
              <w:spacing w:after="0"/>
              <w:rPr>
                <w:sz w:val="20"/>
                <w:szCs w:val="20"/>
                <w:color w:val="auto"/>
              </w:rPr>
            </w:pPr>
            <w:r>
              <w:rPr>
                <w:rFonts w:ascii="Arial" w:cs="Arial" w:eastAsia="Arial" w:hAnsi="Arial"/>
                <w:sz w:val="14"/>
                <w:szCs w:val="14"/>
                <w:color w:val="auto"/>
              </w:rPr>
              <w:t>2,219,152</w:t>
            </w:r>
          </w:p>
        </w:tc>
        <w:tc>
          <w:tcPr>
            <w:tcW w:w="0" w:type="dxa"/>
            <w:vAlign w:val="bottom"/>
          </w:tcPr>
          <w:p>
            <w:pPr>
              <w:spacing w:after="0"/>
              <w:rPr>
                <w:sz w:val="1"/>
                <w:szCs w:val="1"/>
                <w:color w:val="auto"/>
              </w:rPr>
            </w:pPr>
          </w:p>
        </w:tc>
      </w:tr>
      <w:tr>
        <w:trPr>
          <w:trHeight w:val="198"/>
        </w:trPr>
        <w:tc>
          <w:tcPr>
            <w:tcW w:w="3700" w:type="dxa"/>
            <w:vAlign w:val="bottom"/>
            <w:tcBorders>
              <w:bottom w:val="single" w:sz="8" w:color="AFAFAF"/>
              <w:right w:val="single" w:sz="8" w:color="AFAFAF"/>
            </w:tcBorders>
          </w:tcPr>
          <w:p>
            <w:pPr>
              <w:ind w:left="100"/>
              <w:spacing w:after="0" w:line="198" w:lineRule="exact"/>
              <w:rPr>
                <w:sz w:val="20"/>
                <w:szCs w:val="20"/>
                <w:color w:val="auto"/>
              </w:rPr>
            </w:pPr>
            <w:r>
              <w:rPr>
                <w:rFonts w:ascii="Arial" w:cs="Arial" w:eastAsia="Arial" w:hAnsi="Arial"/>
                <w:sz w:val="14"/>
                <w:szCs w:val="14"/>
                <w:color w:val="auto"/>
              </w:rPr>
              <w:t>Equity-based compensation</w:t>
            </w:r>
            <w:r>
              <w:rPr>
                <w:rFonts w:ascii="Arial" w:cs="Arial" w:eastAsia="Arial" w:hAnsi="Arial"/>
                <w:sz w:val="21"/>
                <w:szCs w:val="21"/>
                <w:color w:val="auto"/>
                <w:vertAlign w:val="superscript"/>
              </w:rPr>
              <w:t>2</w:t>
            </w:r>
          </w:p>
        </w:tc>
        <w:tc>
          <w:tcPr>
            <w:tcW w:w="300" w:type="dxa"/>
            <w:vAlign w:val="bottom"/>
            <w:tcBorders>
              <w:bottom w:val="single" w:sz="8" w:color="AFAFAF"/>
            </w:tcBorders>
          </w:tcPr>
          <w:p>
            <w:pPr>
              <w:spacing w:after="0"/>
              <w:rPr>
                <w:sz w:val="17"/>
                <w:szCs w:val="17"/>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$1,823,900</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$9,202,500</w:t>
            </w:r>
          </w:p>
        </w:tc>
        <w:tc>
          <w:tcPr>
            <w:tcW w:w="340" w:type="dxa"/>
            <w:vAlign w:val="bottom"/>
            <w:tcBorders>
              <w:bottom w:val="single" w:sz="8" w:color="AFAFAF"/>
            </w:tcBorders>
          </w:tcPr>
          <w:p>
            <w:pPr>
              <w:spacing w:after="0"/>
              <w:rPr>
                <w:sz w:val="17"/>
                <w:szCs w:val="17"/>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Pension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60,000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spacing w:after="0"/>
              <w:rPr>
                <w:sz w:val="16"/>
                <w:szCs w:val="16"/>
                <w:color w:val="auto"/>
              </w:rPr>
            </w:pPr>
          </w:p>
        </w:tc>
        <w:tc>
          <w:tcPr>
            <w:tcW w:w="940" w:type="dxa"/>
            <w:vAlign w:val="bottom"/>
            <w:tcBorders>
              <w:bottom w:val="single" w:sz="8" w:color="B94831"/>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4,103,052</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$9,202,500</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94831"/>
            </w:tcBorders>
          </w:tcPr>
          <w:p>
            <w:pPr>
              <w:jc w:val="right"/>
              <w:ind w:right="108"/>
              <w:spacing w:after="0"/>
              <w:rPr>
                <w:sz w:val="20"/>
                <w:szCs w:val="20"/>
                <w:color w:val="auto"/>
              </w:rPr>
            </w:pPr>
            <w:r>
              <w:rPr>
                <w:rFonts w:ascii="Arial" w:cs="Arial" w:eastAsia="Arial" w:hAnsi="Arial"/>
                <w:sz w:val="14"/>
                <w:szCs w:val="14"/>
                <w:color w:val="auto"/>
              </w:rPr>
              <w:t>2,219,152</w:t>
            </w:r>
          </w:p>
        </w:tc>
        <w:tc>
          <w:tcPr>
            <w:tcW w:w="0" w:type="dxa"/>
            <w:vAlign w:val="bottom"/>
          </w:tcPr>
          <w:p>
            <w:pPr>
              <w:spacing w:after="0"/>
              <w:rPr>
                <w:sz w:val="1"/>
                <w:szCs w:val="1"/>
                <w:color w:val="auto"/>
              </w:rPr>
            </w:pPr>
          </w:p>
        </w:tc>
      </w:tr>
      <w:tr>
        <w:trPr>
          <w:trHeight w:val="197"/>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Mike Eastwood</w:t>
            </w:r>
          </w:p>
        </w:tc>
        <w:tc>
          <w:tcPr>
            <w:tcW w:w="300" w:type="dxa"/>
            <w:vAlign w:val="bottom"/>
            <w:tcBorders>
              <w:bottom w:val="single" w:sz="8" w:color="AFAFAF"/>
            </w:tcBorders>
          </w:tcPr>
          <w:p>
            <w:pPr>
              <w:spacing w:after="0"/>
              <w:rPr>
                <w:sz w:val="17"/>
                <w:szCs w:val="17"/>
                <w:color w:val="auto"/>
              </w:rPr>
            </w:pPr>
          </w:p>
        </w:tc>
        <w:tc>
          <w:tcPr>
            <w:tcW w:w="1120" w:type="dxa"/>
            <w:vAlign w:val="bottom"/>
            <w:tcBorders>
              <w:bottom w:val="single" w:sz="8" w:color="AFAFAF"/>
              <w:right w:val="single" w:sz="8" w:color="AFAFAF"/>
            </w:tcBorders>
          </w:tcPr>
          <w:p>
            <w:pPr>
              <w:spacing w:after="0"/>
              <w:rPr>
                <w:sz w:val="17"/>
                <w:szCs w:val="17"/>
                <w:color w:val="auto"/>
              </w:rPr>
            </w:pPr>
          </w:p>
        </w:tc>
        <w:tc>
          <w:tcPr>
            <w:tcW w:w="1000" w:type="dxa"/>
            <w:vAlign w:val="bottom"/>
            <w:tcBorders>
              <w:bottom w:val="single" w:sz="8" w:color="AFAFAF"/>
              <w:right w:val="single" w:sz="8" w:color="AFAFAF"/>
            </w:tcBorders>
          </w:tcPr>
          <w:p>
            <w:pPr>
              <w:spacing w:after="0"/>
              <w:rPr>
                <w:sz w:val="17"/>
                <w:szCs w:val="17"/>
                <w:color w:val="auto"/>
              </w:rPr>
            </w:pPr>
          </w:p>
        </w:tc>
        <w:tc>
          <w:tcPr>
            <w:tcW w:w="1240" w:type="dxa"/>
            <w:vAlign w:val="bottom"/>
            <w:tcBorders>
              <w:bottom w:val="single" w:sz="8" w:color="AFAFAF"/>
              <w:right w:val="single" w:sz="8" w:color="AFAFAF"/>
            </w:tcBorders>
          </w:tcPr>
          <w:p>
            <w:pPr>
              <w:spacing w:after="0"/>
              <w:rPr>
                <w:sz w:val="17"/>
                <w:szCs w:val="17"/>
                <w:color w:val="auto"/>
              </w:rPr>
            </w:pPr>
          </w:p>
        </w:tc>
        <w:tc>
          <w:tcPr>
            <w:tcW w:w="1320" w:type="dxa"/>
            <w:vAlign w:val="bottom"/>
            <w:tcBorders>
              <w:bottom w:val="single" w:sz="8" w:color="AFAFAF"/>
              <w:right w:val="single" w:sz="8" w:color="AFAFAF"/>
            </w:tcBorders>
          </w:tcPr>
          <w:p>
            <w:pPr>
              <w:spacing w:after="0"/>
              <w:rPr>
                <w:sz w:val="17"/>
                <w:szCs w:val="17"/>
                <w:color w:val="auto"/>
              </w:rPr>
            </w:pPr>
          </w:p>
        </w:tc>
        <w:tc>
          <w:tcPr>
            <w:tcW w:w="340" w:type="dxa"/>
            <w:vAlign w:val="bottom"/>
            <w:tcBorders>
              <w:bottom w:val="single" w:sz="8" w:color="AFAFAF"/>
            </w:tcBorders>
          </w:tcPr>
          <w:p>
            <w:pPr>
              <w:spacing w:after="0"/>
              <w:rPr>
                <w:sz w:val="17"/>
                <w:szCs w:val="17"/>
                <w:color w:val="auto"/>
              </w:rPr>
            </w:pPr>
          </w:p>
        </w:tc>
        <w:tc>
          <w:tcPr>
            <w:tcW w:w="720" w:type="dxa"/>
            <w:vAlign w:val="bottom"/>
            <w:tcBorders>
              <w:bottom w:val="single" w:sz="8" w:color="AFAFAF"/>
              <w:right w:val="single" w:sz="8" w:color="AFAFAF"/>
            </w:tcBorders>
          </w:tcPr>
          <w:p>
            <w:pPr>
              <w:spacing w:after="0"/>
              <w:rPr>
                <w:sz w:val="17"/>
                <w:szCs w:val="17"/>
                <w:color w:val="auto"/>
              </w:rPr>
            </w:pPr>
          </w:p>
        </w:tc>
        <w:tc>
          <w:tcPr>
            <w:tcW w:w="24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Severance</w:t>
            </w:r>
          </w:p>
        </w:tc>
        <w:tc>
          <w:tcPr>
            <w:tcW w:w="30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FAFAF"/>
              <w:right w:val="single" w:sz="8" w:color="AFAFAF"/>
            </w:tcBorders>
          </w:tcPr>
          <w:p>
            <w:pPr>
              <w:jc w:val="right"/>
              <w:ind w:right="128"/>
              <w:spacing w:after="0"/>
              <w:rPr>
                <w:sz w:val="20"/>
                <w:szCs w:val="20"/>
                <w:color w:val="auto"/>
              </w:rPr>
            </w:pPr>
            <w:r>
              <w:rPr>
                <w:rFonts w:ascii="Arial" w:cs="Arial" w:eastAsia="Arial" w:hAnsi="Arial"/>
                <w:sz w:val="14"/>
                <w:szCs w:val="14"/>
                <w:color w:val="auto"/>
              </w:rPr>
              <w:t>1,410,163</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FAFAF"/>
            </w:tcBorders>
          </w:tcPr>
          <w:p>
            <w:pPr>
              <w:jc w:val="right"/>
              <w:ind w:right="108"/>
              <w:spacing w:after="0"/>
              <w:rPr>
                <w:sz w:val="20"/>
                <w:szCs w:val="20"/>
                <w:color w:val="auto"/>
              </w:rPr>
            </w:pPr>
            <w:r>
              <w:rPr>
                <w:rFonts w:ascii="Arial" w:cs="Arial" w:eastAsia="Arial" w:hAnsi="Arial"/>
                <w:sz w:val="14"/>
                <w:szCs w:val="14"/>
                <w:color w:val="auto"/>
              </w:rPr>
              <w:t>1,410,163</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Equity-based compensation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Pension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60,000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spacing w:after="0"/>
              <w:rPr>
                <w:sz w:val="16"/>
                <w:szCs w:val="16"/>
                <w:color w:val="auto"/>
              </w:rPr>
            </w:pPr>
          </w:p>
        </w:tc>
        <w:tc>
          <w:tcPr>
            <w:tcW w:w="940" w:type="dxa"/>
            <w:vAlign w:val="bottom"/>
            <w:tcBorders>
              <w:bottom w:val="single" w:sz="8" w:color="B94831"/>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1,470,163</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94831"/>
            </w:tcBorders>
          </w:tcPr>
          <w:p>
            <w:pPr>
              <w:jc w:val="right"/>
              <w:ind w:right="108"/>
              <w:spacing w:after="0"/>
              <w:rPr>
                <w:sz w:val="20"/>
                <w:szCs w:val="20"/>
                <w:color w:val="auto"/>
              </w:rPr>
            </w:pPr>
            <w:r>
              <w:rPr>
                <w:rFonts w:ascii="Arial" w:cs="Arial" w:eastAsia="Arial" w:hAnsi="Arial"/>
                <w:sz w:val="14"/>
                <w:szCs w:val="14"/>
                <w:color w:val="auto"/>
              </w:rPr>
              <w:t>1,410,163</w:t>
            </w:r>
          </w:p>
        </w:tc>
        <w:tc>
          <w:tcPr>
            <w:tcW w:w="0" w:type="dxa"/>
            <w:vAlign w:val="bottom"/>
          </w:tcPr>
          <w:p>
            <w:pPr>
              <w:spacing w:after="0"/>
              <w:rPr>
                <w:sz w:val="1"/>
                <w:szCs w:val="1"/>
                <w:color w:val="auto"/>
              </w:rPr>
            </w:pPr>
          </w:p>
        </w:tc>
      </w:tr>
      <w:tr>
        <w:trPr>
          <w:trHeight w:val="197"/>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Laura Clayton McDonnell</w:t>
            </w:r>
          </w:p>
        </w:tc>
        <w:tc>
          <w:tcPr>
            <w:tcW w:w="300" w:type="dxa"/>
            <w:vAlign w:val="bottom"/>
            <w:tcBorders>
              <w:bottom w:val="single" w:sz="8" w:color="AFAFAF"/>
            </w:tcBorders>
          </w:tcPr>
          <w:p>
            <w:pPr>
              <w:spacing w:after="0"/>
              <w:rPr>
                <w:sz w:val="17"/>
                <w:szCs w:val="17"/>
                <w:color w:val="auto"/>
              </w:rPr>
            </w:pPr>
          </w:p>
        </w:tc>
        <w:tc>
          <w:tcPr>
            <w:tcW w:w="1120" w:type="dxa"/>
            <w:vAlign w:val="bottom"/>
            <w:tcBorders>
              <w:bottom w:val="single" w:sz="8" w:color="AFAFAF"/>
              <w:right w:val="single" w:sz="8" w:color="AFAFAF"/>
            </w:tcBorders>
          </w:tcPr>
          <w:p>
            <w:pPr>
              <w:spacing w:after="0"/>
              <w:rPr>
                <w:sz w:val="17"/>
                <w:szCs w:val="17"/>
                <w:color w:val="auto"/>
              </w:rPr>
            </w:pPr>
          </w:p>
        </w:tc>
        <w:tc>
          <w:tcPr>
            <w:tcW w:w="1000" w:type="dxa"/>
            <w:vAlign w:val="bottom"/>
            <w:tcBorders>
              <w:bottom w:val="single" w:sz="8" w:color="AFAFAF"/>
              <w:right w:val="single" w:sz="8" w:color="AFAFAF"/>
            </w:tcBorders>
          </w:tcPr>
          <w:p>
            <w:pPr>
              <w:spacing w:after="0"/>
              <w:rPr>
                <w:sz w:val="17"/>
                <w:szCs w:val="17"/>
                <w:color w:val="auto"/>
              </w:rPr>
            </w:pPr>
          </w:p>
        </w:tc>
        <w:tc>
          <w:tcPr>
            <w:tcW w:w="1240" w:type="dxa"/>
            <w:vAlign w:val="bottom"/>
            <w:tcBorders>
              <w:bottom w:val="single" w:sz="8" w:color="AFAFAF"/>
              <w:right w:val="single" w:sz="8" w:color="AFAFAF"/>
            </w:tcBorders>
          </w:tcPr>
          <w:p>
            <w:pPr>
              <w:spacing w:after="0"/>
              <w:rPr>
                <w:sz w:val="17"/>
                <w:szCs w:val="17"/>
                <w:color w:val="auto"/>
              </w:rPr>
            </w:pPr>
          </w:p>
        </w:tc>
        <w:tc>
          <w:tcPr>
            <w:tcW w:w="1320" w:type="dxa"/>
            <w:vAlign w:val="bottom"/>
            <w:tcBorders>
              <w:bottom w:val="single" w:sz="8" w:color="AFAFAF"/>
              <w:right w:val="single" w:sz="8" w:color="AFAFAF"/>
            </w:tcBorders>
          </w:tcPr>
          <w:p>
            <w:pPr>
              <w:spacing w:after="0"/>
              <w:rPr>
                <w:sz w:val="17"/>
                <w:szCs w:val="17"/>
                <w:color w:val="auto"/>
              </w:rPr>
            </w:pPr>
          </w:p>
        </w:tc>
        <w:tc>
          <w:tcPr>
            <w:tcW w:w="340" w:type="dxa"/>
            <w:vAlign w:val="bottom"/>
            <w:tcBorders>
              <w:bottom w:val="single" w:sz="8" w:color="AFAFAF"/>
            </w:tcBorders>
          </w:tcPr>
          <w:p>
            <w:pPr>
              <w:spacing w:after="0"/>
              <w:rPr>
                <w:sz w:val="17"/>
                <w:szCs w:val="17"/>
                <w:color w:val="auto"/>
              </w:rPr>
            </w:pPr>
          </w:p>
        </w:tc>
        <w:tc>
          <w:tcPr>
            <w:tcW w:w="720" w:type="dxa"/>
            <w:vAlign w:val="bottom"/>
            <w:tcBorders>
              <w:bottom w:val="single" w:sz="8" w:color="AFAFAF"/>
              <w:right w:val="single" w:sz="8" w:color="AFAFAF"/>
            </w:tcBorders>
          </w:tcPr>
          <w:p>
            <w:pPr>
              <w:spacing w:after="0"/>
              <w:rPr>
                <w:sz w:val="17"/>
                <w:szCs w:val="17"/>
                <w:color w:val="auto"/>
              </w:rPr>
            </w:pPr>
          </w:p>
        </w:tc>
        <w:tc>
          <w:tcPr>
            <w:tcW w:w="24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Severance</w:t>
            </w:r>
          </w:p>
        </w:tc>
        <w:tc>
          <w:tcPr>
            <w:tcW w:w="30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FAFAF"/>
              <w:right w:val="single" w:sz="8" w:color="AFAFAF"/>
            </w:tcBorders>
          </w:tcPr>
          <w:p>
            <w:pPr>
              <w:jc w:val="right"/>
              <w:ind w:right="128"/>
              <w:spacing w:after="0"/>
              <w:rPr>
                <w:sz w:val="20"/>
                <w:szCs w:val="20"/>
                <w:color w:val="auto"/>
              </w:rPr>
            </w:pPr>
            <w:r>
              <w:rPr>
                <w:rFonts w:ascii="Arial" w:cs="Arial" w:eastAsia="Arial" w:hAnsi="Arial"/>
                <w:sz w:val="14"/>
                <w:szCs w:val="14"/>
                <w:color w:val="auto"/>
              </w:rPr>
              <w:t>1,060,000</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FAFAF"/>
            </w:tcBorders>
          </w:tcPr>
          <w:p>
            <w:pPr>
              <w:jc w:val="right"/>
              <w:ind w:right="108"/>
              <w:spacing w:after="0"/>
              <w:rPr>
                <w:sz w:val="20"/>
                <w:szCs w:val="20"/>
                <w:color w:val="auto"/>
              </w:rPr>
            </w:pPr>
            <w:r>
              <w:rPr>
                <w:rFonts w:ascii="Arial" w:cs="Arial" w:eastAsia="Arial" w:hAnsi="Arial"/>
                <w:sz w:val="14"/>
                <w:szCs w:val="14"/>
                <w:color w:val="auto"/>
              </w:rPr>
              <w:t>1,060,000</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Equity-based compensation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Pension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60,000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spacing w:after="0"/>
              <w:rPr>
                <w:sz w:val="16"/>
                <w:szCs w:val="16"/>
                <w:color w:val="auto"/>
              </w:rPr>
            </w:pPr>
          </w:p>
        </w:tc>
        <w:tc>
          <w:tcPr>
            <w:tcW w:w="940" w:type="dxa"/>
            <w:vAlign w:val="bottom"/>
            <w:tcBorders>
              <w:bottom w:val="single" w:sz="8" w:color="B94831"/>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1,120,000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94831"/>
            </w:tcBorders>
          </w:tcPr>
          <w:p>
            <w:pPr>
              <w:jc w:val="right"/>
              <w:ind w:right="108"/>
              <w:spacing w:after="0"/>
              <w:rPr>
                <w:sz w:val="20"/>
                <w:szCs w:val="20"/>
                <w:color w:val="auto"/>
              </w:rPr>
            </w:pPr>
            <w:r>
              <w:rPr>
                <w:rFonts w:ascii="Arial" w:cs="Arial" w:eastAsia="Arial" w:hAnsi="Arial"/>
                <w:sz w:val="14"/>
                <w:szCs w:val="14"/>
                <w:color w:val="auto"/>
              </w:rPr>
              <w:t>1,060,000</w:t>
            </w:r>
          </w:p>
        </w:tc>
        <w:tc>
          <w:tcPr>
            <w:tcW w:w="0" w:type="dxa"/>
            <w:vAlign w:val="bottom"/>
          </w:tcPr>
          <w:p>
            <w:pPr>
              <w:spacing w:after="0"/>
              <w:rPr>
                <w:sz w:val="1"/>
                <w:szCs w:val="1"/>
                <w:color w:val="auto"/>
              </w:rPr>
            </w:pPr>
          </w:p>
        </w:tc>
      </w:tr>
      <w:tr>
        <w:trPr>
          <w:trHeight w:val="197"/>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Kirsty Roth</w:t>
            </w:r>
          </w:p>
        </w:tc>
        <w:tc>
          <w:tcPr>
            <w:tcW w:w="300" w:type="dxa"/>
            <w:vAlign w:val="bottom"/>
            <w:tcBorders>
              <w:bottom w:val="single" w:sz="8" w:color="AFAFAF"/>
            </w:tcBorders>
          </w:tcPr>
          <w:p>
            <w:pPr>
              <w:spacing w:after="0"/>
              <w:rPr>
                <w:sz w:val="17"/>
                <w:szCs w:val="17"/>
                <w:color w:val="auto"/>
              </w:rPr>
            </w:pPr>
          </w:p>
        </w:tc>
        <w:tc>
          <w:tcPr>
            <w:tcW w:w="1120" w:type="dxa"/>
            <w:vAlign w:val="bottom"/>
            <w:tcBorders>
              <w:bottom w:val="single" w:sz="8" w:color="AFAFAF"/>
              <w:right w:val="single" w:sz="8" w:color="AFAFAF"/>
            </w:tcBorders>
          </w:tcPr>
          <w:p>
            <w:pPr>
              <w:spacing w:after="0"/>
              <w:rPr>
                <w:sz w:val="17"/>
                <w:szCs w:val="17"/>
                <w:color w:val="auto"/>
              </w:rPr>
            </w:pPr>
          </w:p>
        </w:tc>
        <w:tc>
          <w:tcPr>
            <w:tcW w:w="1000" w:type="dxa"/>
            <w:vAlign w:val="bottom"/>
            <w:tcBorders>
              <w:bottom w:val="single" w:sz="8" w:color="AFAFAF"/>
              <w:right w:val="single" w:sz="8" w:color="AFAFAF"/>
            </w:tcBorders>
          </w:tcPr>
          <w:p>
            <w:pPr>
              <w:spacing w:after="0"/>
              <w:rPr>
                <w:sz w:val="17"/>
                <w:szCs w:val="17"/>
                <w:color w:val="auto"/>
              </w:rPr>
            </w:pPr>
          </w:p>
        </w:tc>
        <w:tc>
          <w:tcPr>
            <w:tcW w:w="1240" w:type="dxa"/>
            <w:vAlign w:val="bottom"/>
            <w:tcBorders>
              <w:bottom w:val="single" w:sz="8" w:color="AFAFAF"/>
              <w:right w:val="single" w:sz="8" w:color="AFAFAF"/>
            </w:tcBorders>
          </w:tcPr>
          <w:p>
            <w:pPr>
              <w:spacing w:after="0"/>
              <w:rPr>
                <w:sz w:val="17"/>
                <w:szCs w:val="17"/>
                <w:color w:val="auto"/>
              </w:rPr>
            </w:pPr>
          </w:p>
        </w:tc>
        <w:tc>
          <w:tcPr>
            <w:tcW w:w="1320" w:type="dxa"/>
            <w:vAlign w:val="bottom"/>
            <w:tcBorders>
              <w:bottom w:val="single" w:sz="8" w:color="AFAFAF"/>
              <w:right w:val="single" w:sz="8" w:color="AFAFAF"/>
            </w:tcBorders>
          </w:tcPr>
          <w:p>
            <w:pPr>
              <w:spacing w:after="0"/>
              <w:rPr>
                <w:sz w:val="17"/>
                <w:szCs w:val="17"/>
                <w:color w:val="auto"/>
              </w:rPr>
            </w:pPr>
          </w:p>
        </w:tc>
        <w:tc>
          <w:tcPr>
            <w:tcW w:w="340" w:type="dxa"/>
            <w:vAlign w:val="bottom"/>
            <w:tcBorders>
              <w:bottom w:val="single" w:sz="8" w:color="AFAFAF"/>
            </w:tcBorders>
          </w:tcPr>
          <w:p>
            <w:pPr>
              <w:spacing w:after="0"/>
              <w:rPr>
                <w:sz w:val="17"/>
                <w:szCs w:val="17"/>
                <w:color w:val="auto"/>
              </w:rPr>
            </w:pPr>
          </w:p>
        </w:tc>
        <w:tc>
          <w:tcPr>
            <w:tcW w:w="720" w:type="dxa"/>
            <w:vAlign w:val="bottom"/>
            <w:tcBorders>
              <w:bottom w:val="single" w:sz="8" w:color="AFAFAF"/>
              <w:right w:val="single" w:sz="8" w:color="AFAFAF"/>
            </w:tcBorders>
          </w:tcPr>
          <w:p>
            <w:pPr>
              <w:spacing w:after="0"/>
              <w:rPr>
                <w:sz w:val="17"/>
                <w:szCs w:val="17"/>
                <w:color w:val="auto"/>
              </w:rPr>
            </w:pPr>
          </w:p>
        </w:tc>
        <w:tc>
          <w:tcPr>
            <w:tcW w:w="24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Severance</w:t>
            </w:r>
          </w:p>
        </w:tc>
        <w:tc>
          <w:tcPr>
            <w:tcW w:w="300" w:type="dxa"/>
            <w:vAlign w:val="bottom"/>
            <w:tcBorders>
              <w:bottom w:val="single" w:sz="8" w:color="AFAFAF"/>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FAFAF"/>
              <w:right w:val="single" w:sz="8" w:color="AFAFAF"/>
            </w:tcBorders>
          </w:tcPr>
          <w:p>
            <w:pPr>
              <w:jc w:val="right"/>
              <w:ind w:right="128"/>
              <w:spacing w:after="0"/>
              <w:rPr>
                <w:sz w:val="20"/>
                <w:szCs w:val="20"/>
                <w:color w:val="auto"/>
              </w:rPr>
            </w:pPr>
            <w:r>
              <w:rPr>
                <w:rFonts w:ascii="Arial" w:cs="Arial" w:eastAsia="Arial" w:hAnsi="Arial"/>
                <w:sz w:val="14"/>
                <w:szCs w:val="14"/>
                <w:color w:val="auto"/>
              </w:rPr>
              <w:t>1,529,964</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FAFAF"/>
            </w:tcBorders>
          </w:tcPr>
          <w:p>
            <w:pPr>
              <w:jc w:val="right"/>
              <w:ind w:right="108"/>
              <w:spacing w:after="0"/>
              <w:rPr>
                <w:sz w:val="20"/>
                <w:szCs w:val="20"/>
                <w:color w:val="auto"/>
              </w:rPr>
            </w:pPr>
            <w:r>
              <w:rPr>
                <w:rFonts w:ascii="Arial" w:cs="Arial" w:eastAsia="Arial" w:hAnsi="Arial"/>
                <w:sz w:val="14"/>
                <w:szCs w:val="14"/>
                <w:color w:val="auto"/>
              </w:rPr>
              <w:t>1,529,964</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Equity-based compensation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Pension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60,000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spacing w:after="0"/>
              <w:rPr>
                <w:sz w:val="16"/>
                <w:szCs w:val="16"/>
                <w:color w:val="auto"/>
              </w:rPr>
            </w:pPr>
          </w:p>
        </w:tc>
        <w:tc>
          <w:tcPr>
            <w:tcW w:w="940" w:type="dxa"/>
            <w:vAlign w:val="bottom"/>
            <w:tcBorders>
              <w:bottom w:val="single" w:sz="8" w:color="B94831"/>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1,589,964</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94831"/>
            </w:tcBorders>
          </w:tcPr>
          <w:p>
            <w:pPr>
              <w:jc w:val="right"/>
              <w:ind w:right="108"/>
              <w:spacing w:after="0"/>
              <w:rPr>
                <w:sz w:val="20"/>
                <w:szCs w:val="20"/>
                <w:color w:val="auto"/>
              </w:rPr>
            </w:pPr>
            <w:r>
              <w:rPr>
                <w:rFonts w:ascii="Arial" w:cs="Arial" w:eastAsia="Arial" w:hAnsi="Arial"/>
                <w:sz w:val="14"/>
                <w:szCs w:val="14"/>
                <w:color w:val="auto"/>
              </w:rPr>
              <w:t>1,529,964</w:t>
            </w:r>
          </w:p>
        </w:tc>
        <w:tc>
          <w:tcPr>
            <w:tcW w:w="0" w:type="dxa"/>
            <w:vAlign w:val="bottom"/>
          </w:tcPr>
          <w:p>
            <w:pPr>
              <w:spacing w:after="0"/>
              <w:rPr>
                <w:sz w:val="1"/>
                <w:szCs w:val="1"/>
                <w:color w:val="auto"/>
              </w:rPr>
            </w:pPr>
          </w:p>
        </w:tc>
      </w:tr>
      <w:tr>
        <w:trPr>
          <w:trHeight w:val="197"/>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b w:val="1"/>
                <w:bCs w:val="1"/>
                <w:color w:val="auto"/>
              </w:rPr>
              <w:t>Paul Bascobert</w:t>
            </w:r>
          </w:p>
        </w:tc>
        <w:tc>
          <w:tcPr>
            <w:tcW w:w="300" w:type="dxa"/>
            <w:vAlign w:val="bottom"/>
            <w:tcBorders>
              <w:bottom w:val="single" w:sz="8" w:color="AFAFAF"/>
            </w:tcBorders>
          </w:tcPr>
          <w:p>
            <w:pPr>
              <w:spacing w:after="0"/>
              <w:rPr>
                <w:sz w:val="17"/>
                <w:szCs w:val="17"/>
                <w:color w:val="auto"/>
              </w:rPr>
            </w:pPr>
          </w:p>
        </w:tc>
        <w:tc>
          <w:tcPr>
            <w:tcW w:w="1120" w:type="dxa"/>
            <w:vAlign w:val="bottom"/>
            <w:tcBorders>
              <w:bottom w:val="single" w:sz="8" w:color="AFAFAF"/>
              <w:right w:val="single" w:sz="8" w:color="AFAFAF"/>
            </w:tcBorders>
          </w:tcPr>
          <w:p>
            <w:pPr>
              <w:spacing w:after="0"/>
              <w:rPr>
                <w:sz w:val="17"/>
                <w:szCs w:val="17"/>
                <w:color w:val="auto"/>
              </w:rPr>
            </w:pPr>
          </w:p>
        </w:tc>
        <w:tc>
          <w:tcPr>
            <w:tcW w:w="1000" w:type="dxa"/>
            <w:vAlign w:val="bottom"/>
            <w:tcBorders>
              <w:bottom w:val="single" w:sz="8" w:color="AFAFAF"/>
              <w:right w:val="single" w:sz="8" w:color="AFAFAF"/>
            </w:tcBorders>
          </w:tcPr>
          <w:p>
            <w:pPr>
              <w:spacing w:after="0"/>
              <w:rPr>
                <w:sz w:val="17"/>
                <w:szCs w:val="17"/>
                <w:color w:val="auto"/>
              </w:rPr>
            </w:pPr>
          </w:p>
        </w:tc>
        <w:tc>
          <w:tcPr>
            <w:tcW w:w="1240" w:type="dxa"/>
            <w:vAlign w:val="bottom"/>
            <w:tcBorders>
              <w:bottom w:val="single" w:sz="8" w:color="AFAFAF"/>
              <w:right w:val="single" w:sz="8" w:color="AFAFAF"/>
            </w:tcBorders>
          </w:tcPr>
          <w:p>
            <w:pPr>
              <w:spacing w:after="0"/>
              <w:rPr>
                <w:sz w:val="17"/>
                <w:szCs w:val="17"/>
                <w:color w:val="auto"/>
              </w:rPr>
            </w:pPr>
          </w:p>
        </w:tc>
        <w:tc>
          <w:tcPr>
            <w:tcW w:w="1320" w:type="dxa"/>
            <w:vAlign w:val="bottom"/>
            <w:tcBorders>
              <w:bottom w:val="single" w:sz="8" w:color="AFAFAF"/>
              <w:right w:val="single" w:sz="8" w:color="AFAFAF"/>
            </w:tcBorders>
          </w:tcPr>
          <w:p>
            <w:pPr>
              <w:spacing w:after="0"/>
              <w:rPr>
                <w:sz w:val="17"/>
                <w:szCs w:val="17"/>
                <w:color w:val="auto"/>
              </w:rPr>
            </w:pPr>
          </w:p>
        </w:tc>
        <w:tc>
          <w:tcPr>
            <w:tcW w:w="340" w:type="dxa"/>
            <w:vAlign w:val="bottom"/>
            <w:tcBorders>
              <w:bottom w:val="single" w:sz="8" w:color="AFAFAF"/>
            </w:tcBorders>
          </w:tcPr>
          <w:p>
            <w:pPr>
              <w:spacing w:after="0"/>
              <w:rPr>
                <w:sz w:val="17"/>
                <w:szCs w:val="17"/>
                <w:color w:val="auto"/>
              </w:rPr>
            </w:pPr>
          </w:p>
        </w:tc>
        <w:tc>
          <w:tcPr>
            <w:tcW w:w="720" w:type="dxa"/>
            <w:vAlign w:val="bottom"/>
            <w:tcBorders>
              <w:bottom w:val="single" w:sz="8" w:color="AFAFAF"/>
              <w:right w:val="single" w:sz="8" w:color="AFAFAF"/>
            </w:tcBorders>
          </w:tcPr>
          <w:p>
            <w:pPr>
              <w:spacing w:after="0"/>
              <w:rPr>
                <w:sz w:val="17"/>
                <w:szCs w:val="17"/>
                <w:color w:val="auto"/>
              </w:rPr>
            </w:pPr>
          </w:p>
        </w:tc>
        <w:tc>
          <w:tcPr>
            <w:tcW w:w="240" w:type="dxa"/>
            <w:vAlign w:val="bottom"/>
            <w:tcBorders>
              <w:bottom w:val="single" w:sz="8" w:color="AFAFAF"/>
            </w:tcBorders>
          </w:tcPr>
          <w:p>
            <w:pPr>
              <w:spacing w:after="0"/>
              <w:rPr>
                <w:sz w:val="17"/>
                <w:szCs w:val="17"/>
                <w:color w:val="auto"/>
              </w:rPr>
            </w:pPr>
          </w:p>
        </w:tc>
        <w:tc>
          <w:tcPr>
            <w:tcW w:w="940" w:type="dxa"/>
            <w:vAlign w:val="bottom"/>
            <w:tcBorders>
              <w:bottom w:val="single" w:sz="8" w:color="AFAFA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Severance</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$1,500,000</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Equity-based compensation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AFAFAF"/>
              <w:right w:val="single" w:sz="8" w:color="AFAFAF"/>
            </w:tcBorders>
          </w:tcPr>
          <w:p>
            <w:pPr>
              <w:ind w:left="100"/>
              <w:spacing w:after="0"/>
              <w:rPr>
                <w:sz w:val="20"/>
                <w:szCs w:val="20"/>
                <w:color w:val="auto"/>
              </w:rPr>
            </w:pPr>
            <w:r>
              <w:rPr>
                <w:rFonts w:ascii="Arial" w:cs="Arial" w:eastAsia="Arial" w:hAnsi="Arial"/>
                <w:sz w:val="14"/>
                <w:szCs w:val="14"/>
                <w:color w:val="auto"/>
              </w:rPr>
              <w:t>Pension</w:t>
            </w:r>
          </w:p>
        </w:tc>
        <w:tc>
          <w:tcPr>
            <w:tcW w:w="300" w:type="dxa"/>
            <w:vAlign w:val="bottom"/>
            <w:tcBorders>
              <w:bottom w:val="single" w:sz="8" w:color="AFAFAF"/>
            </w:tcBorders>
          </w:tcPr>
          <w:p>
            <w:pPr>
              <w:spacing w:after="0"/>
              <w:rPr>
                <w:sz w:val="16"/>
                <w:szCs w:val="16"/>
                <w:color w:val="auto"/>
              </w:rPr>
            </w:pPr>
          </w:p>
        </w:tc>
        <w:tc>
          <w:tcPr>
            <w:tcW w:w="1120" w:type="dxa"/>
            <w:vAlign w:val="bottom"/>
            <w:tcBorders>
              <w:bottom w:val="single" w:sz="8" w:color="AFAFAF"/>
              <w:right w:val="single" w:sz="8" w:color="AFAFAF"/>
            </w:tcBorders>
          </w:tcPr>
          <w:p>
            <w:pPr>
              <w:jc w:val="center"/>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FAFAF"/>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FAFAF"/>
            </w:tcBorders>
          </w:tcPr>
          <w:p>
            <w:pPr>
              <w:spacing w:after="0"/>
              <w:rPr>
                <w:sz w:val="16"/>
                <w:szCs w:val="16"/>
                <w:color w:val="auto"/>
              </w:rPr>
            </w:pPr>
          </w:p>
        </w:tc>
        <w:tc>
          <w:tcPr>
            <w:tcW w:w="720" w:type="dxa"/>
            <w:vAlign w:val="bottom"/>
            <w:tcBorders>
              <w:bottom w:val="single" w:sz="8" w:color="AFAFAF"/>
              <w:right w:val="single" w:sz="8" w:color="AFAFAF"/>
            </w:tcBorders>
          </w:tcPr>
          <w:p>
            <w:pPr>
              <w:jc w:val="center"/>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FAFAF"/>
            </w:tcBorders>
          </w:tcPr>
          <w:p>
            <w:pPr>
              <w:spacing w:after="0"/>
              <w:rPr>
                <w:sz w:val="16"/>
                <w:szCs w:val="16"/>
                <w:color w:val="auto"/>
              </w:rPr>
            </w:pPr>
          </w:p>
        </w:tc>
        <w:tc>
          <w:tcPr>
            <w:tcW w:w="940" w:type="dxa"/>
            <w:vAlign w:val="bottom"/>
            <w:tcBorders>
              <w:bottom w:val="single" w:sz="8" w:color="AFAFAF"/>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60,000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spacing w:after="0"/>
              <w:rPr>
                <w:sz w:val="16"/>
                <w:szCs w:val="16"/>
                <w:color w:val="auto"/>
              </w:rPr>
            </w:pPr>
          </w:p>
        </w:tc>
        <w:tc>
          <w:tcPr>
            <w:tcW w:w="940" w:type="dxa"/>
            <w:vAlign w:val="bottom"/>
            <w:tcBorders>
              <w:bottom w:val="single" w:sz="8" w:color="B94831"/>
            </w:tcBorders>
          </w:tcPr>
          <w:p>
            <w:pPr>
              <w:jc w:val="center"/>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700" w:type="dxa"/>
            <w:vAlign w:val="bottom"/>
            <w:tcBorders>
              <w:bottom w:val="single" w:sz="8" w:color="B94831"/>
              <w:right w:val="single" w:sz="8" w:color="AFAFAF"/>
            </w:tcBorders>
          </w:tcPr>
          <w:p>
            <w:pPr>
              <w:ind w:left="10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B94831"/>
            </w:tcBorders>
          </w:tcPr>
          <w:p>
            <w:pPr>
              <w:ind w:lef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94831"/>
              <w:right w:val="single" w:sz="8" w:color="AFAFAF"/>
            </w:tcBorders>
          </w:tcPr>
          <w:p>
            <w:pPr>
              <w:jc w:val="right"/>
              <w:ind w:right="128"/>
              <w:spacing w:after="0"/>
              <w:rPr>
                <w:sz w:val="20"/>
                <w:szCs w:val="20"/>
                <w:color w:val="auto"/>
              </w:rPr>
            </w:pPr>
            <w:r>
              <w:rPr>
                <w:rFonts w:ascii="Arial" w:cs="Arial" w:eastAsia="Arial" w:hAnsi="Arial"/>
                <w:sz w:val="14"/>
                <w:szCs w:val="14"/>
                <w:color w:val="auto"/>
              </w:rPr>
              <w:t>1,560,000</w:t>
            </w:r>
          </w:p>
        </w:tc>
        <w:tc>
          <w:tcPr>
            <w:tcW w:w="100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B94831"/>
              <w:right w:val="single" w:sz="8" w:color="AFAFAF"/>
            </w:tcBorders>
          </w:tcPr>
          <w:p>
            <w:pPr>
              <w:jc w:val="center"/>
              <w:ind w:left="88"/>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94831"/>
              <w:right w:val="single" w:sz="8" w:color="AFAFAF"/>
            </w:tcBorders>
          </w:tcPr>
          <w:p>
            <w:pPr>
              <w:jc w:val="right"/>
              <w:ind w:right="149"/>
              <w:spacing w:after="0"/>
              <w:rPr>
                <w:sz w:val="20"/>
                <w:szCs w:val="20"/>
                <w:color w:val="auto"/>
              </w:rPr>
            </w:pPr>
            <w:r>
              <w:rPr>
                <w:rFonts w:ascii="Arial" w:cs="Arial" w:eastAsia="Arial" w:hAnsi="Arial"/>
                <w:sz w:val="14"/>
                <w:szCs w:val="14"/>
                <w:color w:val="auto"/>
              </w:rPr>
              <w:t>30,000</w:t>
            </w:r>
          </w:p>
        </w:tc>
        <w:tc>
          <w:tcPr>
            <w:tcW w:w="240" w:type="dxa"/>
            <w:vAlign w:val="bottom"/>
            <w:tcBorders>
              <w:bottom w:val="single" w:sz="8" w:color="B94831"/>
            </w:tcBorders>
          </w:tcPr>
          <w:p>
            <w:pPr>
              <w:ind w:left="16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94831"/>
            </w:tcBorders>
          </w:tcPr>
          <w:p>
            <w:pPr>
              <w:jc w:val="right"/>
              <w:ind w:right="108"/>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right="400" w:hanging="179"/>
        <w:spacing w:after="0" w:line="245" w:lineRule="auto"/>
        <w:tabs>
          <w:tab w:leader="none" w:pos="460" w:val="left"/>
        </w:tabs>
        <w:rPr>
          <w:sz w:val="20"/>
          <w:szCs w:val="20"/>
          <w:color w:val="auto"/>
        </w:rPr>
      </w:pPr>
      <w:r>
        <w:rPr>
          <w:rFonts w:ascii="Arial" w:cs="Arial" w:eastAsia="Arial" w:hAnsi="Arial"/>
          <w:sz w:val="13"/>
          <w:szCs w:val="13"/>
          <w:color w:val="auto"/>
        </w:rPr>
        <w:t>1</w:t>
        <w:tab/>
        <w:t>Payable upon a “double trigger” (involuntary termination not for poor performance or without Cause within two years following a Change of Control). Amounts reflected for all named executive officers relate to a Change of Control of Thomson Reuters.</w:t>
      </w:r>
    </w:p>
    <w:p>
      <w:pPr>
        <w:spacing w:after="0" w:line="1" w:lineRule="exact"/>
        <w:rPr>
          <w:sz w:val="20"/>
          <w:szCs w:val="20"/>
          <w:color w:val="auto"/>
        </w:rPr>
      </w:pPr>
    </w:p>
    <w:p>
      <w:pPr>
        <w:ind w:left="480" w:right="40" w:hanging="173"/>
        <w:spacing w:after="0" w:line="247" w:lineRule="auto"/>
        <w:tabs>
          <w:tab w:leader="none" w:pos="4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Reflects the value of incremental compensation that would be available to Steve Hasker as a result of the equity awards that would vest in accordance with the agreement described in the “Agreement with Steve Hasker” section of this circular in the event of his involuntary termination without cause or his resignation for good reason within 48 months of his start date with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336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98 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right="3780"/>
        <w:spacing w:after="0" w:line="275" w:lineRule="auto"/>
        <w:rPr>
          <w:sz w:val="20"/>
          <w:szCs w:val="20"/>
          <w:color w:val="auto"/>
        </w:rPr>
      </w:pPr>
      <w:r>
        <w:rPr>
          <w:rFonts w:ascii="Arial" w:cs="Arial" w:eastAsia="Arial" w:hAnsi="Arial"/>
          <w:sz w:val="46"/>
          <w:szCs w:val="46"/>
          <w:color w:val="B94831"/>
        </w:rPr>
        <w:t>Indebtedness of Officers, Directors and Employees</w:t>
      </w:r>
    </w:p>
    <w:p>
      <w:pPr>
        <w:spacing w:after="0" w:line="29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As of April 12, 2024, none of our current or former executive officers or directors were indebted to our company or any of our subsidiaries. As of April 12, 2024, there was no indebtedness (other than “routine indebtedness” under applicable Canadian securities laws) of the current and former officers, directors and employees of our company and our subsidiaries owing to Thomson Reuters or any of our subsidiaries.</w:t>
      </w:r>
    </w:p>
    <w:p>
      <w:pPr>
        <w:spacing w:after="0" w:line="360" w:lineRule="exact"/>
        <w:rPr>
          <w:sz w:val="20"/>
          <w:szCs w:val="20"/>
          <w:color w:val="auto"/>
        </w:rPr>
      </w:pPr>
    </w:p>
    <w:p>
      <w:pPr>
        <w:ind w:left="160" w:right="2980"/>
        <w:spacing w:after="0" w:line="275" w:lineRule="auto"/>
        <w:rPr>
          <w:sz w:val="20"/>
          <w:szCs w:val="20"/>
          <w:color w:val="auto"/>
        </w:rPr>
      </w:pPr>
      <w:r>
        <w:rPr>
          <w:rFonts w:ascii="Arial" w:cs="Arial" w:eastAsia="Arial" w:hAnsi="Arial"/>
          <w:sz w:val="46"/>
          <w:szCs w:val="46"/>
          <w:color w:val="B94831"/>
        </w:rPr>
        <w:t>Directors’ and Officers’ Indemnification and Insurance</w:t>
      </w:r>
    </w:p>
    <w:p>
      <w:pPr>
        <w:spacing w:after="0" w:line="3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provide indemnification to our directors to the extent permitted by applicable laws and regulations.</w:t>
      </w:r>
    </w:p>
    <w:p>
      <w:pPr>
        <w:spacing w:after="0" w:line="101"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Business Corporations Act (Ontario)</w:t>
      </w:r>
      <w:r>
        <w:rPr>
          <w:rFonts w:ascii="Arial" w:cs="Arial" w:eastAsia="Arial" w:hAnsi="Arial"/>
          <w:sz w:val="18"/>
          <w:szCs w:val="18"/>
          <w:color w:val="auto"/>
        </w:rPr>
        <w:t xml:space="preserve"> (OBCA), our company may indemnify a present or former director or officer or another individual who acts or acted at our company’s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to which the individual is involved because of that association with our company or other entity, if the individual acted honestly and in good faith with a view to the best interests of our company or, as the case may be, to the best interests of the other entity for which the individual acted as a director or officer or in a similar capacity at our company’s request, and, in the case of a criminal or administrative action or proceeding that is enforced by a monetary penalty, such individual had reasonable grounds for believing that his or her conduct was lawful.</w:t>
      </w:r>
    </w:p>
    <w:p>
      <w:pPr>
        <w:spacing w:after="0" w:line="77" w:lineRule="exact"/>
        <w:rPr>
          <w:sz w:val="20"/>
          <w:szCs w:val="20"/>
          <w:color w:val="auto"/>
        </w:rPr>
      </w:pPr>
    </w:p>
    <w:p>
      <w:pPr>
        <w:ind w:left="160" w:right="820"/>
        <w:spacing w:after="0" w:line="265" w:lineRule="auto"/>
        <w:rPr>
          <w:sz w:val="20"/>
          <w:szCs w:val="20"/>
          <w:color w:val="auto"/>
        </w:rPr>
      </w:pPr>
      <w:r>
        <w:rPr>
          <w:rFonts w:ascii="Arial" w:cs="Arial" w:eastAsia="Arial" w:hAnsi="Arial"/>
          <w:sz w:val="18"/>
          <w:szCs w:val="18"/>
          <w:color w:val="auto"/>
        </w:rPr>
        <w:t>Pursuant to our organizational documents, we are required to indemnify the individuals referred to above and the heirs and legal representatives of such individuals to the extent permitted by the OBCA.</w:t>
      </w:r>
    </w:p>
    <w:p>
      <w:pPr>
        <w:spacing w:after="0" w:line="51" w:lineRule="exact"/>
        <w:rPr>
          <w:sz w:val="20"/>
          <w:szCs w:val="20"/>
          <w:color w:val="auto"/>
        </w:rPr>
      </w:pPr>
    </w:p>
    <w:p>
      <w:pPr>
        <w:ind w:left="160" w:right="480"/>
        <w:spacing w:after="0"/>
        <w:rPr>
          <w:sz w:val="20"/>
          <w:szCs w:val="20"/>
          <w:color w:val="auto"/>
        </w:rPr>
      </w:pPr>
      <w:r>
        <w:rPr>
          <w:rFonts w:ascii="Arial" w:cs="Arial" w:eastAsia="Arial" w:hAnsi="Arial"/>
          <w:sz w:val="18"/>
          <w:szCs w:val="18"/>
          <w:color w:val="auto"/>
        </w:rPr>
        <w:t>We maintain, at our expense, a directors’ and officers’ liability insurance policy that provides protection for our directors and officers against liability incurred by them in their capacities as such. This policy provides for a limit of up to $ 200 million for each claim and $200 million in the aggregate (including defense costs) and there is no deductible for this coverage. The insurance applies in circumstances where we may not indemnify our directors and officers for their acts or omissions. Annual gross premiums paid by our company relating to directors’ and officers’ liability insurance are currently approximately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99</w:t>
      </w:r>
    </w:p>
    <w:p>
      <w:pPr>
        <w:sectPr>
          <w:pgSz w:w="11900" w:h="16838" w:orient="portrait"/>
          <w:cols w:equalWidth="0" w:num="1">
            <w:col w:w="11080"/>
          </w:cols>
          <w:pgMar w:left="320" w:top="454"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Additional Information</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Non-IFRS Financial Measures</w:t>
      </w:r>
    </w:p>
    <w:p>
      <w:pPr>
        <w:spacing w:after="0" w:line="119" w:lineRule="exact"/>
        <w:rPr>
          <w:sz w:val="20"/>
          <w:szCs w:val="20"/>
          <w:color w:val="auto"/>
        </w:rPr>
      </w:pPr>
    </w:p>
    <w:p>
      <w:pPr>
        <w:ind w:left="160" w:right="40"/>
        <w:spacing w:after="0" w:line="249" w:lineRule="auto"/>
        <w:rPr>
          <w:sz w:val="20"/>
          <w:szCs w:val="20"/>
          <w:color w:val="auto"/>
        </w:rPr>
      </w:pPr>
      <w:r>
        <w:rPr>
          <w:rFonts w:ascii="Arial" w:cs="Arial" w:eastAsia="Arial" w:hAnsi="Arial"/>
          <w:sz w:val="17"/>
          <w:szCs w:val="17"/>
          <w:color w:val="auto"/>
        </w:rPr>
        <w:t>This circular includes certain non-IFRS financial measures, which include ratios that incorporate one or more non-IFRS financial measures, such as adjusted EBITDA and the related margin (other than at the customer segment level), adjusted EBITDA less accrued capital expenditures and the related margin, free cash flow, adjusted EPS, effective tax rate on adjusted earnings, accrued capital expenditures expressed as a percentage of revenues, selected measures excluding the impact of foreign currency, changes in revenues computed on an organic basis as well as all financial measures for the “Big 3” segments. In the “Compensation Discussion and Analysis” section of this circular, we explain why we use certain non-IFRS measures as part of our annual and long-term incentive awards. For reconciliations to the most directly comparable IFRS measure, please see Appendices A and B of the Management’s Discussion and Analysis (MD&amp;A) section of our 2023 annual report. Our 2023 annual MD&amp;A has been filed on SEDAR+ and EDGAR and applicable reconciliations and disclosures from our 2023 annual MD&amp;A are incorporated by reference in this circular. Adjusted EBITDA less accrued capital expenditures and free cash flow, as discussed in this circular and as used for incentive compensation purposes, are reconciled to earnings from continuing operations and net cash provided by operating activities, respectively, as disclosed and reconciled in our 2023 annual MD&amp;A. Additionally, when we use the terms “organic” and “organically”, we are referring to our changes in revenues of our existing businesses at constant currency excluding the impacts of acquisitions and dispositions. Non-IFRS financial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How to Contact the Board</w:t>
      </w:r>
    </w:p>
    <w:p>
      <w:pPr>
        <w:spacing w:after="0" w:line="119" w:lineRule="exact"/>
        <w:rPr>
          <w:sz w:val="20"/>
          <w:szCs w:val="20"/>
          <w:color w:val="auto"/>
        </w:rPr>
      </w:pPr>
    </w:p>
    <w:p>
      <w:pPr>
        <w:ind w:left="160" w:right="240"/>
        <w:spacing w:after="0" w:line="249" w:lineRule="auto"/>
        <w:rPr>
          <w:sz w:val="20"/>
          <w:szCs w:val="20"/>
          <w:color w:val="auto"/>
        </w:rPr>
      </w:pPr>
      <w:r>
        <w:rPr>
          <w:rFonts w:ascii="Arial" w:cs="Arial" w:eastAsia="Arial" w:hAnsi="Arial"/>
          <w:sz w:val="18"/>
          <w:szCs w:val="18"/>
          <w:color w:val="auto"/>
        </w:rPr>
        <w:t xml:space="preserve">Shareholders and other interested parties may contact the Board or its non-management or independent directors as a group, or the directors who preside over their meetings, by writing to them by e-mail at </w:t>
      </w:r>
      <w:r>
        <w:rPr>
          <w:rFonts w:ascii="Arial" w:cs="Arial" w:eastAsia="Arial" w:hAnsi="Arial"/>
          <w:sz w:val="18"/>
          <w:szCs w:val="18"/>
          <w:b w:val="1"/>
          <w:bCs w:val="1"/>
          <w:color w:val="335367"/>
        </w:rPr>
        <w:t>board@thomsonreuters.com</w:t>
      </w:r>
      <w:r>
        <w:rPr>
          <w:rFonts w:ascii="Arial" w:cs="Arial" w:eastAsia="Arial" w:hAnsi="Arial"/>
          <w:sz w:val="18"/>
          <w:szCs w:val="18"/>
          <w:color w:val="auto"/>
        </w:rPr>
        <w:t xml:space="preserve"> or by mail c/o Norie Campbell, Chief Legal Officer and Company Secretary, Thomson Reuters, 19 Duncan Street, Toronto, Ontario, M5H 3H1, Canada.</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2024 Annual Meeting – Questions from Shareholders</w:t>
      </w:r>
    </w:p>
    <w:p>
      <w:pPr>
        <w:spacing w:after="0" w:line="119"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auto"/>
        </w:rPr>
        <w:t xml:space="preserve">At the annual meeting, shareholders in attendance will be provided with an opportunity to submit or ask questions to our Board, CEO, CFO and other members of senior management in attendance. If you are a shareholder who is viewing the meeting by webcast or is unable to attend this year’s meeting in person but have a question, you may e-mail your question to </w:t>
      </w:r>
      <w:r>
        <w:rPr>
          <w:rFonts w:ascii="Arial" w:cs="Arial" w:eastAsia="Arial" w:hAnsi="Arial"/>
          <w:sz w:val="18"/>
          <w:szCs w:val="18"/>
          <w:b w:val="1"/>
          <w:bCs w:val="1"/>
          <w:color w:val="335367"/>
        </w:rPr>
        <w:t xml:space="preserve">investor.relations@thomsonreuters.com </w:t>
      </w:r>
      <w:r>
        <w:rPr>
          <w:rFonts w:ascii="Arial" w:cs="Arial" w:eastAsia="Arial" w:hAnsi="Arial"/>
          <w:sz w:val="18"/>
          <w:szCs w:val="18"/>
          <w:color w:val="000000"/>
        </w:rPr>
        <w:t>prior to the meeting.</w:t>
      </w:r>
    </w:p>
    <w:p>
      <w:pPr>
        <w:spacing w:after="0" w:line="57"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Where to find Corporate Governance and Continuous Disclosure Documents</w:t>
      </w:r>
    </w:p>
    <w:p>
      <w:pPr>
        <w:spacing w:after="0" w:line="119" w:lineRule="exact"/>
        <w:rPr>
          <w:sz w:val="20"/>
          <w:szCs w:val="20"/>
          <w:color w:val="auto"/>
        </w:rPr>
      </w:pPr>
    </w:p>
    <w:p>
      <w:pPr>
        <w:ind w:left="160" w:right="20"/>
        <w:spacing w:after="0" w:line="261" w:lineRule="auto"/>
        <w:rPr>
          <w:sz w:val="20"/>
          <w:szCs w:val="20"/>
          <w:color w:val="auto"/>
        </w:rPr>
      </w:pPr>
      <w:r>
        <w:rPr>
          <w:rFonts w:ascii="Arial" w:cs="Arial" w:eastAsia="Arial" w:hAnsi="Arial"/>
          <w:sz w:val="17"/>
          <w:szCs w:val="17"/>
          <w:color w:val="auto"/>
        </w:rPr>
        <w:t xml:space="preserve">Our Code of Business Conduct and Ethics, Corporate Governance Guidelines and charters for the Audit Committee, Corporate Governance Committee, HR Committee and Risk Committee and position descriptions for the Chairman, Lead Independent Director, CEO and the Chair of each committee are available in print free of charge to any shareholder who requests a copy in writing to: Thomson Reuters, Attention: Investor Relations Department, 3 Times Square, New York, New York 10036, United States or by an e-mail request sent to </w:t>
      </w:r>
      <w:r>
        <w:rPr>
          <w:rFonts w:ascii="Arial" w:cs="Arial" w:eastAsia="Arial" w:hAnsi="Arial"/>
          <w:sz w:val="17"/>
          <w:szCs w:val="17"/>
          <w:b w:val="1"/>
          <w:bCs w:val="1"/>
          <w:color w:val="335367"/>
        </w:rPr>
        <w:t>investor.relations@thomsonreuters.com</w:t>
      </w:r>
      <w:r>
        <w:rPr>
          <w:rFonts w:ascii="Arial" w:cs="Arial" w:eastAsia="Arial" w:hAnsi="Arial"/>
          <w:sz w:val="17"/>
          <w:szCs w:val="17"/>
          <w:color w:val="auto"/>
        </w:rPr>
        <w:t xml:space="preserve">. These documents are also available on our website, </w:t>
      </w:r>
      <w:r>
        <w:rPr>
          <w:rFonts w:ascii="Arial" w:cs="Arial" w:eastAsia="Arial" w:hAnsi="Arial"/>
          <w:sz w:val="17"/>
          <w:szCs w:val="17"/>
          <w:b w:val="1"/>
          <w:bCs w:val="1"/>
          <w:color w:val="335367"/>
        </w:rPr>
        <w:t>www.thomsonreuters.com.</w:t>
      </w:r>
    </w:p>
    <w:p>
      <w:pPr>
        <w:spacing w:after="0" w:line="47"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 xml:space="preserve">Financial information about our company is provided in our consolidated financial statements and MD&amp;A. You can obtain copies of these financial statements and MD&amp;A by contacting our Investor Relations Department by mail or e-mail as indicated in the paragraph immediately above. You can also find these financial statements and MD&amp;A on our website, </w:t>
      </w:r>
      <w:r>
        <w:rPr>
          <w:rFonts w:ascii="Arial" w:cs="Arial" w:eastAsia="Arial" w:hAnsi="Arial"/>
          <w:sz w:val="18"/>
          <w:szCs w:val="18"/>
          <w:b w:val="1"/>
          <w:bCs w:val="1"/>
          <w:color w:val="335367"/>
        </w:rPr>
        <w:t>www.thomsonreuters.com</w:t>
      </w:r>
      <w:r>
        <w:rPr>
          <w:rFonts w:ascii="Arial" w:cs="Arial" w:eastAsia="Arial" w:hAnsi="Arial"/>
          <w:sz w:val="18"/>
          <w:szCs w:val="18"/>
          <w:color w:val="auto"/>
        </w:rPr>
        <w:t>. Additional information regarding our Audit Committee that is required to be disclosed pursuant to Canadian Securities Administrators Multilateral Instrument Form 52-110F1 is included in our 2023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336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100   Management Proxy Circular and Notice of Annual Meeting of Shareholders</w:t>
      </w:r>
    </w:p>
    <w:p>
      <w:pPr>
        <w:sectPr>
          <w:pgSz w:w="11900" w:h="16838" w:orient="portrait"/>
          <w:cols w:equalWidth="0" w:num="1">
            <w:col w:w="11060"/>
          </w:cols>
          <w:pgMar w:left="320" w:top="454" w:right="5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 xml:space="preserve">You may access other information about our company, including our continuous disclosure materials, reports, statements and other information that we file with the Canadian securities regulatory authorities through SEDAR+ at </w:t>
      </w:r>
      <w:r>
        <w:rPr>
          <w:rFonts w:ascii="Arial" w:cs="Arial" w:eastAsia="Arial" w:hAnsi="Arial"/>
          <w:sz w:val="18"/>
          <w:szCs w:val="18"/>
          <w:b w:val="1"/>
          <w:bCs w:val="1"/>
          <w:color w:val="335367"/>
        </w:rPr>
        <w:t>www.sedarplus.ca</w:t>
      </w:r>
      <w:r>
        <w:rPr>
          <w:rFonts w:ascii="Arial" w:cs="Arial" w:eastAsia="Arial" w:hAnsi="Arial"/>
          <w:sz w:val="18"/>
          <w:szCs w:val="18"/>
          <w:color w:val="auto"/>
        </w:rPr>
        <w:t xml:space="preserve"> and in the United States with the SEC through EDGAR at </w:t>
      </w:r>
      <w:r>
        <w:rPr>
          <w:rFonts w:ascii="Arial" w:cs="Arial" w:eastAsia="Arial" w:hAnsi="Arial"/>
          <w:sz w:val="18"/>
          <w:szCs w:val="18"/>
          <w:b w:val="1"/>
          <w:bCs w:val="1"/>
          <w:color w:val="335367"/>
        </w:rPr>
        <w:t>www.sec.gov</w:t>
      </w:r>
      <w:r>
        <w:rPr>
          <w:rFonts w:ascii="Arial" w:cs="Arial" w:eastAsia="Arial" w:hAnsi="Arial"/>
          <w:sz w:val="18"/>
          <w:szCs w:val="18"/>
          <w:color w:val="auto"/>
        </w:rPr>
        <w:t>. A copy of our Corporate Governance Guidelines has been filed on SEDAR+ and EDGAR and is incorporated by reference in this circular.</w:t>
      </w:r>
    </w:p>
    <w:p>
      <w:pPr>
        <w:spacing w:after="0" w:line="7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Under NYSE listing standards, we are required to disclose any significant ways in which our corporate governance practices differ from those required to be followed by U.S. domestic companies under NYSE listing standards. There is only one significant difference between our corporate governance practices and those required of domestic companies under NYSE listing standards. NYSE listing standards require shareholder approval of all “equity compensation plans” and material revisions to these types of plans (with limited exceptions). TSX rules require shareholder approval of security based compensation arrangements only for plans which involve newly issued shares or specified amendments to the plans. Similar to a number of other Canadian issuers, our company follows the TSX rules.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Thomson Reuters Trust Principles and Thomson Reuters Founders Share Company</w:t>
      </w:r>
    </w:p>
    <w:p>
      <w:pPr>
        <w:spacing w:after="0" w:line="119"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We have issued a Founders Share to the Thomson Reuters Founders Share Company which enables it to exercise extraordinary voting power to safeguard the Thomson Reuters Trust Principles.</w:t>
      </w:r>
    </w:p>
    <w:p>
      <w:pPr>
        <w:spacing w:after="0" w:line="51"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The directors of the Thomson Reuters Founders Share Company are experienced and eminent people from the world of politics, diplomacy, media, public service and business. They generally have all held high offices in their respective sectors. The directors are selected by a nomination committee and proposed to the board of the Thomson Reuters Founders Share Company to be considered for appointment. The nomination committee assists in scrutinizing candidates’ suitability and its members include two persons appointed by the chairman after consultation with the European Court of Human Rights (ECHR). These have historically been judges of the ECHR. Our Board currently has two representatives on the nomination committee. In addition to the chairman and deputy chairman of the Thomson Reuters Founders Share Company, who are also members of the nomination committee, the chairman of the Thomson Reuters Founders Share Company appoints three other directors of the Thomson Reuters Founders Share Company to the nomination committee. Other members are representatives of press associations from the United Kingdom and Australia. The chairman of the Thomson Reuters Founders Share Company acts as chairman of the nomination committee.</w:t>
      </w:r>
    </w:p>
    <w:p>
      <w:pPr>
        <w:spacing w:after="0" w:line="78" w:lineRule="exact"/>
        <w:rPr>
          <w:sz w:val="20"/>
          <w:szCs w:val="20"/>
          <w:color w:val="auto"/>
        </w:rPr>
      </w:pPr>
    </w:p>
    <w:p>
      <w:pPr>
        <w:jc w:val="both"/>
        <w:ind w:left="160" w:right="60"/>
        <w:spacing w:after="0" w:line="249" w:lineRule="auto"/>
        <w:rPr>
          <w:sz w:val="20"/>
          <w:szCs w:val="20"/>
          <w:color w:val="auto"/>
        </w:rPr>
      </w:pPr>
      <w:r>
        <w:rPr>
          <w:rFonts w:ascii="Arial" w:cs="Arial" w:eastAsia="Arial" w:hAnsi="Arial"/>
          <w:sz w:val="18"/>
          <w:szCs w:val="18"/>
          <w:color w:val="auto"/>
        </w:rPr>
        <w:t>Under a Thomson Reuters Trust Principles Support Agreement, Woodbridge has agreed to support the Thomson Reuters Trust Principles and to exercise its voting rights to give effect to this support. Thomson Reuters Founders Share Company, Thomson Reuters and Reuters News are also party to an Amended and Restated Reuters Support Agreement governing the relationship between them.</w:t>
      </w:r>
    </w:p>
    <w:p>
      <w:pPr>
        <w:spacing w:after="0" w:line="65"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For additional information about the Thomson Reuters Founders Share Company, its directors, the Thomson Reuters Trust Principles, the Founders Share that our company has issued to the Thomson Reuters Founders Share Company and the Amended and Restated Reuters Support Agreement, please see our 2023 annual report.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Additional Director Information</w:t>
      </w:r>
    </w:p>
    <w:p>
      <w:pPr>
        <w:spacing w:after="0" w:line="119"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Steve Hasker, our President and Chief Executive Officer and a director of our company, was a director of Global Eagle Entertainment Inc. until May 2020. In July 2020, Global Eagle Entertainment Inc. commenced voluntary proceedings under Chapter 11 of the United States Bankruptcy Code.</w:t>
      </w:r>
    </w:p>
    <w:p>
      <w:pPr>
        <w:spacing w:after="0" w:line="65" w:lineRule="exact"/>
        <w:rPr>
          <w:sz w:val="20"/>
          <w:szCs w:val="20"/>
          <w:color w:val="auto"/>
        </w:rPr>
      </w:pPr>
    </w:p>
    <w:p>
      <w:pPr>
        <w:ind w:left="160" w:right="620"/>
        <w:spacing w:after="0" w:line="265" w:lineRule="auto"/>
        <w:rPr>
          <w:sz w:val="20"/>
          <w:szCs w:val="20"/>
          <w:color w:val="auto"/>
        </w:rPr>
      </w:pPr>
      <w:r>
        <w:rPr>
          <w:rFonts w:ascii="Arial" w:cs="Arial" w:eastAsia="Arial" w:hAnsi="Arial"/>
          <w:sz w:val="18"/>
          <w:szCs w:val="18"/>
          <w:color w:val="auto"/>
        </w:rPr>
        <w:t>Kim Rivera, a director of our company, is a director of Cano Health, Inc. In February 2024, Cano Health, Inc. commenced voluntary proceedings under Chapter 11 of the United States Bankruptcy Code.</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Share Repurchases – Normal Course Issuer Bid</w:t>
      </w:r>
    </w:p>
    <w:p>
      <w:pPr>
        <w:spacing w:after="0" w:line="119" w:lineRule="exact"/>
        <w:rPr>
          <w:sz w:val="20"/>
          <w:szCs w:val="20"/>
          <w:color w:val="auto"/>
        </w:rPr>
      </w:pPr>
    </w:p>
    <w:p>
      <w:pPr>
        <w:ind w:left="160" w:right="280"/>
        <w:spacing w:after="0" w:line="238" w:lineRule="auto"/>
        <w:rPr>
          <w:sz w:val="20"/>
          <w:szCs w:val="20"/>
          <w:color w:val="auto"/>
        </w:rPr>
      </w:pPr>
      <w:r>
        <w:rPr>
          <w:rFonts w:ascii="Arial" w:cs="Arial" w:eastAsia="Arial" w:hAnsi="Arial"/>
          <w:sz w:val="18"/>
          <w:szCs w:val="18"/>
          <w:color w:val="auto"/>
        </w:rPr>
        <w:t>We buy back shares (and subsequently cancel them) from time to time as part of our capital strategy. Share repurchases are typically repurchased under a normal course issuer bid. Our existing normal course issuer bid enables us to purchase up to 10 million common shares between November 3, 2023 and November 2, 2024 at prevailing market prices in amounts and at times determined by our company. The normal course issuer bid permits us to purchase shares through the TSX or the NYSE and/or other exchanges and alternative trading systems, if eligible, or by such other means as were permitted by the TSX and/or NYSE or under applicable law by a registered investment dealer (or an affiliate of the dealer), including private agreement purchases if we had received an issuer bid exemption order from applicable securities regulatory authorities in Canada for such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336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101</w:t>
      </w:r>
    </w:p>
    <w:p>
      <w:pPr>
        <w:sectPr>
          <w:pgSz w:w="11900" w:h="16838" w:orient="portrait"/>
          <w:cols w:equalWidth="0" w:num="1">
            <w:col w:w="11080"/>
          </w:cols>
          <w:pgMar w:left="320" w:top="454"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260"/>
        <w:spacing w:after="0" w:line="243" w:lineRule="auto"/>
        <w:rPr>
          <w:sz w:val="20"/>
          <w:szCs w:val="20"/>
          <w:color w:val="auto"/>
        </w:rPr>
      </w:pPr>
      <w:r>
        <w:rPr>
          <w:rFonts w:ascii="Arial" w:cs="Arial" w:eastAsia="Arial" w:hAnsi="Arial"/>
          <w:sz w:val="18"/>
          <w:szCs w:val="18"/>
          <w:color w:val="auto"/>
        </w:rPr>
        <w:t>In November 2023, we announced a program to repurchase up to $ 1.0 billion of our common shares. This new buyback program is in addition to the $2.0 billion repurchase program we completed in the first quarter of 2023. In 2023, we repurchased approximately</w:t>
      </w:r>
    </w:p>
    <w:p>
      <w:pPr>
        <w:ind w:left="160"/>
        <w:spacing w:after="0" w:line="237" w:lineRule="auto"/>
        <w:rPr>
          <w:sz w:val="20"/>
          <w:szCs w:val="20"/>
          <w:color w:val="auto"/>
        </w:rPr>
      </w:pPr>
      <w:r>
        <w:rPr>
          <w:rFonts w:ascii="Arial" w:cs="Arial" w:eastAsia="Arial" w:hAnsi="Arial"/>
          <w:sz w:val="18"/>
          <w:szCs w:val="18"/>
          <w:color w:val="auto"/>
        </w:rPr>
        <w:t xml:space="preserve">8.6 million shares for $1,079 million at an average price per share of $125.07 share repurchases under the normal course issuer bid programs. Please see our 2023 annual report for additional information regarding our share repurchases and normal course issuer bid. A copy of the notice of intention related to the normal course issuer bid is available at </w:t>
      </w:r>
      <w:r>
        <w:rPr>
          <w:rFonts w:ascii="Arial" w:cs="Arial" w:eastAsia="Arial" w:hAnsi="Arial"/>
          <w:sz w:val="18"/>
          <w:szCs w:val="18"/>
          <w:b w:val="1"/>
          <w:bCs w:val="1"/>
          <w:color w:val="335367"/>
        </w:rPr>
        <w:t>www.sedarplus.ca</w:t>
      </w:r>
      <w:r>
        <w:rPr>
          <w:rFonts w:ascii="Arial" w:cs="Arial" w:eastAsia="Arial" w:hAnsi="Arial"/>
          <w:sz w:val="18"/>
          <w:szCs w:val="18"/>
          <w:color w:val="auto"/>
        </w:rPr>
        <w:t xml:space="preserve"> and </w:t>
      </w:r>
      <w:r>
        <w:rPr>
          <w:rFonts w:ascii="Arial" w:cs="Arial" w:eastAsia="Arial" w:hAnsi="Arial"/>
          <w:sz w:val="18"/>
          <w:szCs w:val="18"/>
          <w:b w:val="1"/>
          <w:bCs w:val="1"/>
          <w:color w:val="335367"/>
        </w:rPr>
        <w:t>www.sec.gov</w:t>
      </w:r>
      <w:r>
        <w:rPr>
          <w:rFonts w:ascii="Arial" w:cs="Arial" w:eastAsia="Arial" w:hAnsi="Arial"/>
          <w:sz w:val="18"/>
          <w:szCs w:val="18"/>
          <w:color w:val="auto"/>
        </w:rPr>
        <w:t xml:space="preserve"> and may also be obtained without charge from our Investor Relations Department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336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2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102   Management Proxy Circular and Notice of Annual Meeting of Shareholders</w:t>
      </w:r>
    </w:p>
    <w:p>
      <w:pPr>
        <w:sectPr>
          <w:pgSz w:w="11900" w:h="16838" w:orient="portrait"/>
          <w:cols w:equalWidth="0" w:num="1">
            <w:col w:w="10940"/>
          </w:cols>
          <w:pgMar w:left="320" w:top="454" w:right="6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46"/>
          <w:szCs w:val="46"/>
          <w:color w:val="B94831"/>
        </w:rPr>
        <w:t>Directors’ Approval</w:t>
      </w:r>
    </w:p>
    <w:p>
      <w:pPr>
        <w:spacing w:after="0" w:line="200" w:lineRule="exact"/>
        <w:rPr>
          <w:sz w:val="20"/>
          <w:szCs w:val="20"/>
          <w:color w:val="auto"/>
        </w:rPr>
      </w:pPr>
    </w:p>
    <w:p>
      <w:pPr>
        <w:spacing w:after="0" w:line="253"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color w:val="auto"/>
        </w:rPr>
        <w:t>The Board of Directors of Thomson Reuters Corporation has approved the contents of this circular and the mailing of the circular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290830</wp:posOffset>
            </wp:positionV>
            <wp:extent cx="1520190" cy="5010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2019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Norie Campbell</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Chief Legal Officer &amp; Company Secretary</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336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103</w:t>
      </w:r>
    </w:p>
    <w:p>
      <w:pPr>
        <w:sectPr>
          <w:pgSz w:w="11900" w:h="16838" w:orient="portrait"/>
          <w:cols w:equalWidth="0" w:num="1">
            <w:col w:w="11080"/>
          </w:cols>
          <w:pgMar w:left="320" w:top="454"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70" w:lineRule="exact"/>
        <w:rPr>
          <w:sz w:val="20"/>
          <w:szCs w:val="20"/>
          <w:color w:val="auto"/>
        </w:rPr>
      </w:pPr>
    </w:p>
    <w:p>
      <w:pPr>
        <w:ind w:left="160" w:right="380"/>
        <w:spacing w:after="0" w:line="275" w:lineRule="auto"/>
        <w:rPr>
          <w:sz w:val="20"/>
          <w:szCs w:val="20"/>
          <w:color w:val="auto"/>
        </w:rPr>
      </w:pPr>
      <w:r>
        <w:rPr>
          <w:rFonts w:ascii="Arial" w:cs="Arial" w:eastAsia="Arial" w:hAnsi="Arial"/>
          <w:sz w:val="46"/>
          <w:szCs w:val="46"/>
          <w:color w:val="B94831"/>
        </w:rPr>
        <w:t>Appendix A – Equity Compensation and Other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239395</wp:posOffset>
            </wp:positionV>
            <wp:extent cx="6929755" cy="169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366"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FFFFFF"/>
        </w:rPr>
        <w:t>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Eligibility</w:t>
            </w:r>
          </w:p>
        </w:tc>
        <w:tc>
          <w:tcPr>
            <w:tcW w:w="7740" w:type="dxa"/>
            <w:vAlign w:val="bottom"/>
          </w:tcPr>
          <w:p>
            <w:pPr>
              <w:ind w:left="340"/>
              <w:spacing w:after="0"/>
              <w:rPr>
                <w:sz w:val="20"/>
                <w:szCs w:val="20"/>
                <w:color w:val="auto"/>
              </w:rPr>
            </w:pPr>
            <w:r>
              <w:rPr>
                <w:rFonts w:ascii="Arial" w:cs="Arial" w:eastAsia="Arial" w:hAnsi="Arial"/>
                <w:sz w:val="14"/>
                <w:szCs w:val="14"/>
                <w:color w:val="auto"/>
              </w:rPr>
              <w:t>Any employee or officer of Thomson Reuters (as may be determined by the HR Committee). Directors who are not</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employees or officers of our company are not eligible to participate in the plan.</w:t>
            </w:r>
          </w:p>
        </w:tc>
      </w:tr>
      <w:tr>
        <w:trPr>
          <w:trHeight w:val="48"/>
        </w:trPr>
        <w:tc>
          <w:tcPr>
            <w:tcW w:w="3180" w:type="dxa"/>
            <w:vAlign w:val="bottom"/>
            <w:tcBorders>
              <w:bottom w:val="single" w:sz="8" w:color="AFAFAF"/>
            </w:tcBorders>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20"/>
                <w:szCs w:val="20"/>
                <w:color w:val="auto"/>
              </w:rPr>
            </w:pPr>
            <w:r>
              <w:rPr>
                <w:rFonts w:ascii="Arial" w:cs="Arial" w:eastAsia="Arial" w:hAnsi="Arial"/>
                <w:sz w:val="14"/>
                <w:szCs w:val="14"/>
                <w:b w:val="1"/>
                <w:bCs w:val="1"/>
                <w:color w:val="auto"/>
              </w:rPr>
              <w:t>Purpose</w:t>
            </w:r>
          </w:p>
        </w:tc>
        <w:tc>
          <w:tcPr>
            <w:tcW w:w="7740" w:type="dxa"/>
            <w:vAlign w:val="bottom"/>
          </w:tcPr>
          <w:p>
            <w:pPr>
              <w:ind w:left="340"/>
              <w:spacing w:after="0"/>
              <w:rPr>
                <w:sz w:val="20"/>
                <w:szCs w:val="20"/>
                <w:color w:val="auto"/>
              </w:rPr>
            </w:pPr>
            <w:r>
              <w:rPr>
                <w:rFonts w:ascii="Arial" w:cs="Arial" w:eastAsia="Arial" w:hAnsi="Arial"/>
                <w:sz w:val="14"/>
                <w:szCs w:val="14"/>
                <w:color w:val="auto"/>
              </w:rPr>
              <w:t>Provide an additional incentive to participants, encourage stock ownership by them and thereby increase their</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proprietary interest in our company’s success and their desire to remain with Thomson Reuters.</w:t>
            </w:r>
          </w:p>
        </w:tc>
      </w:tr>
      <w:tr>
        <w:trPr>
          <w:trHeight w:val="48"/>
        </w:trPr>
        <w:tc>
          <w:tcPr>
            <w:tcW w:w="3180" w:type="dxa"/>
            <w:vAlign w:val="bottom"/>
            <w:tcBorders>
              <w:bottom w:val="single" w:sz="8" w:color="AFAFAF"/>
            </w:tcBorders>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233"/>
        </w:trPr>
        <w:tc>
          <w:tcPr>
            <w:tcW w:w="3180" w:type="dxa"/>
            <w:vAlign w:val="bottom"/>
          </w:tcPr>
          <w:p>
            <w:pPr>
              <w:spacing w:after="0"/>
              <w:rPr>
                <w:sz w:val="20"/>
                <w:szCs w:val="20"/>
                <w:color w:val="auto"/>
              </w:rPr>
            </w:pPr>
            <w:r>
              <w:rPr>
                <w:rFonts w:ascii="Arial" w:cs="Arial" w:eastAsia="Arial" w:hAnsi="Arial"/>
                <w:sz w:val="14"/>
                <w:szCs w:val="14"/>
                <w:b w:val="1"/>
                <w:bCs w:val="1"/>
                <w:color w:val="auto"/>
              </w:rPr>
              <w:t>Maximum number of shares issuable</w:t>
            </w:r>
          </w:p>
        </w:tc>
        <w:tc>
          <w:tcPr>
            <w:tcW w:w="7740" w:type="dxa"/>
            <w:vAlign w:val="bottom"/>
          </w:tcPr>
          <w:p>
            <w:pPr>
              <w:ind w:left="340"/>
              <w:spacing w:after="0"/>
              <w:rPr>
                <w:sz w:val="20"/>
                <w:szCs w:val="20"/>
                <w:color w:val="auto"/>
              </w:rPr>
            </w:pPr>
            <w:r>
              <w:rPr>
                <w:rFonts w:ascii="Arial" w:cs="Arial" w:eastAsia="Arial" w:hAnsi="Arial"/>
                <w:sz w:val="14"/>
                <w:szCs w:val="14"/>
                <w:color w:val="auto"/>
              </w:rPr>
              <w:t>69,150,969 shares, representing approximately 15.27% of our total issued and outstanding shares as of year end.</w:t>
            </w:r>
          </w:p>
        </w:tc>
      </w:tr>
      <w:tr>
        <w:trPr>
          <w:trHeight w:val="42"/>
        </w:trPr>
        <w:tc>
          <w:tcPr>
            <w:tcW w:w="3180" w:type="dxa"/>
            <w:vAlign w:val="bottom"/>
            <w:tcBorders>
              <w:bottom w:val="single" w:sz="8" w:color="AFAFAF"/>
            </w:tcBorders>
          </w:tcPr>
          <w:p>
            <w:pPr>
              <w:spacing w:after="0"/>
              <w:rPr>
                <w:sz w:val="3"/>
                <w:szCs w:val="3"/>
                <w:color w:val="auto"/>
              </w:rPr>
            </w:pPr>
          </w:p>
        </w:tc>
        <w:tc>
          <w:tcPr>
            <w:tcW w:w="7740" w:type="dxa"/>
            <w:vAlign w:val="bottom"/>
            <w:tcBorders>
              <w:bottom w:val="single" w:sz="8" w:color="AFAFAF"/>
            </w:tcBorders>
          </w:tcPr>
          <w:p>
            <w:pPr>
              <w:spacing w:after="0"/>
              <w:rPr>
                <w:sz w:val="3"/>
                <w:szCs w:val="3"/>
                <w:color w:val="auto"/>
              </w:rPr>
            </w:pPr>
          </w:p>
        </w:tc>
      </w:tr>
      <w:tr>
        <w:trPr>
          <w:trHeight w:val="198"/>
        </w:trPr>
        <w:tc>
          <w:tcPr>
            <w:tcW w:w="3180" w:type="dxa"/>
            <w:vAlign w:val="bottom"/>
          </w:tcPr>
          <w:p>
            <w:pPr>
              <w:spacing w:after="0"/>
              <w:rPr>
                <w:sz w:val="20"/>
                <w:szCs w:val="20"/>
                <w:color w:val="auto"/>
              </w:rPr>
            </w:pPr>
            <w:r>
              <w:rPr>
                <w:rFonts w:ascii="Arial" w:cs="Arial" w:eastAsia="Arial" w:hAnsi="Arial"/>
                <w:sz w:val="14"/>
                <w:szCs w:val="14"/>
                <w:b w:val="1"/>
                <w:bCs w:val="1"/>
                <w:color w:val="auto"/>
              </w:rPr>
              <w:t>Shares and awards issued in 2023</w:t>
            </w:r>
          </w:p>
        </w:tc>
        <w:tc>
          <w:tcPr>
            <w:tcW w:w="7740" w:type="dxa"/>
            <w:vAlign w:val="bottom"/>
          </w:tcPr>
          <w:p>
            <w:pPr>
              <w:ind w:left="340"/>
              <w:spacing w:after="0"/>
              <w:rPr>
                <w:sz w:val="20"/>
                <w:szCs w:val="20"/>
                <w:color w:val="auto"/>
              </w:rPr>
            </w:pPr>
            <w:r>
              <w:rPr>
                <w:rFonts w:ascii="Arial" w:cs="Arial" w:eastAsia="Arial" w:hAnsi="Arial"/>
                <w:sz w:val="14"/>
                <w:szCs w:val="14"/>
                <w:color w:val="auto"/>
              </w:rPr>
              <w:t>In 2023, we issued approximately 1.7 million shares under the plan, which represented approximately 0.38% of our</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total issued and outstanding shares as of year-end. Total awards granted in 2023 represented approximately 0.21%</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of our total issued and outstanding shares as of year-end. Of this amount, options granted in 2023 represented</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approximately 0.06% and RSUs granted in 2023 represented approximately 0.15%.</w:t>
            </w:r>
          </w:p>
        </w:tc>
      </w:tr>
      <w:tr>
        <w:trPr>
          <w:trHeight w:val="48"/>
        </w:trPr>
        <w:tc>
          <w:tcPr>
            <w:tcW w:w="3180" w:type="dxa"/>
            <w:vAlign w:val="bottom"/>
            <w:tcBorders>
              <w:bottom w:val="single" w:sz="8" w:color="AFAFAF"/>
            </w:tcBorders>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20"/>
                <w:szCs w:val="20"/>
                <w:color w:val="auto"/>
              </w:rPr>
            </w:pPr>
            <w:r>
              <w:rPr>
                <w:rFonts w:ascii="Arial" w:cs="Arial" w:eastAsia="Arial" w:hAnsi="Arial"/>
                <w:sz w:val="14"/>
                <w:szCs w:val="14"/>
                <w:b w:val="1"/>
                <w:bCs w:val="1"/>
                <w:color w:val="auto"/>
              </w:rPr>
              <w:t>Other limits</w:t>
            </w:r>
          </w:p>
        </w:tc>
        <w:tc>
          <w:tcPr>
            <w:tcW w:w="7740" w:type="dxa"/>
            <w:vAlign w:val="bottom"/>
          </w:tcPr>
          <w:p>
            <w:pPr>
              <w:ind w:left="340"/>
              <w:spacing w:after="0"/>
              <w:rPr>
                <w:sz w:val="20"/>
                <w:szCs w:val="20"/>
                <w:color w:val="auto"/>
              </w:rPr>
            </w:pPr>
            <w:r>
              <w:rPr>
                <w:rFonts w:ascii="Arial" w:cs="Arial" w:eastAsia="Arial" w:hAnsi="Arial"/>
                <w:sz w:val="14"/>
                <w:szCs w:val="14"/>
                <w:color w:val="auto"/>
              </w:rPr>
              <w:t>Shares may consist, in whole or in part, of common shares issued from treasury or purchased on the open market or</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any combination thereof.</w:t>
            </w:r>
          </w:p>
        </w:tc>
      </w:tr>
      <w:tr>
        <w:trPr>
          <w:trHeight w:val="48"/>
        </w:trPr>
        <w:tc>
          <w:tcPr>
            <w:tcW w:w="3180" w:type="dxa"/>
            <w:vAlign w:val="bottom"/>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17"/>
                <w:szCs w:val="17"/>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The maximum number of shares that may be issued in respect of RSU awards granted after December 31, 2016 will</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not exceed 13,503,378 shares.</w:t>
            </w:r>
          </w:p>
        </w:tc>
      </w:tr>
      <w:tr>
        <w:trPr>
          <w:trHeight w:val="48"/>
        </w:trPr>
        <w:tc>
          <w:tcPr>
            <w:tcW w:w="3180" w:type="dxa"/>
            <w:vAlign w:val="bottom"/>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17"/>
                <w:szCs w:val="17"/>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The maximum number of shares that may be issued under plan awards held by any one person under the plan must</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not exceed 5% of our outstanding common shares determined on a non-diluted basis. The maximum number of</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shares for which plan awards may be granted and which may be otherwise awarded under the plan to any individual</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during any one-year period is 5,000,000.</w:t>
            </w:r>
          </w:p>
        </w:tc>
      </w:tr>
      <w:tr>
        <w:trPr>
          <w:trHeight w:val="48"/>
        </w:trPr>
        <w:tc>
          <w:tcPr>
            <w:tcW w:w="3180" w:type="dxa"/>
            <w:vAlign w:val="bottom"/>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17"/>
                <w:szCs w:val="17"/>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The number of shares issued to “insiders” and their “associates” within any one-year period under the plan and any</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other security based compensation arrangement of Thomson Reuters cannot exceed 5% of the aggregate number of</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our issued and outstanding shares on a non-diluted basis. The maximum number of shares issuable to “insiders”, at</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any time, under the plan and any other share based compensation arrangement of Thomson Reuters cannot exceed</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10% of the aggregate number of our issued and outstanding shares on a non-diluted basis.</w:t>
            </w:r>
          </w:p>
        </w:tc>
      </w:tr>
      <w:tr>
        <w:trPr>
          <w:trHeight w:val="48"/>
        </w:trPr>
        <w:tc>
          <w:tcPr>
            <w:tcW w:w="3180" w:type="dxa"/>
            <w:vAlign w:val="bottom"/>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17"/>
                <w:szCs w:val="17"/>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The maximum number of shares that may be issued through incentive stock options (ISOs) under the plan</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is 5,000,000. We may not issue ISOs under the plan at this time.</w:t>
            </w:r>
          </w:p>
        </w:tc>
      </w:tr>
      <w:tr>
        <w:trPr>
          <w:trHeight w:val="48"/>
        </w:trPr>
        <w:tc>
          <w:tcPr>
            <w:tcW w:w="3180" w:type="dxa"/>
            <w:vAlign w:val="bottom"/>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17"/>
                <w:szCs w:val="17"/>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Shares subject to awards which are cancelled, expired, forfeited or terminated without having been exercised</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are available for new awards under the stock incentive plan.</w:t>
            </w:r>
          </w:p>
        </w:tc>
      </w:tr>
      <w:tr>
        <w:trPr>
          <w:trHeight w:val="48"/>
        </w:trPr>
        <w:tc>
          <w:tcPr>
            <w:tcW w:w="3180" w:type="dxa"/>
            <w:vAlign w:val="bottom"/>
            <w:tcBorders>
              <w:bottom w:val="single" w:sz="8" w:color="AFAFAF"/>
            </w:tcBorders>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198"/>
        </w:trPr>
        <w:tc>
          <w:tcPr>
            <w:tcW w:w="3180" w:type="dxa"/>
            <w:vAlign w:val="bottom"/>
          </w:tcPr>
          <w:p>
            <w:pPr>
              <w:spacing w:after="0"/>
              <w:rPr>
                <w:sz w:val="20"/>
                <w:szCs w:val="20"/>
                <w:color w:val="auto"/>
              </w:rPr>
            </w:pPr>
            <w:r>
              <w:rPr>
                <w:rFonts w:ascii="Arial" w:cs="Arial" w:eastAsia="Arial" w:hAnsi="Arial"/>
                <w:sz w:val="14"/>
                <w:szCs w:val="14"/>
                <w:b w:val="1"/>
                <w:bCs w:val="1"/>
                <w:color w:val="auto"/>
              </w:rPr>
              <w:t>Types of awards that may be issued</w:t>
            </w:r>
          </w:p>
        </w:tc>
        <w:tc>
          <w:tcPr>
            <w:tcW w:w="7740" w:type="dxa"/>
            <w:vAlign w:val="bottom"/>
          </w:tcPr>
          <w:p>
            <w:pPr>
              <w:ind w:left="340"/>
              <w:spacing w:after="0"/>
              <w:rPr>
                <w:sz w:val="20"/>
                <w:szCs w:val="20"/>
                <w:color w:val="auto"/>
              </w:rPr>
            </w:pPr>
            <w:r>
              <w:rPr>
                <w:rFonts w:ascii="Arial" w:cs="Arial" w:eastAsia="Arial" w:hAnsi="Arial"/>
                <w:sz w:val="14"/>
                <w:szCs w:val="14"/>
                <w:color w:val="auto"/>
              </w:rPr>
              <w:t>Non-qualified stock options, stock appreciation rights (SARs), awards of RSUs and other awards of shares based on</w:t>
            </w:r>
          </w:p>
        </w:tc>
      </w:tr>
      <w:tr>
        <w:trPr>
          <w:trHeight w:val="160"/>
        </w:trPr>
        <w:tc>
          <w:tcPr>
            <w:tcW w:w="3180" w:type="dxa"/>
            <w:vAlign w:val="bottom"/>
          </w:tcPr>
          <w:p>
            <w:pPr>
              <w:spacing w:after="0"/>
              <w:rPr>
                <w:sz w:val="13"/>
                <w:szCs w:val="13"/>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the value of shares. Through the date of this circular, we have only issued non-qualified stock options and RSUs</w:t>
            </w:r>
          </w:p>
        </w:tc>
      </w:tr>
      <w:tr>
        <w:trPr>
          <w:trHeight w:val="189"/>
        </w:trPr>
        <w:tc>
          <w:tcPr>
            <w:tcW w:w="3180" w:type="dxa"/>
            <w:vAlign w:val="bottom"/>
          </w:tcPr>
          <w:p>
            <w:pPr>
              <w:spacing w:after="0"/>
              <w:rPr>
                <w:sz w:val="16"/>
                <w:szCs w:val="16"/>
                <w:color w:val="auto"/>
              </w:rPr>
            </w:pPr>
          </w:p>
        </w:tc>
        <w:tc>
          <w:tcPr>
            <w:tcW w:w="7740" w:type="dxa"/>
            <w:vAlign w:val="bottom"/>
          </w:tcPr>
          <w:p>
            <w:pPr>
              <w:ind w:left="340"/>
              <w:spacing w:after="0"/>
              <w:rPr>
                <w:sz w:val="20"/>
                <w:szCs w:val="20"/>
                <w:color w:val="auto"/>
              </w:rPr>
            </w:pPr>
            <w:r>
              <w:rPr>
                <w:rFonts w:ascii="Arial" w:cs="Arial" w:eastAsia="Arial" w:hAnsi="Arial"/>
                <w:sz w:val="14"/>
                <w:szCs w:val="14"/>
                <w:color w:val="auto"/>
              </w:rPr>
              <w:t>under this plan. We issue SARs under our separate phantom stock plan.</w:t>
            </w:r>
          </w:p>
        </w:tc>
      </w:tr>
      <w:tr>
        <w:trPr>
          <w:trHeight w:val="48"/>
        </w:trPr>
        <w:tc>
          <w:tcPr>
            <w:tcW w:w="3180" w:type="dxa"/>
            <w:vAlign w:val="bottom"/>
            <w:tcBorders>
              <w:bottom w:val="single" w:sz="8" w:color="AFAFAF"/>
            </w:tcBorders>
          </w:tcPr>
          <w:p>
            <w:pPr>
              <w:spacing w:after="0"/>
              <w:rPr>
                <w:sz w:val="4"/>
                <w:szCs w:val="4"/>
                <w:color w:val="auto"/>
              </w:rPr>
            </w:pPr>
          </w:p>
        </w:tc>
        <w:tc>
          <w:tcPr>
            <w:tcW w:w="7740" w:type="dxa"/>
            <w:vAlign w:val="bottom"/>
            <w:tcBorders>
              <w:bottom w:val="single" w:sz="8" w:color="AFAFAF"/>
            </w:tcBorders>
          </w:tcPr>
          <w:p>
            <w:pPr>
              <w:spacing w:after="0"/>
              <w:rPr>
                <w:sz w:val="4"/>
                <w:szCs w:val="4"/>
                <w:color w:val="auto"/>
              </w:rPr>
            </w:pPr>
          </w:p>
        </w:tc>
      </w:tr>
      <w:tr>
        <w:trPr>
          <w:trHeight w:val="233"/>
        </w:trPr>
        <w:tc>
          <w:tcPr>
            <w:tcW w:w="3180" w:type="dxa"/>
            <w:vAlign w:val="bottom"/>
          </w:tcPr>
          <w:p>
            <w:pPr>
              <w:spacing w:after="0"/>
              <w:rPr>
                <w:sz w:val="20"/>
                <w:szCs w:val="20"/>
                <w:color w:val="auto"/>
              </w:rPr>
            </w:pPr>
            <w:r>
              <w:rPr>
                <w:rFonts w:ascii="Arial" w:cs="Arial" w:eastAsia="Arial" w:hAnsi="Arial"/>
                <w:sz w:val="14"/>
                <w:szCs w:val="14"/>
                <w:b w:val="1"/>
                <w:bCs w:val="1"/>
                <w:color w:val="auto"/>
              </w:rPr>
              <w:t>Maximum option term</w:t>
            </w:r>
          </w:p>
        </w:tc>
        <w:tc>
          <w:tcPr>
            <w:tcW w:w="7740" w:type="dxa"/>
            <w:vAlign w:val="bottom"/>
          </w:tcPr>
          <w:p>
            <w:pPr>
              <w:ind w:left="340"/>
              <w:spacing w:after="0"/>
              <w:rPr>
                <w:sz w:val="20"/>
                <w:szCs w:val="20"/>
                <w:color w:val="auto"/>
              </w:rPr>
            </w:pPr>
            <w:r>
              <w:rPr>
                <w:rFonts w:ascii="Arial" w:cs="Arial" w:eastAsia="Arial" w:hAnsi="Arial"/>
                <w:sz w:val="14"/>
                <w:szCs w:val="14"/>
                <w:color w:val="auto"/>
              </w:rPr>
              <w:t>10-year expiration date from the date of grant.</w:t>
            </w:r>
          </w:p>
        </w:tc>
      </w:tr>
      <w:tr>
        <w:trPr>
          <w:trHeight w:val="42"/>
        </w:trPr>
        <w:tc>
          <w:tcPr>
            <w:tcW w:w="3180" w:type="dxa"/>
            <w:vAlign w:val="bottom"/>
            <w:tcBorders>
              <w:bottom w:val="single" w:sz="8" w:color="AFAFAF"/>
            </w:tcBorders>
          </w:tcPr>
          <w:p>
            <w:pPr>
              <w:spacing w:after="0"/>
              <w:rPr>
                <w:sz w:val="3"/>
                <w:szCs w:val="3"/>
                <w:color w:val="auto"/>
              </w:rPr>
            </w:pPr>
          </w:p>
        </w:tc>
        <w:tc>
          <w:tcPr>
            <w:tcW w:w="7740" w:type="dxa"/>
            <w:vAlign w:val="bottom"/>
            <w:tcBorders>
              <w:bottom w:val="single" w:sz="8" w:color="AFAFAF"/>
            </w:tcBorders>
          </w:tcPr>
          <w:p>
            <w:pPr>
              <w:spacing w:after="0"/>
              <w:rPr>
                <w:sz w:val="3"/>
                <w:szCs w:val="3"/>
                <w:color w:val="auto"/>
              </w:rPr>
            </w:pPr>
          </w:p>
        </w:tc>
      </w:tr>
      <w:tr>
        <w:trPr>
          <w:trHeight w:val="233"/>
        </w:trPr>
        <w:tc>
          <w:tcPr>
            <w:tcW w:w="3180" w:type="dxa"/>
            <w:vAlign w:val="bottom"/>
          </w:tcPr>
          <w:p>
            <w:pPr>
              <w:spacing w:after="0"/>
              <w:rPr>
                <w:sz w:val="20"/>
                <w:szCs w:val="20"/>
                <w:color w:val="auto"/>
              </w:rPr>
            </w:pPr>
            <w:r>
              <w:rPr>
                <w:rFonts w:ascii="Arial" w:cs="Arial" w:eastAsia="Arial" w:hAnsi="Arial"/>
                <w:sz w:val="14"/>
                <w:szCs w:val="14"/>
                <w:b w:val="1"/>
                <w:bCs w:val="1"/>
                <w:color w:val="auto"/>
              </w:rPr>
              <w:t>Exercise price of options</w:t>
            </w:r>
          </w:p>
        </w:tc>
        <w:tc>
          <w:tcPr>
            <w:tcW w:w="7740" w:type="dxa"/>
            <w:vAlign w:val="bottom"/>
          </w:tcPr>
          <w:p>
            <w:pPr>
              <w:ind w:left="340"/>
              <w:spacing w:after="0"/>
              <w:rPr>
                <w:sz w:val="20"/>
                <w:szCs w:val="20"/>
                <w:color w:val="auto"/>
              </w:rPr>
            </w:pPr>
            <w:r>
              <w:rPr>
                <w:rFonts w:ascii="Arial" w:cs="Arial" w:eastAsia="Arial" w:hAnsi="Arial"/>
                <w:sz w:val="14"/>
                <w:szCs w:val="14"/>
                <w:color w:val="auto"/>
              </w:rPr>
              <w:t>Equal to the closing price of our shares on the NYSE on the trading day immediately preceding the date of the grant.</w:t>
            </w:r>
          </w:p>
        </w:tc>
      </w:tr>
      <w:tr>
        <w:trPr>
          <w:trHeight w:val="42"/>
        </w:trPr>
        <w:tc>
          <w:tcPr>
            <w:tcW w:w="3180" w:type="dxa"/>
            <w:vAlign w:val="bottom"/>
            <w:tcBorders>
              <w:bottom w:val="single" w:sz="8" w:color="AFAFAF"/>
            </w:tcBorders>
          </w:tcPr>
          <w:p>
            <w:pPr>
              <w:spacing w:after="0"/>
              <w:rPr>
                <w:sz w:val="3"/>
                <w:szCs w:val="3"/>
                <w:color w:val="auto"/>
              </w:rPr>
            </w:pPr>
          </w:p>
        </w:tc>
        <w:tc>
          <w:tcPr>
            <w:tcW w:w="7740" w:type="dxa"/>
            <w:vAlign w:val="bottom"/>
            <w:tcBorders>
              <w:bottom w:val="single" w:sz="8" w:color="AFAFAF"/>
            </w:tcBorders>
          </w:tcPr>
          <w:p>
            <w:pPr>
              <w:spacing w:after="0"/>
              <w:rPr>
                <w:sz w:val="3"/>
                <w:szCs w:val="3"/>
                <w:color w:val="auto"/>
              </w:rPr>
            </w:pPr>
          </w:p>
        </w:tc>
      </w:tr>
      <w:tr>
        <w:trPr>
          <w:trHeight w:val="233"/>
        </w:trPr>
        <w:tc>
          <w:tcPr>
            <w:tcW w:w="3180" w:type="dxa"/>
            <w:vAlign w:val="bottom"/>
          </w:tcPr>
          <w:p>
            <w:pPr>
              <w:spacing w:after="0"/>
              <w:rPr>
                <w:sz w:val="20"/>
                <w:szCs w:val="20"/>
                <w:color w:val="auto"/>
              </w:rPr>
            </w:pPr>
            <w:r>
              <w:rPr>
                <w:rFonts w:ascii="Arial" w:cs="Arial" w:eastAsia="Arial" w:hAnsi="Arial"/>
                <w:sz w:val="14"/>
                <w:szCs w:val="14"/>
                <w:b w:val="1"/>
                <w:bCs w:val="1"/>
                <w:color w:val="auto"/>
              </w:rPr>
              <w:t>Vesting and exercise of options</w:t>
            </w:r>
          </w:p>
        </w:tc>
        <w:tc>
          <w:tcPr>
            <w:tcW w:w="7740" w:type="dxa"/>
            <w:vAlign w:val="bottom"/>
          </w:tcPr>
          <w:p>
            <w:pPr>
              <w:ind w:left="340"/>
              <w:spacing w:after="0"/>
              <w:rPr>
                <w:sz w:val="20"/>
                <w:szCs w:val="20"/>
                <w:color w:val="auto"/>
              </w:rPr>
            </w:pPr>
            <w:r>
              <w:rPr>
                <w:rFonts w:ascii="Arial" w:cs="Arial" w:eastAsia="Arial" w:hAnsi="Arial"/>
                <w:sz w:val="14"/>
                <w:szCs w:val="14"/>
                <w:color w:val="auto"/>
              </w:rPr>
              <w:t>Stock options must be vested before they can be exercised. Options vest 25% each year over a four year period.</w:t>
            </w:r>
          </w:p>
        </w:tc>
      </w:tr>
      <w:tr>
        <w:trPr>
          <w:trHeight w:val="42"/>
        </w:trPr>
        <w:tc>
          <w:tcPr>
            <w:tcW w:w="3180" w:type="dxa"/>
            <w:vAlign w:val="bottom"/>
            <w:tcBorders>
              <w:bottom w:val="single" w:sz="8" w:color="B94831"/>
            </w:tcBorders>
          </w:tcPr>
          <w:p>
            <w:pPr>
              <w:spacing w:after="0"/>
              <w:rPr>
                <w:sz w:val="3"/>
                <w:szCs w:val="3"/>
                <w:color w:val="auto"/>
              </w:rPr>
            </w:pPr>
          </w:p>
        </w:tc>
        <w:tc>
          <w:tcPr>
            <w:tcW w:w="7740" w:type="dxa"/>
            <w:vAlign w:val="bottom"/>
            <w:tcBorders>
              <w:bottom w:val="single" w:sz="8" w:color="B94831"/>
            </w:tcBorders>
          </w:tcPr>
          <w:p>
            <w:pPr>
              <w:spacing w:after="0"/>
              <w:rPr>
                <w:sz w:val="3"/>
                <w:szCs w:val="3"/>
                <w:color w:val="auto"/>
              </w:rPr>
            </w:pPr>
          </w:p>
        </w:tc>
      </w:tr>
      <w:tr>
        <w:trPr>
          <w:trHeight w:val="227"/>
        </w:trPr>
        <w:tc>
          <w:tcPr>
            <w:tcW w:w="3180" w:type="dxa"/>
            <w:vAlign w:val="bottom"/>
            <w:tcBorders>
              <w:bottom w:val="single" w:sz="8" w:color="B94831"/>
            </w:tcBorders>
          </w:tcPr>
          <w:p>
            <w:pPr>
              <w:spacing w:after="0"/>
              <w:rPr>
                <w:sz w:val="19"/>
                <w:szCs w:val="19"/>
                <w:color w:val="auto"/>
              </w:rPr>
            </w:pPr>
          </w:p>
        </w:tc>
        <w:tc>
          <w:tcPr>
            <w:tcW w:w="7740" w:type="dxa"/>
            <w:vAlign w:val="bottom"/>
            <w:tcBorders>
              <w:bottom w:val="single" w:sz="8" w:color="B94831"/>
            </w:tcBorders>
          </w:tcPr>
          <w:p>
            <w:pPr>
              <w:spacing w:after="0"/>
              <w:rPr>
                <w:sz w:val="19"/>
                <w:szCs w:val="19"/>
                <w:color w:val="auto"/>
              </w:rPr>
            </w:pPr>
          </w:p>
        </w:tc>
      </w:tr>
      <w:tr>
        <w:trPr>
          <w:trHeight w:val="243"/>
        </w:trPr>
        <w:tc>
          <w:tcPr>
            <w:tcW w:w="3180" w:type="dxa"/>
            <w:vAlign w:val="bottom"/>
          </w:tcPr>
          <w:p>
            <w:pPr>
              <w:spacing w:after="0"/>
              <w:rPr>
                <w:sz w:val="21"/>
                <w:szCs w:val="21"/>
                <w:color w:val="auto"/>
              </w:rPr>
            </w:pPr>
          </w:p>
        </w:tc>
        <w:tc>
          <w:tcPr>
            <w:tcW w:w="7740" w:type="dxa"/>
            <w:vAlign w:val="bottom"/>
          </w:tcPr>
          <w:p>
            <w:pPr>
              <w:ind w:left="2620"/>
              <w:spacing w:after="0"/>
              <w:rPr>
                <w:sz w:val="20"/>
                <w:szCs w:val="20"/>
                <w:color w:val="auto"/>
              </w:rPr>
            </w:pPr>
            <w:r>
              <w:rPr>
                <w:rFonts w:ascii="Arial" w:cs="Arial" w:eastAsia="Arial" w:hAnsi="Arial"/>
                <w:sz w:val="13"/>
                <w:szCs w:val="13"/>
                <w:color w:val="auto"/>
              </w:rPr>
              <w:t>Management Proxy Circular and Notice of Annual Meeting of Shareholders   Page A-1</w:t>
            </w:r>
          </w:p>
        </w:tc>
      </w:tr>
    </w:tbl>
    <w:p>
      <w:pPr>
        <w:sectPr>
          <w:pgSz w:w="11900" w:h="16838" w:orient="portrait"/>
          <w:cols w:equalWidth="0" w:num="1">
            <w:col w:w="11080"/>
          </w:cols>
          <w:pgMar w:left="320" w:top="454"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21"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4360" w:type="dxa"/>
            <w:vAlign w:val="bottom"/>
            <w:tcBorders>
              <w:right w:val="single" w:sz="8" w:color="262626"/>
            </w:tcBorders>
          </w:tcPr>
          <w:p>
            <w:pPr>
              <w:spacing w:after="0"/>
              <w:rPr>
                <w:sz w:val="24"/>
                <w:szCs w:val="24"/>
                <w:color w:val="auto"/>
              </w:rPr>
            </w:pPr>
          </w:p>
        </w:tc>
        <w:tc>
          <w:tcPr>
            <w:tcW w:w="6560" w:type="dxa"/>
            <w:vAlign w:val="bottom"/>
            <w:tcBorders>
              <w:bottom w:val="single" w:sz="8" w:color="262626"/>
            </w:tcBorders>
            <w:shd w:val="clear" w:color="auto" w:fill="262626"/>
          </w:tcPr>
          <w:p>
            <w:pPr>
              <w:jc w:val="center"/>
              <w:ind w:left="128"/>
              <w:spacing w:after="0"/>
              <w:rPr>
                <w:sz w:val="20"/>
                <w:szCs w:val="20"/>
                <w:color w:val="auto"/>
              </w:rPr>
            </w:pPr>
            <w:r>
              <w:rPr>
                <w:rFonts w:ascii="Arial" w:cs="Arial" w:eastAsia="Arial" w:hAnsi="Arial"/>
                <w:sz w:val="15"/>
                <w:szCs w:val="15"/>
                <w:b w:val="1"/>
                <w:bCs w:val="1"/>
                <w:color w:val="FFFFFF"/>
              </w:rPr>
              <w:t>As of December 31, 2023</w:t>
            </w:r>
          </w:p>
        </w:tc>
      </w:tr>
      <w:tr>
        <w:trPr>
          <w:trHeight w:val="274"/>
        </w:trPr>
        <w:tc>
          <w:tcPr>
            <w:tcW w:w="4360" w:type="dxa"/>
            <w:vAlign w:val="bottom"/>
            <w:tcBorders>
              <w:top w:val="single" w:sz="8" w:color="B94831"/>
              <w:bottom w:val="single" w:sz="8" w:color="AFAFAF"/>
              <w:right w:val="single" w:sz="8" w:color="D1D1D1"/>
            </w:tcBorders>
          </w:tcPr>
          <w:p>
            <w:pPr>
              <w:spacing w:after="0"/>
              <w:rPr>
                <w:sz w:val="20"/>
                <w:szCs w:val="20"/>
                <w:color w:val="auto"/>
              </w:rPr>
            </w:pPr>
            <w:r>
              <w:rPr>
                <w:rFonts w:ascii="Arial" w:cs="Arial" w:eastAsia="Arial" w:hAnsi="Arial"/>
                <w:sz w:val="14"/>
                <w:szCs w:val="14"/>
                <w:b w:val="1"/>
                <w:bCs w:val="1"/>
                <w:color w:val="auto"/>
              </w:rPr>
              <w:t>Common shares issued under the plan</w:t>
            </w:r>
          </w:p>
        </w:tc>
        <w:tc>
          <w:tcPr>
            <w:tcW w:w="6560" w:type="dxa"/>
            <w:vAlign w:val="bottom"/>
            <w:tcBorders>
              <w:top w:val="single" w:sz="8" w:color="B94831"/>
              <w:bottom w:val="single" w:sz="8" w:color="AFAFAF"/>
            </w:tcBorders>
          </w:tcPr>
          <w:p>
            <w:pPr>
              <w:jc w:val="center"/>
              <w:ind w:left="128"/>
              <w:spacing w:after="0"/>
              <w:rPr>
                <w:sz w:val="20"/>
                <w:szCs w:val="20"/>
                <w:color w:val="auto"/>
              </w:rPr>
            </w:pPr>
            <w:r>
              <w:rPr>
                <w:rFonts w:ascii="Arial" w:cs="Arial" w:eastAsia="Arial" w:hAnsi="Arial"/>
                <w:sz w:val="14"/>
                <w:szCs w:val="14"/>
                <w:color w:val="auto"/>
                <w:w w:val="96"/>
              </w:rPr>
              <w:t xml:space="preserve">57,699,115 </w:t>
            </w:r>
            <w:r>
              <w:rPr>
                <w:rFonts w:ascii="Arial" w:cs="Arial" w:eastAsia="Arial" w:hAnsi="Arial"/>
                <w:sz w:val="21"/>
                <w:szCs w:val="21"/>
                <w:color w:val="auto"/>
                <w:w w:val="96"/>
                <w:vertAlign w:val="superscript"/>
              </w:rPr>
              <w:t>(1)</w:t>
            </w:r>
          </w:p>
        </w:tc>
      </w:tr>
      <w:tr>
        <w:trPr>
          <w:trHeight w:val="198"/>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Common shares remaining for issuance</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11,451,854 (representing approximately 2.53% of our</w:t>
            </w:r>
          </w:p>
        </w:tc>
      </w:tr>
      <w:tr>
        <w:trPr>
          <w:trHeight w:val="189"/>
        </w:trPr>
        <w:tc>
          <w:tcPr>
            <w:tcW w:w="4360" w:type="dxa"/>
            <w:vAlign w:val="bottom"/>
            <w:tcBorders>
              <w:right w:val="single" w:sz="8" w:color="D1D1D1"/>
            </w:tcBorders>
          </w:tcPr>
          <w:p>
            <w:pPr>
              <w:spacing w:after="0"/>
              <w:rPr>
                <w:sz w:val="16"/>
                <w:szCs w:val="16"/>
                <w:color w:val="auto"/>
              </w:rPr>
            </w:pP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issued and outstanding shares as of year-end)</w:t>
            </w:r>
          </w:p>
        </w:tc>
      </w:tr>
      <w:tr>
        <w:trPr>
          <w:trHeight w:val="61"/>
        </w:trPr>
        <w:tc>
          <w:tcPr>
            <w:tcW w:w="4360" w:type="dxa"/>
            <w:vAlign w:val="bottom"/>
            <w:tcBorders>
              <w:bottom w:val="single" w:sz="8" w:color="AFAFAF"/>
              <w:right w:val="single" w:sz="8" w:color="D1D1D1"/>
            </w:tcBorders>
          </w:tcPr>
          <w:p>
            <w:pPr>
              <w:spacing w:after="0"/>
              <w:rPr>
                <w:sz w:val="5"/>
                <w:szCs w:val="5"/>
                <w:color w:val="auto"/>
              </w:rPr>
            </w:pPr>
          </w:p>
        </w:tc>
        <w:tc>
          <w:tcPr>
            <w:tcW w:w="6560" w:type="dxa"/>
            <w:vAlign w:val="bottom"/>
            <w:tcBorders>
              <w:bottom w:val="single" w:sz="8" w:color="AFAFAF"/>
            </w:tcBorders>
          </w:tcPr>
          <w:p>
            <w:pPr>
              <w:spacing w:after="0"/>
              <w:rPr>
                <w:sz w:val="5"/>
                <w:szCs w:val="5"/>
                <w:color w:val="auto"/>
              </w:rPr>
            </w:pPr>
          </w:p>
        </w:tc>
      </w:tr>
      <w:tr>
        <w:trPr>
          <w:trHeight w:val="198"/>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Stock options and RSUs outstanding</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2,992,331 (representing approximately 0.66% of our</w:t>
            </w:r>
          </w:p>
        </w:tc>
      </w:tr>
      <w:tr>
        <w:trPr>
          <w:trHeight w:val="189"/>
        </w:trPr>
        <w:tc>
          <w:tcPr>
            <w:tcW w:w="4360" w:type="dxa"/>
            <w:vAlign w:val="bottom"/>
            <w:tcBorders>
              <w:right w:val="single" w:sz="8" w:color="D1D1D1"/>
            </w:tcBorders>
          </w:tcPr>
          <w:p>
            <w:pPr>
              <w:spacing w:after="0"/>
              <w:rPr>
                <w:sz w:val="16"/>
                <w:szCs w:val="16"/>
                <w:color w:val="auto"/>
              </w:rPr>
            </w:pP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issued and outstanding shares as of year-end)</w:t>
            </w:r>
          </w:p>
        </w:tc>
      </w:tr>
      <w:tr>
        <w:trPr>
          <w:trHeight w:val="61"/>
        </w:trPr>
        <w:tc>
          <w:tcPr>
            <w:tcW w:w="4360" w:type="dxa"/>
            <w:vAlign w:val="bottom"/>
            <w:tcBorders>
              <w:bottom w:val="single" w:sz="8" w:color="AFAFAF"/>
              <w:right w:val="single" w:sz="8" w:color="D1D1D1"/>
            </w:tcBorders>
          </w:tcPr>
          <w:p>
            <w:pPr>
              <w:spacing w:after="0"/>
              <w:rPr>
                <w:sz w:val="5"/>
                <w:szCs w:val="5"/>
                <w:color w:val="auto"/>
              </w:rPr>
            </w:pPr>
          </w:p>
        </w:tc>
        <w:tc>
          <w:tcPr>
            <w:tcW w:w="6560" w:type="dxa"/>
            <w:vAlign w:val="bottom"/>
            <w:tcBorders>
              <w:bottom w:val="single" w:sz="8" w:color="AFAFAF"/>
            </w:tcBorders>
          </w:tcPr>
          <w:p>
            <w:pPr>
              <w:spacing w:after="0"/>
              <w:rPr>
                <w:sz w:val="5"/>
                <w:szCs w:val="5"/>
                <w:color w:val="auto"/>
              </w:rPr>
            </w:pPr>
          </w:p>
        </w:tc>
      </w:tr>
      <w:tr>
        <w:trPr>
          <w:trHeight w:val="198"/>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Common shares remaining for issuance less outstanding stock</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8,459,523 (representing approximately 1.87% of our</w:t>
            </w:r>
          </w:p>
        </w:tc>
      </w:tr>
      <w:tr>
        <w:trPr>
          <w:trHeight w:val="195"/>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options and RSUs</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issued and outstanding shares as of year-end)</w:t>
            </w:r>
          </w:p>
        </w:tc>
      </w:tr>
      <w:tr>
        <w:trPr>
          <w:trHeight w:val="55"/>
        </w:trPr>
        <w:tc>
          <w:tcPr>
            <w:tcW w:w="4360" w:type="dxa"/>
            <w:vAlign w:val="bottom"/>
            <w:tcBorders>
              <w:bottom w:val="single" w:sz="8" w:color="AFAFAF"/>
              <w:right w:val="single" w:sz="8" w:color="D1D1D1"/>
            </w:tcBorders>
          </w:tcPr>
          <w:p>
            <w:pPr>
              <w:spacing w:after="0"/>
              <w:rPr>
                <w:sz w:val="4"/>
                <w:szCs w:val="4"/>
                <w:color w:val="auto"/>
              </w:rPr>
            </w:pPr>
          </w:p>
        </w:tc>
        <w:tc>
          <w:tcPr>
            <w:tcW w:w="6560" w:type="dxa"/>
            <w:vAlign w:val="bottom"/>
            <w:tcBorders>
              <w:bottom w:val="single" w:sz="8" w:color="AFAFAF"/>
            </w:tcBorders>
          </w:tcPr>
          <w:p>
            <w:pPr>
              <w:spacing w:after="0"/>
              <w:rPr>
                <w:sz w:val="4"/>
                <w:szCs w:val="4"/>
                <w:color w:val="auto"/>
              </w:rPr>
            </w:pPr>
          </w:p>
        </w:tc>
      </w:tr>
      <w:tr>
        <w:trPr>
          <w:trHeight w:val="233"/>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Common shares issued and outstanding</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rPr>
              <w:t>452,962,832</w:t>
            </w:r>
          </w:p>
        </w:tc>
      </w:tr>
      <w:tr>
        <w:trPr>
          <w:trHeight w:val="42"/>
        </w:trPr>
        <w:tc>
          <w:tcPr>
            <w:tcW w:w="4360" w:type="dxa"/>
            <w:vAlign w:val="bottom"/>
            <w:tcBorders>
              <w:bottom w:val="single" w:sz="8" w:color="AFAFAF"/>
              <w:right w:val="single" w:sz="8" w:color="D1D1D1"/>
            </w:tcBorders>
          </w:tcPr>
          <w:p>
            <w:pPr>
              <w:spacing w:after="0"/>
              <w:rPr>
                <w:sz w:val="3"/>
                <w:szCs w:val="3"/>
                <w:color w:val="auto"/>
              </w:rPr>
            </w:pPr>
          </w:p>
        </w:tc>
        <w:tc>
          <w:tcPr>
            <w:tcW w:w="6560" w:type="dxa"/>
            <w:vAlign w:val="bottom"/>
            <w:tcBorders>
              <w:bottom w:val="single" w:sz="8" w:color="AFAFAF"/>
            </w:tcBorders>
          </w:tcPr>
          <w:p>
            <w:pPr>
              <w:spacing w:after="0"/>
              <w:rPr>
                <w:sz w:val="3"/>
                <w:szCs w:val="3"/>
                <w:color w:val="auto"/>
              </w:rPr>
            </w:pPr>
          </w:p>
        </w:tc>
      </w:tr>
      <w:tr>
        <w:trPr>
          <w:trHeight w:val="198"/>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Potential Dilution – the total number of all stock options and</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w w:val="96"/>
              </w:rPr>
              <w:t>          2.47%</w:t>
            </w:r>
          </w:p>
        </w:tc>
      </w:tr>
      <w:tr>
        <w:trPr>
          <w:trHeight w:val="160"/>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RSUs available for issue plus all stock options and RSUs</w:t>
            </w:r>
          </w:p>
        </w:tc>
        <w:tc>
          <w:tcPr>
            <w:tcW w:w="6560" w:type="dxa"/>
            <w:vAlign w:val="bottom"/>
          </w:tcPr>
          <w:p>
            <w:pPr>
              <w:spacing w:after="0"/>
              <w:rPr>
                <w:sz w:val="13"/>
                <w:szCs w:val="13"/>
                <w:color w:val="auto"/>
              </w:rPr>
            </w:pPr>
          </w:p>
        </w:tc>
      </w:tr>
      <w:tr>
        <w:trPr>
          <w:trHeight w:val="160"/>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outstanding, divided by the total weighted average of common</w:t>
            </w:r>
          </w:p>
        </w:tc>
        <w:tc>
          <w:tcPr>
            <w:tcW w:w="6560" w:type="dxa"/>
            <w:vAlign w:val="bottom"/>
          </w:tcPr>
          <w:p>
            <w:pPr>
              <w:spacing w:after="0"/>
              <w:rPr>
                <w:sz w:val="13"/>
                <w:szCs w:val="13"/>
                <w:color w:val="auto"/>
              </w:rPr>
            </w:pPr>
          </w:p>
        </w:tc>
      </w:tr>
      <w:tr>
        <w:trPr>
          <w:trHeight w:val="160"/>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shares outstanding during the year ended December 31, 2023</w:t>
            </w:r>
          </w:p>
        </w:tc>
        <w:tc>
          <w:tcPr>
            <w:tcW w:w="6560" w:type="dxa"/>
            <w:vAlign w:val="bottom"/>
          </w:tcPr>
          <w:p>
            <w:pPr>
              <w:spacing w:after="0"/>
              <w:rPr>
                <w:sz w:val="13"/>
                <w:szCs w:val="13"/>
                <w:color w:val="auto"/>
              </w:rPr>
            </w:pPr>
          </w:p>
        </w:tc>
      </w:tr>
      <w:tr>
        <w:trPr>
          <w:trHeight w:val="195"/>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of 463,175,043</w:t>
            </w:r>
          </w:p>
        </w:tc>
        <w:tc>
          <w:tcPr>
            <w:tcW w:w="6560" w:type="dxa"/>
            <w:vAlign w:val="bottom"/>
          </w:tcPr>
          <w:p>
            <w:pPr>
              <w:spacing w:after="0"/>
              <w:rPr>
                <w:sz w:val="16"/>
                <w:szCs w:val="16"/>
                <w:color w:val="auto"/>
              </w:rPr>
            </w:pPr>
          </w:p>
        </w:tc>
      </w:tr>
      <w:tr>
        <w:trPr>
          <w:trHeight w:val="42"/>
        </w:trPr>
        <w:tc>
          <w:tcPr>
            <w:tcW w:w="4360" w:type="dxa"/>
            <w:vAlign w:val="bottom"/>
            <w:tcBorders>
              <w:bottom w:val="single" w:sz="8" w:color="AFAFAF"/>
              <w:right w:val="single" w:sz="8" w:color="D1D1D1"/>
            </w:tcBorders>
          </w:tcPr>
          <w:p>
            <w:pPr>
              <w:spacing w:after="0"/>
              <w:rPr>
                <w:sz w:val="3"/>
                <w:szCs w:val="3"/>
                <w:color w:val="auto"/>
              </w:rPr>
            </w:pPr>
          </w:p>
        </w:tc>
        <w:tc>
          <w:tcPr>
            <w:tcW w:w="6560" w:type="dxa"/>
            <w:vAlign w:val="bottom"/>
            <w:tcBorders>
              <w:bottom w:val="single" w:sz="8" w:color="AFAFAF"/>
            </w:tcBorders>
          </w:tcPr>
          <w:p>
            <w:pPr>
              <w:spacing w:after="0"/>
              <w:rPr>
                <w:sz w:val="3"/>
                <w:szCs w:val="3"/>
                <w:color w:val="auto"/>
              </w:rPr>
            </w:pPr>
          </w:p>
        </w:tc>
      </w:tr>
      <w:tr>
        <w:trPr>
          <w:trHeight w:val="198"/>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Full Dilution – the total number of all stock options and RSUs</w:t>
            </w:r>
          </w:p>
        </w:tc>
        <w:tc>
          <w:tcPr>
            <w:tcW w:w="6560" w:type="dxa"/>
            <w:vAlign w:val="bottom"/>
          </w:tcPr>
          <w:p>
            <w:pPr>
              <w:jc w:val="center"/>
              <w:ind w:left="128"/>
              <w:spacing w:after="0"/>
              <w:rPr>
                <w:sz w:val="20"/>
                <w:szCs w:val="20"/>
                <w:color w:val="auto"/>
              </w:rPr>
            </w:pPr>
            <w:r>
              <w:rPr>
                <w:rFonts w:ascii="Arial" w:cs="Arial" w:eastAsia="Arial" w:hAnsi="Arial"/>
                <w:sz w:val="14"/>
                <w:szCs w:val="14"/>
                <w:color w:val="auto"/>
                <w:w w:val="96"/>
              </w:rPr>
              <w:t>          2.41%</w:t>
            </w:r>
          </w:p>
        </w:tc>
      </w:tr>
      <w:tr>
        <w:trPr>
          <w:trHeight w:val="160"/>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available for issue plus all stock options and RSUs</w:t>
            </w:r>
          </w:p>
        </w:tc>
        <w:tc>
          <w:tcPr>
            <w:tcW w:w="6560" w:type="dxa"/>
            <w:vAlign w:val="bottom"/>
          </w:tcPr>
          <w:p>
            <w:pPr>
              <w:spacing w:after="0"/>
              <w:rPr>
                <w:sz w:val="13"/>
                <w:szCs w:val="13"/>
                <w:color w:val="auto"/>
              </w:rPr>
            </w:pPr>
          </w:p>
        </w:tc>
      </w:tr>
      <w:tr>
        <w:trPr>
          <w:trHeight w:val="160"/>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outstanding, divided by the total weighted average of common</w:t>
            </w:r>
          </w:p>
        </w:tc>
        <w:tc>
          <w:tcPr>
            <w:tcW w:w="6560" w:type="dxa"/>
            <w:vAlign w:val="bottom"/>
          </w:tcPr>
          <w:p>
            <w:pPr>
              <w:spacing w:after="0"/>
              <w:rPr>
                <w:sz w:val="13"/>
                <w:szCs w:val="13"/>
                <w:color w:val="auto"/>
              </w:rPr>
            </w:pPr>
          </w:p>
        </w:tc>
      </w:tr>
      <w:tr>
        <w:trPr>
          <w:trHeight w:val="160"/>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shares outstanding during the year plus all stock options and</w:t>
            </w:r>
          </w:p>
        </w:tc>
        <w:tc>
          <w:tcPr>
            <w:tcW w:w="6560" w:type="dxa"/>
            <w:vAlign w:val="bottom"/>
          </w:tcPr>
          <w:p>
            <w:pPr>
              <w:spacing w:after="0"/>
              <w:rPr>
                <w:sz w:val="13"/>
                <w:szCs w:val="13"/>
                <w:color w:val="auto"/>
              </w:rPr>
            </w:pPr>
          </w:p>
        </w:tc>
      </w:tr>
      <w:tr>
        <w:trPr>
          <w:trHeight w:val="195"/>
        </w:trPr>
        <w:tc>
          <w:tcPr>
            <w:tcW w:w="4360" w:type="dxa"/>
            <w:vAlign w:val="bottom"/>
            <w:tcBorders>
              <w:right w:val="single" w:sz="8" w:color="D1D1D1"/>
            </w:tcBorders>
          </w:tcPr>
          <w:p>
            <w:pPr>
              <w:spacing w:after="0"/>
              <w:rPr>
                <w:sz w:val="20"/>
                <w:szCs w:val="20"/>
                <w:color w:val="auto"/>
              </w:rPr>
            </w:pPr>
            <w:r>
              <w:rPr>
                <w:rFonts w:ascii="Arial" w:cs="Arial" w:eastAsia="Arial" w:hAnsi="Arial"/>
                <w:sz w:val="14"/>
                <w:szCs w:val="14"/>
                <w:b w:val="1"/>
                <w:bCs w:val="1"/>
                <w:color w:val="auto"/>
              </w:rPr>
              <w:t>RSUs outstanding and available for issue</w:t>
            </w:r>
          </w:p>
        </w:tc>
        <w:tc>
          <w:tcPr>
            <w:tcW w:w="6560" w:type="dxa"/>
            <w:vAlign w:val="bottom"/>
          </w:tcPr>
          <w:p>
            <w:pPr>
              <w:spacing w:after="0"/>
              <w:rPr>
                <w:sz w:val="16"/>
                <w:szCs w:val="16"/>
                <w:color w:val="auto"/>
              </w:rPr>
            </w:pPr>
          </w:p>
        </w:tc>
      </w:tr>
      <w:tr>
        <w:trPr>
          <w:trHeight w:val="42"/>
        </w:trPr>
        <w:tc>
          <w:tcPr>
            <w:tcW w:w="4360" w:type="dxa"/>
            <w:vAlign w:val="bottom"/>
            <w:tcBorders>
              <w:bottom w:val="single" w:sz="8" w:color="B94831"/>
              <w:right w:val="single" w:sz="8" w:color="D1D1D1"/>
            </w:tcBorders>
          </w:tcPr>
          <w:p>
            <w:pPr>
              <w:spacing w:after="0"/>
              <w:rPr>
                <w:sz w:val="3"/>
                <w:szCs w:val="3"/>
                <w:color w:val="auto"/>
              </w:rPr>
            </w:pPr>
          </w:p>
        </w:tc>
        <w:tc>
          <w:tcPr>
            <w:tcW w:w="6560" w:type="dxa"/>
            <w:vAlign w:val="bottom"/>
            <w:tcBorders>
              <w:bottom w:val="single" w:sz="8" w:color="B94831"/>
            </w:tcBorders>
          </w:tcPr>
          <w:p>
            <w:pPr>
              <w:spacing w:after="0"/>
              <w:rPr>
                <w:sz w:val="3"/>
                <w:szCs w:val="3"/>
                <w:color w:val="auto"/>
              </w:rPr>
            </w:pPr>
          </w:p>
        </w:tc>
      </w:tr>
    </w:tbl>
    <w:p>
      <w:pPr>
        <w:spacing w:after="0" w:line="108" w:lineRule="exact"/>
        <w:rPr>
          <w:sz w:val="20"/>
          <w:szCs w:val="20"/>
          <w:color w:val="auto"/>
        </w:rPr>
      </w:pPr>
    </w:p>
    <w:p>
      <w:pPr>
        <w:ind w:left="480" w:right="20" w:hanging="313"/>
        <w:spacing w:after="0" w:line="262" w:lineRule="auto"/>
        <w:tabs>
          <w:tab w:leader="none" w:pos="4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Of the 57,699,115 common shares reflected as being issued under the plan as of December 31, 2023, only 29,384,564 common shares have been actually issued due to net settlement of RSUs and various stock options. When RSUs vest or stock options are exercised, our company deducts the gross amount of the underlying securities from the plan’s share reserve.</w:t>
      </w:r>
    </w:p>
    <w:p>
      <w:pPr>
        <w:spacing w:after="0" w:line="216"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We believe that our stock incentive plan grant practices are conservative relative to applicable benchmarks and our compensation peer group. The following table provides information as of the end of each year indicated related to the stock incentive plan’s share usage, burn rates and potential dilution.</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6420" w:type="dxa"/>
            <w:vAlign w:val="bottom"/>
            <w:tcBorders>
              <w:right w:val="single" w:sz="8" w:color="BFBFBF"/>
            </w:tcBorders>
          </w:tcPr>
          <w:p>
            <w:pPr>
              <w:spacing w:after="0"/>
              <w:rPr>
                <w:sz w:val="21"/>
                <w:szCs w:val="21"/>
                <w:color w:val="auto"/>
              </w:rPr>
            </w:pPr>
          </w:p>
        </w:tc>
        <w:tc>
          <w:tcPr>
            <w:tcW w:w="1160" w:type="dxa"/>
            <w:vAlign w:val="bottom"/>
            <w:tcBorders>
              <w:bottom w:val="single" w:sz="8" w:color="BFBFBF"/>
              <w:right w:val="single" w:sz="8" w:color="BFBFBF"/>
            </w:tcBorders>
            <w:shd w:val="clear" w:color="auto" w:fill="BFBFBF"/>
          </w:tcPr>
          <w:p>
            <w:pPr>
              <w:spacing w:after="0"/>
              <w:rPr>
                <w:sz w:val="21"/>
                <w:szCs w:val="21"/>
                <w:color w:val="auto"/>
              </w:rPr>
            </w:pPr>
          </w:p>
        </w:tc>
        <w:tc>
          <w:tcPr>
            <w:tcW w:w="1680" w:type="dxa"/>
            <w:vAlign w:val="bottom"/>
            <w:tcBorders>
              <w:bottom w:val="single" w:sz="8" w:color="BFBFBF"/>
              <w:right w:val="single" w:sz="8" w:color="BFBFBF"/>
            </w:tcBorders>
            <w:shd w:val="clear" w:color="auto" w:fill="BFBFBF"/>
          </w:tcPr>
          <w:p>
            <w:pPr>
              <w:jc w:val="right"/>
              <w:spacing w:after="0"/>
              <w:rPr>
                <w:sz w:val="20"/>
                <w:szCs w:val="20"/>
                <w:color w:val="auto"/>
              </w:rPr>
            </w:pPr>
            <w:r>
              <w:rPr>
                <w:rFonts w:ascii="Arial" w:cs="Arial" w:eastAsia="Arial" w:hAnsi="Arial"/>
                <w:sz w:val="15"/>
                <w:szCs w:val="15"/>
                <w:b w:val="1"/>
                <w:bCs w:val="1"/>
                <w:color w:val="auto"/>
              </w:rPr>
              <w:t>As of December 31,</w:t>
            </w:r>
          </w:p>
        </w:tc>
        <w:tc>
          <w:tcPr>
            <w:tcW w:w="1660" w:type="dxa"/>
            <w:vAlign w:val="bottom"/>
            <w:tcBorders>
              <w:bottom w:val="single" w:sz="8" w:color="BFBFBF"/>
            </w:tcBorders>
            <w:shd w:val="clear" w:color="auto" w:fill="BFBFBF"/>
          </w:tcPr>
          <w:p>
            <w:pPr>
              <w:spacing w:after="0"/>
              <w:rPr>
                <w:sz w:val="21"/>
                <w:szCs w:val="21"/>
                <w:color w:val="auto"/>
              </w:rPr>
            </w:pPr>
          </w:p>
        </w:tc>
      </w:tr>
      <w:tr>
        <w:trPr>
          <w:trHeight w:val="267"/>
        </w:trPr>
        <w:tc>
          <w:tcPr>
            <w:tcW w:w="6420" w:type="dxa"/>
            <w:vAlign w:val="bottom"/>
            <w:tcBorders>
              <w:right w:val="single" w:sz="8" w:color="262626"/>
            </w:tcBorders>
          </w:tcPr>
          <w:p>
            <w:pPr>
              <w:spacing w:after="0"/>
              <w:rPr>
                <w:sz w:val="23"/>
                <w:szCs w:val="23"/>
                <w:color w:val="auto"/>
              </w:rPr>
            </w:pPr>
          </w:p>
        </w:tc>
        <w:tc>
          <w:tcPr>
            <w:tcW w:w="1160" w:type="dxa"/>
            <w:vAlign w:val="bottom"/>
            <w:tcBorders>
              <w:bottom w:val="single" w:sz="8" w:color="262626"/>
              <w:right w:val="single" w:sz="8" w:color="262626"/>
            </w:tcBorders>
            <w:shd w:val="clear" w:color="auto" w:fill="262626"/>
          </w:tcPr>
          <w:p>
            <w:pPr>
              <w:jc w:val="right"/>
              <w:ind w:right="388"/>
              <w:spacing w:after="0"/>
              <w:rPr>
                <w:sz w:val="20"/>
                <w:szCs w:val="20"/>
                <w:color w:val="auto"/>
              </w:rPr>
            </w:pPr>
            <w:r>
              <w:rPr>
                <w:rFonts w:ascii="Arial" w:cs="Arial" w:eastAsia="Arial" w:hAnsi="Arial"/>
                <w:sz w:val="15"/>
                <w:szCs w:val="15"/>
                <w:b w:val="1"/>
                <w:bCs w:val="1"/>
                <w:color w:val="FFFFFF"/>
              </w:rPr>
              <w:t>2023</w:t>
            </w:r>
          </w:p>
        </w:tc>
        <w:tc>
          <w:tcPr>
            <w:tcW w:w="1680" w:type="dxa"/>
            <w:vAlign w:val="bottom"/>
            <w:tcBorders>
              <w:bottom w:val="single" w:sz="8" w:color="262626"/>
              <w:right w:val="single" w:sz="8" w:color="262626"/>
            </w:tcBorders>
            <w:shd w:val="clear" w:color="auto" w:fill="262626"/>
          </w:tcPr>
          <w:p>
            <w:pPr>
              <w:jc w:val="right"/>
              <w:ind w:right="607"/>
              <w:spacing w:after="0"/>
              <w:rPr>
                <w:sz w:val="20"/>
                <w:szCs w:val="20"/>
                <w:color w:val="auto"/>
              </w:rPr>
            </w:pPr>
            <w:r>
              <w:rPr>
                <w:rFonts w:ascii="Arial" w:cs="Arial" w:eastAsia="Arial" w:hAnsi="Arial"/>
                <w:sz w:val="15"/>
                <w:szCs w:val="15"/>
                <w:b w:val="1"/>
                <w:bCs w:val="1"/>
                <w:color w:val="FFFFFF"/>
              </w:rPr>
              <w:t>2022</w:t>
            </w:r>
          </w:p>
        </w:tc>
        <w:tc>
          <w:tcPr>
            <w:tcW w:w="1660" w:type="dxa"/>
            <w:vAlign w:val="bottom"/>
            <w:tcBorders>
              <w:bottom w:val="single" w:sz="8" w:color="262626"/>
            </w:tcBorders>
            <w:shd w:val="clear" w:color="auto" w:fill="262626"/>
          </w:tcPr>
          <w:p>
            <w:pPr>
              <w:jc w:val="right"/>
              <w:ind w:right="568"/>
              <w:spacing w:after="0"/>
              <w:rPr>
                <w:sz w:val="20"/>
                <w:szCs w:val="20"/>
                <w:color w:val="auto"/>
              </w:rPr>
            </w:pPr>
            <w:r>
              <w:rPr>
                <w:rFonts w:ascii="Arial" w:cs="Arial" w:eastAsia="Arial" w:hAnsi="Arial"/>
                <w:sz w:val="15"/>
                <w:szCs w:val="15"/>
                <w:b w:val="1"/>
                <w:bCs w:val="1"/>
                <w:color w:val="FFFFFF"/>
              </w:rPr>
              <w:t>2021</w:t>
            </w:r>
          </w:p>
        </w:tc>
      </w:tr>
      <w:tr>
        <w:trPr>
          <w:trHeight w:val="238"/>
        </w:trPr>
        <w:tc>
          <w:tcPr>
            <w:tcW w:w="642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Share usage – </w:t>
            </w:r>
            <w:r>
              <w:rPr>
                <w:rFonts w:ascii="Arial" w:cs="Arial" w:eastAsia="Arial" w:hAnsi="Arial"/>
                <w:sz w:val="14"/>
                <w:szCs w:val="14"/>
                <w:color w:val="auto"/>
              </w:rPr>
              <w:t>the total number of shares issued pursuant to stock options and RSUs during the</w:t>
            </w:r>
          </w:p>
        </w:tc>
        <w:tc>
          <w:tcPr>
            <w:tcW w:w="1160" w:type="dxa"/>
            <w:vAlign w:val="bottom"/>
            <w:tcBorders>
              <w:top w:val="single" w:sz="8" w:color="B94831"/>
              <w:right w:val="single" w:sz="8" w:color="AFAFAF"/>
            </w:tcBorders>
          </w:tcPr>
          <w:p>
            <w:pPr>
              <w:spacing w:after="0"/>
              <w:rPr>
                <w:sz w:val="20"/>
                <w:szCs w:val="20"/>
                <w:color w:val="auto"/>
              </w:rPr>
            </w:pPr>
          </w:p>
        </w:tc>
        <w:tc>
          <w:tcPr>
            <w:tcW w:w="1680" w:type="dxa"/>
            <w:vAlign w:val="bottom"/>
            <w:tcBorders>
              <w:top w:val="single" w:sz="8" w:color="B94831"/>
              <w:right w:val="single" w:sz="8" w:color="AFAFAF"/>
            </w:tcBorders>
          </w:tcPr>
          <w:p>
            <w:pPr>
              <w:spacing w:after="0"/>
              <w:rPr>
                <w:sz w:val="20"/>
                <w:szCs w:val="20"/>
                <w:color w:val="auto"/>
              </w:rPr>
            </w:pPr>
          </w:p>
        </w:tc>
        <w:tc>
          <w:tcPr>
            <w:tcW w:w="1660" w:type="dxa"/>
            <w:vAlign w:val="bottom"/>
            <w:tcBorders>
              <w:top w:val="single" w:sz="8" w:color="B94831"/>
            </w:tcBorders>
          </w:tcPr>
          <w:p>
            <w:pPr>
              <w:spacing w:after="0"/>
              <w:rPr>
                <w:sz w:val="20"/>
                <w:szCs w:val="20"/>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applicable year, divided by the total weighted average of common shares outstanding during the year</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0.19%</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0.23%</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0.22%</w:t>
            </w:r>
          </w:p>
        </w:tc>
      </w:tr>
      <w:tr>
        <w:trPr>
          <w:trHeight w:val="88"/>
        </w:trPr>
        <w:tc>
          <w:tcPr>
            <w:tcW w:w="6420" w:type="dxa"/>
            <w:vAlign w:val="bottom"/>
            <w:tcBorders>
              <w:bottom w:val="single" w:sz="8" w:color="AFAFAF"/>
              <w:right w:val="single" w:sz="8" w:color="AFAFAF"/>
            </w:tcBorders>
          </w:tcPr>
          <w:p>
            <w:pPr>
              <w:spacing w:after="0"/>
              <w:rPr>
                <w:sz w:val="7"/>
                <w:szCs w:val="7"/>
                <w:color w:val="auto"/>
              </w:rPr>
            </w:pPr>
          </w:p>
        </w:tc>
        <w:tc>
          <w:tcPr>
            <w:tcW w:w="1160" w:type="dxa"/>
            <w:vAlign w:val="bottom"/>
            <w:tcBorders>
              <w:bottom w:val="single" w:sz="8" w:color="AFAFAF"/>
              <w:right w:val="single" w:sz="8" w:color="AFAFAF"/>
            </w:tcBorders>
          </w:tcPr>
          <w:p>
            <w:pPr>
              <w:spacing w:after="0"/>
              <w:rPr>
                <w:sz w:val="7"/>
                <w:szCs w:val="7"/>
                <w:color w:val="auto"/>
              </w:rPr>
            </w:pPr>
          </w:p>
        </w:tc>
        <w:tc>
          <w:tcPr>
            <w:tcW w:w="1680" w:type="dxa"/>
            <w:vAlign w:val="bottom"/>
            <w:tcBorders>
              <w:bottom w:val="single" w:sz="8" w:color="AFAFAF"/>
              <w:right w:val="single" w:sz="8" w:color="AFAFAF"/>
            </w:tcBorders>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r>
      <w:tr>
        <w:trPr>
          <w:trHeight w:val="238"/>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Burn rate – </w:t>
            </w:r>
            <w:r>
              <w:rPr>
                <w:rFonts w:ascii="Arial" w:cs="Arial" w:eastAsia="Arial" w:hAnsi="Arial"/>
                <w:sz w:val="14"/>
                <w:szCs w:val="14"/>
                <w:color w:val="auto"/>
              </w:rPr>
              <w:t>the total number of stock options and RSUs granted in the applicable year, divided by</w:t>
            </w:r>
          </w:p>
        </w:tc>
        <w:tc>
          <w:tcPr>
            <w:tcW w:w="1160" w:type="dxa"/>
            <w:vAlign w:val="bottom"/>
            <w:tcBorders>
              <w:right w:val="single" w:sz="8" w:color="AFAFAF"/>
            </w:tcBorders>
          </w:tcPr>
          <w:p>
            <w:pPr>
              <w:spacing w:after="0"/>
              <w:rPr>
                <w:sz w:val="20"/>
                <w:szCs w:val="20"/>
                <w:color w:val="auto"/>
              </w:rPr>
            </w:pPr>
          </w:p>
        </w:tc>
        <w:tc>
          <w:tcPr>
            <w:tcW w:w="1680" w:type="dxa"/>
            <w:vAlign w:val="bottom"/>
            <w:tcBorders>
              <w:right w:val="single" w:sz="8" w:color="AFAFAF"/>
            </w:tcBorders>
          </w:tcPr>
          <w:p>
            <w:pPr>
              <w:spacing w:after="0"/>
              <w:rPr>
                <w:sz w:val="20"/>
                <w:szCs w:val="20"/>
                <w:color w:val="auto"/>
              </w:rPr>
            </w:pPr>
          </w:p>
        </w:tc>
        <w:tc>
          <w:tcPr>
            <w:tcW w:w="1660" w:type="dxa"/>
            <w:vAlign w:val="bottom"/>
          </w:tcPr>
          <w:p>
            <w:pPr>
              <w:spacing w:after="0"/>
              <w:rPr>
                <w:sz w:val="20"/>
                <w:szCs w:val="20"/>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the total weighted average of common shares outstanding during the year</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0.20%</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0.28%</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0.28%</w:t>
            </w:r>
          </w:p>
        </w:tc>
      </w:tr>
      <w:tr>
        <w:trPr>
          <w:trHeight w:val="88"/>
        </w:trPr>
        <w:tc>
          <w:tcPr>
            <w:tcW w:w="6420" w:type="dxa"/>
            <w:vAlign w:val="bottom"/>
            <w:tcBorders>
              <w:bottom w:val="single" w:sz="8" w:color="AFAFAF"/>
              <w:right w:val="single" w:sz="8" w:color="AFAFAF"/>
            </w:tcBorders>
          </w:tcPr>
          <w:p>
            <w:pPr>
              <w:spacing w:after="0"/>
              <w:rPr>
                <w:sz w:val="7"/>
                <w:szCs w:val="7"/>
                <w:color w:val="auto"/>
              </w:rPr>
            </w:pPr>
          </w:p>
        </w:tc>
        <w:tc>
          <w:tcPr>
            <w:tcW w:w="1160" w:type="dxa"/>
            <w:vAlign w:val="bottom"/>
            <w:tcBorders>
              <w:bottom w:val="single" w:sz="8" w:color="AFAFAF"/>
              <w:right w:val="single" w:sz="8" w:color="AFAFAF"/>
            </w:tcBorders>
          </w:tcPr>
          <w:p>
            <w:pPr>
              <w:spacing w:after="0"/>
              <w:rPr>
                <w:sz w:val="7"/>
                <w:szCs w:val="7"/>
                <w:color w:val="auto"/>
              </w:rPr>
            </w:pPr>
          </w:p>
        </w:tc>
        <w:tc>
          <w:tcPr>
            <w:tcW w:w="1680" w:type="dxa"/>
            <w:vAlign w:val="bottom"/>
            <w:tcBorders>
              <w:bottom w:val="single" w:sz="8" w:color="AFAFAF"/>
              <w:right w:val="single" w:sz="8" w:color="AFAFAF"/>
            </w:tcBorders>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r>
      <w:tr>
        <w:trPr>
          <w:trHeight w:val="238"/>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Potential Dilution – </w:t>
            </w:r>
            <w:r>
              <w:rPr>
                <w:rFonts w:ascii="Arial" w:cs="Arial" w:eastAsia="Arial" w:hAnsi="Arial"/>
                <w:sz w:val="14"/>
                <w:szCs w:val="14"/>
                <w:color w:val="auto"/>
              </w:rPr>
              <w:t>the total number of all stock options and RSUs available for issue plus all stock</w:t>
            </w:r>
          </w:p>
        </w:tc>
        <w:tc>
          <w:tcPr>
            <w:tcW w:w="1160" w:type="dxa"/>
            <w:vAlign w:val="bottom"/>
            <w:tcBorders>
              <w:right w:val="single" w:sz="8" w:color="AFAFAF"/>
            </w:tcBorders>
          </w:tcPr>
          <w:p>
            <w:pPr>
              <w:spacing w:after="0"/>
              <w:rPr>
                <w:sz w:val="20"/>
                <w:szCs w:val="20"/>
                <w:color w:val="auto"/>
              </w:rPr>
            </w:pPr>
          </w:p>
        </w:tc>
        <w:tc>
          <w:tcPr>
            <w:tcW w:w="1680" w:type="dxa"/>
            <w:vAlign w:val="bottom"/>
            <w:tcBorders>
              <w:right w:val="single" w:sz="8" w:color="AFAFAF"/>
            </w:tcBorders>
          </w:tcPr>
          <w:p>
            <w:pPr>
              <w:spacing w:after="0"/>
              <w:rPr>
                <w:sz w:val="20"/>
                <w:szCs w:val="20"/>
                <w:color w:val="auto"/>
              </w:rPr>
            </w:pPr>
          </w:p>
        </w:tc>
        <w:tc>
          <w:tcPr>
            <w:tcW w:w="1660" w:type="dxa"/>
            <w:vAlign w:val="bottom"/>
          </w:tcPr>
          <w:p>
            <w:pPr>
              <w:spacing w:after="0"/>
              <w:rPr>
                <w:sz w:val="20"/>
                <w:szCs w:val="20"/>
                <w:color w:val="auto"/>
              </w:rPr>
            </w:pPr>
          </w:p>
        </w:tc>
      </w:tr>
      <w:tr>
        <w:trPr>
          <w:trHeight w:val="160"/>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options and RSUs outstanding, divided by the total weighted average of common shares outstanding</w:t>
            </w:r>
          </w:p>
        </w:tc>
        <w:tc>
          <w:tcPr>
            <w:tcW w:w="1160" w:type="dxa"/>
            <w:vAlign w:val="bottom"/>
            <w:tcBorders>
              <w:right w:val="single" w:sz="8" w:color="AFAFAF"/>
            </w:tcBorders>
          </w:tcPr>
          <w:p>
            <w:pPr>
              <w:spacing w:after="0"/>
              <w:rPr>
                <w:sz w:val="13"/>
                <w:szCs w:val="13"/>
                <w:color w:val="auto"/>
              </w:rPr>
            </w:pPr>
          </w:p>
        </w:tc>
        <w:tc>
          <w:tcPr>
            <w:tcW w:w="1680" w:type="dxa"/>
            <w:vAlign w:val="bottom"/>
            <w:tcBorders>
              <w:right w:val="single" w:sz="8" w:color="AFAFAF"/>
            </w:tcBorders>
          </w:tcPr>
          <w:p>
            <w:pPr>
              <w:spacing w:after="0"/>
              <w:rPr>
                <w:sz w:val="13"/>
                <w:szCs w:val="13"/>
                <w:color w:val="auto"/>
              </w:rPr>
            </w:pPr>
          </w:p>
        </w:tc>
        <w:tc>
          <w:tcPr>
            <w:tcW w:w="1660" w:type="dxa"/>
            <w:vAlign w:val="bottom"/>
          </w:tcPr>
          <w:p>
            <w:pPr>
              <w:spacing w:after="0"/>
              <w:rPr>
                <w:sz w:val="13"/>
                <w:szCs w:val="13"/>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during the year</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2.47%</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2.72%</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3.07%</w:t>
            </w:r>
          </w:p>
        </w:tc>
      </w:tr>
      <w:tr>
        <w:trPr>
          <w:trHeight w:val="88"/>
        </w:trPr>
        <w:tc>
          <w:tcPr>
            <w:tcW w:w="6420" w:type="dxa"/>
            <w:vAlign w:val="bottom"/>
            <w:tcBorders>
              <w:bottom w:val="single" w:sz="8" w:color="AFAFAF"/>
              <w:right w:val="single" w:sz="8" w:color="AFAFAF"/>
            </w:tcBorders>
          </w:tcPr>
          <w:p>
            <w:pPr>
              <w:spacing w:after="0"/>
              <w:rPr>
                <w:sz w:val="7"/>
                <w:szCs w:val="7"/>
                <w:color w:val="auto"/>
              </w:rPr>
            </w:pPr>
          </w:p>
        </w:tc>
        <w:tc>
          <w:tcPr>
            <w:tcW w:w="1160" w:type="dxa"/>
            <w:vAlign w:val="bottom"/>
            <w:tcBorders>
              <w:bottom w:val="single" w:sz="8" w:color="AFAFAF"/>
              <w:right w:val="single" w:sz="8" w:color="AFAFAF"/>
            </w:tcBorders>
          </w:tcPr>
          <w:p>
            <w:pPr>
              <w:spacing w:after="0"/>
              <w:rPr>
                <w:sz w:val="7"/>
                <w:szCs w:val="7"/>
                <w:color w:val="auto"/>
              </w:rPr>
            </w:pPr>
          </w:p>
        </w:tc>
        <w:tc>
          <w:tcPr>
            <w:tcW w:w="1680" w:type="dxa"/>
            <w:vAlign w:val="bottom"/>
            <w:tcBorders>
              <w:bottom w:val="single" w:sz="8" w:color="AFAFAF"/>
              <w:right w:val="single" w:sz="8" w:color="AFAFAF"/>
            </w:tcBorders>
          </w:tcPr>
          <w:p>
            <w:pPr>
              <w:spacing w:after="0"/>
              <w:rPr>
                <w:sz w:val="7"/>
                <w:szCs w:val="7"/>
                <w:color w:val="auto"/>
              </w:rPr>
            </w:pPr>
          </w:p>
        </w:tc>
        <w:tc>
          <w:tcPr>
            <w:tcW w:w="1660" w:type="dxa"/>
            <w:vAlign w:val="bottom"/>
            <w:tcBorders>
              <w:bottom w:val="single" w:sz="8" w:color="AFAFAF"/>
            </w:tcBorders>
          </w:tcPr>
          <w:p>
            <w:pPr>
              <w:spacing w:after="0"/>
              <w:rPr>
                <w:sz w:val="7"/>
                <w:szCs w:val="7"/>
                <w:color w:val="auto"/>
              </w:rPr>
            </w:pPr>
          </w:p>
        </w:tc>
      </w:tr>
      <w:tr>
        <w:trPr>
          <w:trHeight w:val="238"/>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Full Dilution – </w:t>
            </w:r>
            <w:r>
              <w:rPr>
                <w:rFonts w:ascii="Arial" w:cs="Arial" w:eastAsia="Arial" w:hAnsi="Arial"/>
                <w:sz w:val="14"/>
                <w:szCs w:val="14"/>
                <w:color w:val="auto"/>
              </w:rPr>
              <w:t>the total number of all stock options and RSUs available for issue plus all stock</w:t>
            </w:r>
          </w:p>
        </w:tc>
        <w:tc>
          <w:tcPr>
            <w:tcW w:w="1160" w:type="dxa"/>
            <w:vAlign w:val="bottom"/>
            <w:tcBorders>
              <w:right w:val="single" w:sz="8" w:color="AFAFAF"/>
            </w:tcBorders>
          </w:tcPr>
          <w:p>
            <w:pPr>
              <w:spacing w:after="0"/>
              <w:rPr>
                <w:sz w:val="20"/>
                <w:szCs w:val="20"/>
                <w:color w:val="auto"/>
              </w:rPr>
            </w:pPr>
          </w:p>
        </w:tc>
        <w:tc>
          <w:tcPr>
            <w:tcW w:w="1680" w:type="dxa"/>
            <w:vAlign w:val="bottom"/>
            <w:tcBorders>
              <w:right w:val="single" w:sz="8" w:color="AFAFAF"/>
            </w:tcBorders>
          </w:tcPr>
          <w:p>
            <w:pPr>
              <w:spacing w:after="0"/>
              <w:rPr>
                <w:sz w:val="20"/>
                <w:szCs w:val="20"/>
                <w:color w:val="auto"/>
              </w:rPr>
            </w:pPr>
          </w:p>
        </w:tc>
        <w:tc>
          <w:tcPr>
            <w:tcW w:w="1660" w:type="dxa"/>
            <w:vAlign w:val="bottom"/>
          </w:tcPr>
          <w:p>
            <w:pPr>
              <w:spacing w:after="0"/>
              <w:rPr>
                <w:sz w:val="20"/>
                <w:szCs w:val="20"/>
                <w:color w:val="auto"/>
              </w:rPr>
            </w:pPr>
          </w:p>
        </w:tc>
      </w:tr>
      <w:tr>
        <w:trPr>
          <w:trHeight w:val="160"/>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options and RSUs outstanding, divided by the total weighted average of common shares outstanding</w:t>
            </w:r>
          </w:p>
        </w:tc>
        <w:tc>
          <w:tcPr>
            <w:tcW w:w="1160" w:type="dxa"/>
            <w:vAlign w:val="bottom"/>
            <w:tcBorders>
              <w:right w:val="single" w:sz="8" w:color="AFAFAF"/>
            </w:tcBorders>
          </w:tcPr>
          <w:p>
            <w:pPr>
              <w:spacing w:after="0"/>
              <w:rPr>
                <w:sz w:val="13"/>
                <w:szCs w:val="13"/>
                <w:color w:val="auto"/>
              </w:rPr>
            </w:pPr>
          </w:p>
        </w:tc>
        <w:tc>
          <w:tcPr>
            <w:tcW w:w="1680" w:type="dxa"/>
            <w:vAlign w:val="bottom"/>
            <w:tcBorders>
              <w:right w:val="single" w:sz="8" w:color="AFAFAF"/>
            </w:tcBorders>
          </w:tcPr>
          <w:p>
            <w:pPr>
              <w:spacing w:after="0"/>
              <w:rPr>
                <w:sz w:val="13"/>
                <w:szCs w:val="13"/>
                <w:color w:val="auto"/>
              </w:rPr>
            </w:pPr>
          </w:p>
        </w:tc>
        <w:tc>
          <w:tcPr>
            <w:tcW w:w="1660" w:type="dxa"/>
            <w:vAlign w:val="bottom"/>
          </w:tcPr>
          <w:p>
            <w:pPr>
              <w:spacing w:after="0"/>
              <w:rPr>
                <w:sz w:val="13"/>
                <w:szCs w:val="13"/>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during the year plus all stock options and RSUs outstanding and available for issue</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2.41%</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2.65%</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2.98%</w:t>
            </w:r>
          </w:p>
        </w:tc>
      </w:tr>
      <w:tr>
        <w:trPr>
          <w:trHeight w:val="88"/>
        </w:trPr>
        <w:tc>
          <w:tcPr>
            <w:tcW w:w="6420" w:type="dxa"/>
            <w:vAlign w:val="bottom"/>
            <w:tcBorders>
              <w:bottom w:val="single" w:sz="8" w:color="B94831"/>
              <w:right w:val="single" w:sz="8" w:color="AFAFAF"/>
            </w:tcBorders>
          </w:tcPr>
          <w:p>
            <w:pPr>
              <w:spacing w:after="0"/>
              <w:rPr>
                <w:sz w:val="7"/>
                <w:szCs w:val="7"/>
                <w:color w:val="auto"/>
              </w:rPr>
            </w:pPr>
          </w:p>
        </w:tc>
        <w:tc>
          <w:tcPr>
            <w:tcW w:w="1160" w:type="dxa"/>
            <w:vAlign w:val="bottom"/>
            <w:tcBorders>
              <w:bottom w:val="single" w:sz="8" w:color="B94831"/>
              <w:right w:val="single" w:sz="8" w:color="AFAFAF"/>
            </w:tcBorders>
          </w:tcPr>
          <w:p>
            <w:pPr>
              <w:spacing w:after="0"/>
              <w:rPr>
                <w:sz w:val="7"/>
                <w:szCs w:val="7"/>
                <w:color w:val="auto"/>
              </w:rPr>
            </w:pPr>
          </w:p>
        </w:tc>
        <w:tc>
          <w:tcPr>
            <w:tcW w:w="1680" w:type="dxa"/>
            <w:vAlign w:val="bottom"/>
            <w:tcBorders>
              <w:bottom w:val="single" w:sz="8" w:color="B94831"/>
              <w:right w:val="single" w:sz="8" w:color="AFAFAF"/>
            </w:tcBorders>
          </w:tcPr>
          <w:p>
            <w:pPr>
              <w:spacing w:after="0"/>
              <w:rPr>
                <w:sz w:val="7"/>
                <w:szCs w:val="7"/>
                <w:color w:val="auto"/>
              </w:rPr>
            </w:pPr>
          </w:p>
        </w:tc>
        <w:tc>
          <w:tcPr>
            <w:tcW w:w="1660" w:type="dxa"/>
            <w:vAlign w:val="bottom"/>
            <w:tcBorders>
              <w:bottom w:val="single" w:sz="8" w:color="B94831"/>
            </w:tcBorders>
          </w:tcPr>
          <w:p>
            <w:pPr>
              <w:spacing w:after="0"/>
              <w:rPr>
                <w:sz w:val="7"/>
                <w:szCs w:val="7"/>
                <w:color w:val="auto"/>
              </w:rPr>
            </w:pPr>
          </w:p>
        </w:tc>
      </w:tr>
      <w:tr>
        <w:trPr>
          <w:trHeight w:val="227"/>
        </w:trPr>
        <w:tc>
          <w:tcPr>
            <w:tcW w:w="6420" w:type="dxa"/>
            <w:vAlign w:val="bottom"/>
            <w:tcBorders>
              <w:bottom w:val="single" w:sz="8" w:color="B94831"/>
            </w:tcBorders>
          </w:tcPr>
          <w:p>
            <w:pPr>
              <w:spacing w:after="0"/>
              <w:rPr>
                <w:sz w:val="19"/>
                <w:szCs w:val="19"/>
                <w:color w:val="auto"/>
              </w:rPr>
            </w:pPr>
          </w:p>
        </w:tc>
        <w:tc>
          <w:tcPr>
            <w:tcW w:w="1160" w:type="dxa"/>
            <w:vAlign w:val="bottom"/>
            <w:tcBorders>
              <w:bottom w:val="single" w:sz="8" w:color="B94831"/>
            </w:tcBorders>
          </w:tcPr>
          <w:p>
            <w:pPr>
              <w:spacing w:after="0"/>
              <w:rPr>
                <w:sz w:val="19"/>
                <w:szCs w:val="19"/>
                <w:color w:val="auto"/>
              </w:rPr>
            </w:pPr>
          </w:p>
        </w:tc>
        <w:tc>
          <w:tcPr>
            <w:tcW w:w="1680" w:type="dxa"/>
            <w:vAlign w:val="bottom"/>
            <w:tcBorders>
              <w:bottom w:val="single" w:sz="8" w:color="B94831"/>
            </w:tcBorders>
          </w:tcPr>
          <w:p>
            <w:pPr>
              <w:spacing w:after="0"/>
              <w:rPr>
                <w:sz w:val="19"/>
                <w:szCs w:val="19"/>
                <w:color w:val="auto"/>
              </w:rPr>
            </w:pPr>
          </w:p>
        </w:tc>
        <w:tc>
          <w:tcPr>
            <w:tcW w:w="1660" w:type="dxa"/>
            <w:vAlign w:val="bottom"/>
            <w:tcBorders>
              <w:bottom w:val="single" w:sz="8" w:color="B94831"/>
            </w:tcBorders>
          </w:tcPr>
          <w:p>
            <w:pPr>
              <w:spacing w:after="0"/>
              <w:rPr>
                <w:sz w:val="19"/>
                <w:szCs w:val="19"/>
                <w:color w:val="auto"/>
              </w:rPr>
            </w:pPr>
          </w:p>
        </w:tc>
      </w:tr>
    </w:tbl>
    <w:p>
      <w:pPr>
        <w:spacing w:after="0" w:line="10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A-2 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Arial" w:cs="Arial" w:eastAsia="Arial" w:hAnsi="Arial"/>
                <w:sz w:val="14"/>
                <w:szCs w:val="14"/>
                <w:b w:val="1"/>
                <w:bCs w:val="1"/>
                <w:color w:val="auto"/>
              </w:rPr>
              <w:t>Expiration of options</w:t>
            </w:r>
          </w:p>
        </w:tc>
        <w:tc>
          <w:tcPr>
            <w:tcW w:w="8100" w:type="dxa"/>
            <w:vAlign w:val="bottom"/>
          </w:tcPr>
          <w:p>
            <w:pPr>
              <w:ind w:left="700"/>
              <w:spacing w:after="0"/>
              <w:rPr>
                <w:sz w:val="20"/>
                <w:szCs w:val="20"/>
                <w:color w:val="auto"/>
              </w:rPr>
            </w:pPr>
            <w:r>
              <w:rPr>
                <w:rFonts w:ascii="Arial" w:cs="Arial" w:eastAsia="Arial" w:hAnsi="Arial"/>
                <w:sz w:val="14"/>
                <w:szCs w:val="14"/>
                <w:color w:val="auto"/>
              </w:rPr>
              <w:t>Options, SARs and RSUs cease to be exercisable according to the terms of the applicable award agreement, or as</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may be determined by the HR Committee, in the event that a participant ceases to be an employee or officer of</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Thomson Reuters. Options and RSUs granted in 2023 are subject to early expiration or vesting in certain</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circumstances, including death, disability, retirement and termination. If options or SARs would otherwise expire</w:t>
            </w:r>
          </w:p>
        </w:tc>
      </w:tr>
      <w:tr>
        <w:trPr>
          <w:trHeight w:val="170"/>
        </w:trPr>
        <w:tc>
          <w:tcPr>
            <w:tcW w:w="2820" w:type="dxa"/>
            <w:vAlign w:val="bottom"/>
            <w:tcBorders>
              <w:bottom w:val="single" w:sz="8" w:color="AFAFAF"/>
            </w:tcBorders>
          </w:tcPr>
          <w:p>
            <w:pPr>
              <w:spacing w:after="0"/>
              <w:rPr>
                <w:sz w:val="14"/>
                <w:szCs w:val="14"/>
                <w:color w:val="auto"/>
              </w:rPr>
            </w:pPr>
          </w:p>
        </w:tc>
        <w:tc>
          <w:tcPr>
            <w:tcW w:w="8100" w:type="dxa"/>
            <w:vAlign w:val="bottom"/>
            <w:tcBorders>
              <w:bottom w:val="single" w:sz="8" w:color="AFAFAF"/>
            </w:tcBorders>
          </w:tcPr>
          <w:p>
            <w:pPr>
              <w:ind w:left="700"/>
              <w:spacing w:after="0"/>
              <w:rPr>
                <w:sz w:val="20"/>
                <w:szCs w:val="20"/>
                <w:color w:val="auto"/>
              </w:rPr>
            </w:pPr>
            <w:r>
              <w:rPr>
                <w:rFonts w:ascii="Arial" w:cs="Arial" w:eastAsia="Arial" w:hAnsi="Arial"/>
                <w:sz w:val="14"/>
                <w:szCs w:val="14"/>
                <w:color w:val="auto"/>
              </w:rPr>
              <w:t>during a blackout period, the term will be extended until 10 business days after conclusion of such blackout period.</w:t>
            </w:r>
          </w:p>
        </w:tc>
      </w:tr>
      <w:tr>
        <w:trPr>
          <w:trHeight w:val="198"/>
        </w:trPr>
        <w:tc>
          <w:tcPr>
            <w:tcW w:w="2820" w:type="dxa"/>
            <w:vAlign w:val="bottom"/>
          </w:tcPr>
          <w:p>
            <w:pPr>
              <w:spacing w:after="0"/>
              <w:rPr>
                <w:sz w:val="20"/>
                <w:szCs w:val="20"/>
                <w:color w:val="auto"/>
              </w:rPr>
            </w:pPr>
            <w:r>
              <w:rPr>
                <w:rFonts w:ascii="Arial" w:cs="Arial" w:eastAsia="Arial" w:hAnsi="Arial"/>
                <w:sz w:val="14"/>
                <w:szCs w:val="14"/>
                <w:b w:val="1"/>
                <w:bCs w:val="1"/>
                <w:color w:val="auto"/>
              </w:rPr>
              <w:t>Plan amendments and changes</w:t>
            </w:r>
          </w:p>
        </w:tc>
        <w:tc>
          <w:tcPr>
            <w:tcW w:w="8100" w:type="dxa"/>
            <w:vAlign w:val="bottom"/>
          </w:tcPr>
          <w:p>
            <w:pPr>
              <w:ind w:left="700"/>
              <w:spacing w:after="0"/>
              <w:rPr>
                <w:sz w:val="20"/>
                <w:szCs w:val="20"/>
                <w:color w:val="auto"/>
              </w:rPr>
            </w:pPr>
            <w:r>
              <w:rPr>
                <w:rFonts w:ascii="Arial" w:cs="Arial" w:eastAsia="Arial" w:hAnsi="Arial"/>
                <w:sz w:val="14"/>
                <w:szCs w:val="14"/>
                <w:color w:val="auto"/>
              </w:rPr>
              <w:t>The Board and/or the HR Committee may make any amendments to the plan or any outstanding award without</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seeking shareholder approval (including, but not limited to, minor “housekeeping” changes, changes to comply with</w:t>
            </w:r>
          </w:p>
        </w:tc>
      </w:tr>
      <w:tr>
        <w:trPr>
          <w:trHeight w:val="156"/>
        </w:trPr>
        <w:tc>
          <w:tcPr>
            <w:tcW w:w="2820" w:type="dxa"/>
            <w:vAlign w:val="bottom"/>
          </w:tcPr>
          <w:p>
            <w:pPr>
              <w:spacing w:after="0"/>
              <w:rPr>
                <w:sz w:val="13"/>
                <w:szCs w:val="13"/>
                <w:color w:val="auto"/>
              </w:rPr>
            </w:pPr>
          </w:p>
        </w:tc>
        <w:tc>
          <w:tcPr>
            <w:tcW w:w="8100" w:type="dxa"/>
            <w:vAlign w:val="bottom"/>
          </w:tcPr>
          <w:p>
            <w:pPr>
              <w:ind w:left="700"/>
              <w:spacing w:after="0" w:line="156" w:lineRule="exact"/>
              <w:rPr>
                <w:sz w:val="20"/>
                <w:szCs w:val="20"/>
                <w:color w:val="auto"/>
              </w:rPr>
            </w:pPr>
            <w:r>
              <w:rPr>
                <w:rFonts w:ascii="Arial" w:cs="Arial" w:eastAsia="Arial" w:hAnsi="Arial"/>
                <w:sz w:val="14"/>
                <w:szCs w:val="14"/>
                <w:color w:val="auto"/>
              </w:rPr>
              <w:t>applicable laws and changes to vesting provisions of awards), except for an amendment which:</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increases the maximum number of shares that can be issued under the plan, including an increase to a fixed</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number of such shares or a change from a fixed number of such shares to a fixed maximum percentage;</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line="161" w:lineRule="exact"/>
              <w:rPr>
                <w:sz w:val="20"/>
                <w:szCs w:val="20"/>
                <w:color w:val="auto"/>
              </w:rPr>
            </w:pPr>
            <w:r>
              <w:rPr>
                <w:rFonts w:ascii="Times New Roman" w:cs="Times New Roman" w:eastAsia="Times New Roman" w:hAnsi="Times New Roman"/>
                <w:sz w:val="18"/>
                <w:szCs w:val="18"/>
                <w:color w:val="auto"/>
                <w:vertAlign w:val="superscript"/>
              </w:rPr>
              <w:t>●</w:t>
            </w:r>
            <w:r>
              <w:rPr>
                <w:rFonts w:ascii="Arial" w:cs="Arial" w:eastAsia="Arial" w:hAnsi="Arial"/>
                <w:sz w:val="12"/>
                <w:szCs w:val="12"/>
                <w:color w:val="auto"/>
              </w:rPr>
              <w:t xml:space="preserve">    Increases the maximum number of shares that can be issued pursuant to RSUs;</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line="161" w:lineRule="exact"/>
              <w:rPr>
                <w:sz w:val="20"/>
                <w:szCs w:val="20"/>
                <w:color w:val="auto"/>
              </w:rPr>
            </w:pPr>
            <w:r>
              <w:rPr>
                <w:rFonts w:ascii="Times New Roman" w:cs="Times New Roman" w:eastAsia="Times New Roman" w:hAnsi="Times New Roman"/>
                <w:sz w:val="18"/>
                <w:szCs w:val="18"/>
                <w:color w:val="auto"/>
                <w:vertAlign w:val="superscript"/>
              </w:rPr>
              <w:t>●</w:t>
            </w:r>
            <w:r>
              <w:rPr>
                <w:rFonts w:ascii="Arial" w:cs="Arial" w:eastAsia="Arial" w:hAnsi="Arial"/>
                <w:sz w:val="12"/>
                <w:szCs w:val="12"/>
                <w:color w:val="auto"/>
              </w:rPr>
              <w:t xml:space="preserve">    increases the maximum number of shares which may be issued under the awards held by a participant;</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reduces the exercise price of an award (including a cancellation and re-grant of an award, constituting a reduction</w:t>
            </w:r>
          </w:p>
        </w:tc>
      </w:tr>
      <w:tr>
        <w:trPr>
          <w:trHeight w:val="160"/>
        </w:trPr>
        <w:tc>
          <w:tcPr>
            <w:tcW w:w="2820" w:type="dxa"/>
            <w:vAlign w:val="bottom"/>
          </w:tcPr>
          <w:p>
            <w:pPr>
              <w:spacing w:after="0"/>
              <w:rPr>
                <w:sz w:val="13"/>
                <w:szCs w:val="13"/>
                <w:color w:val="auto"/>
              </w:rPr>
            </w:pPr>
          </w:p>
        </w:tc>
        <w:tc>
          <w:tcPr>
            <w:tcW w:w="8100" w:type="dxa"/>
            <w:vAlign w:val="bottom"/>
          </w:tcPr>
          <w:p>
            <w:pPr>
              <w:ind w:left="880"/>
              <w:spacing w:after="0"/>
              <w:rPr>
                <w:sz w:val="20"/>
                <w:szCs w:val="20"/>
                <w:color w:val="auto"/>
              </w:rPr>
            </w:pPr>
            <w:r>
              <w:rPr>
                <w:rFonts w:ascii="Arial" w:cs="Arial" w:eastAsia="Arial" w:hAnsi="Arial"/>
                <w:sz w:val="14"/>
                <w:szCs w:val="14"/>
                <w:color w:val="auto"/>
              </w:rPr>
              <w:t>of the exercise price of such award), except in connection with maintaining the value of an award in connection</w:t>
            </w:r>
          </w:p>
        </w:tc>
      </w:tr>
      <w:tr>
        <w:trPr>
          <w:trHeight w:val="160"/>
        </w:trPr>
        <w:tc>
          <w:tcPr>
            <w:tcW w:w="2820" w:type="dxa"/>
            <w:vAlign w:val="bottom"/>
          </w:tcPr>
          <w:p>
            <w:pPr>
              <w:spacing w:after="0"/>
              <w:rPr>
                <w:sz w:val="13"/>
                <w:szCs w:val="13"/>
                <w:color w:val="auto"/>
              </w:rPr>
            </w:pPr>
          </w:p>
        </w:tc>
        <w:tc>
          <w:tcPr>
            <w:tcW w:w="8100" w:type="dxa"/>
            <w:vAlign w:val="bottom"/>
          </w:tcPr>
          <w:p>
            <w:pPr>
              <w:ind w:left="880"/>
              <w:spacing w:after="0"/>
              <w:rPr>
                <w:sz w:val="20"/>
                <w:szCs w:val="20"/>
                <w:color w:val="auto"/>
              </w:rPr>
            </w:pPr>
            <w:r>
              <w:rPr>
                <w:rFonts w:ascii="Arial" w:cs="Arial" w:eastAsia="Arial" w:hAnsi="Arial"/>
                <w:sz w:val="14"/>
                <w:szCs w:val="14"/>
                <w:color w:val="auto"/>
              </w:rPr>
              <w:t>with a change in the number of the outstanding common shares by reason of a stock dividend or split,</w:t>
            </w:r>
          </w:p>
        </w:tc>
      </w:tr>
      <w:tr>
        <w:trPr>
          <w:trHeight w:val="160"/>
        </w:trPr>
        <w:tc>
          <w:tcPr>
            <w:tcW w:w="2820" w:type="dxa"/>
            <w:vAlign w:val="bottom"/>
          </w:tcPr>
          <w:p>
            <w:pPr>
              <w:spacing w:after="0"/>
              <w:rPr>
                <w:sz w:val="13"/>
                <w:szCs w:val="13"/>
                <w:color w:val="auto"/>
              </w:rPr>
            </w:pPr>
          </w:p>
        </w:tc>
        <w:tc>
          <w:tcPr>
            <w:tcW w:w="8100" w:type="dxa"/>
            <w:vAlign w:val="bottom"/>
          </w:tcPr>
          <w:p>
            <w:pPr>
              <w:ind w:left="880"/>
              <w:spacing w:after="0"/>
              <w:rPr>
                <w:sz w:val="20"/>
                <w:szCs w:val="20"/>
                <w:color w:val="auto"/>
              </w:rPr>
            </w:pPr>
            <w:r>
              <w:rPr>
                <w:rFonts w:ascii="Arial" w:cs="Arial" w:eastAsia="Arial" w:hAnsi="Arial"/>
                <w:sz w:val="14"/>
                <w:szCs w:val="14"/>
                <w:color w:val="auto"/>
              </w:rPr>
              <w:t>recapitalization, reorganization, merger, amalgamation, consolidation, combination or exchange of shares or other</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corporate change affecting such shares;</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extends the term of an award beyond its original expiry date, except where the expiry date would have occurred in</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a blackout period;</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changes the provisions relating to the transferability of an award, other than for a transfer by will or the laws of</w:t>
            </w:r>
          </w:p>
        </w:tc>
      </w:tr>
      <w:tr>
        <w:trPr>
          <w:trHeight w:val="160"/>
        </w:trPr>
        <w:tc>
          <w:tcPr>
            <w:tcW w:w="2820" w:type="dxa"/>
            <w:vAlign w:val="bottom"/>
          </w:tcPr>
          <w:p>
            <w:pPr>
              <w:spacing w:after="0"/>
              <w:rPr>
                <w:sz w:val="13"/>
                <w:szCs w:val="13"/>
                <w:color w:val="auto"/>
              </w:rPr>
            </w:pPr>
          </w:p>
        </w:tc>
        <w:tc>
          <w:tcPr>
            <w:tcW w:w="8100" w:type="dxa"/>
            <w:vAlign w:val="bottom"/>
          </w:tcPr>
          <w:p>
            <w:pPr>
              <w:ind w:left="880"/>
              <w:spacing w:after="0"/>
              <w:rPr>
                <w:sz w:val="20"/>
                <w:szCs w:val="20"/>
                <w:color w:val="auto"/>
              </w:rPr>
            </w:pPr>
            <w:r>
              <w:rPr>
                <w:rFonts w:ascii="Arial" w:cs="Arial" w:eastAsia="Arial" w:hAnsi="Arial"/>
                <w:sz w:val="14"/>
                <w:szCs w:val="14"/>
                <w:color w:val="auto"/>
              </w:rPr>
              <w:t>descent and distribution, a transfer by a grantee to an entity which is controlled by the grantee or a transfer to a</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former spouse or domestic partner in connection with a legal obligation or settlement;</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changes the provisions relating to adjustments in the number or kind of shares or securities reserved for issuance</w:t>
            </w:r>
          </w:p>
        </w:tc>
      </w:tr>
      <w:tr>
        <w:trPr>
          <w:trHeight w:val="160"/>
        </w:trPr>
        <w:tc>
          <w:tcPr>
            <w:tcW w:w="2820" w:type="dxa"/>
            <w:vAlign w:val="bottom"/>
          </w:tcPr>
          <w:p>
            <w:pPr>
              <w:spacing w:after="0"/>
              <w:rPr>
                <w:sz w:val="13"/>
                <w:szCs w:val="13"/>
                <w:color w:val="auto"/>
              </w:rPr>
            </w:pPr>
          </w:p>
        </w:tc>
        <w:tc>
          <w:tcPr>
            <w:tcW w:w="8100" w:type="dxa"/>
            <w:vAlign w:val="bottom"/>
          </w:tcPr>
          <w:p>
            <w:pPr>
              <w:ind w:left="880"/>
              <w:spacing w:after="0"/>
              <w:rPr>
                <w:sz w:val="20"/>
                <w:szCs w:val="20"/>
                <w:color w:val="auto"/>
              </w:rPr>
            </w:pPr>
            <w:r>
              <w:rPr>
                <w:rFonts w:ascii="Arial" w:cs="Arial" w:eastAsia="Arial" w:hAnsi="Arial"/>
                <w:sz w:val="14"/>
                <w:szCs w:val="14"/>
                <w:color w:val="auto"/>
              </w:rPr>
              <w:t>or subject to outstanding awards or the exercise price, in the event of any change in the number of the outstanding</w:t>
            </w:r>
          </w:p>
        </w:tc>
      </w:tr>
      <w:tr>
        <w:trPr>
          <w:trHeight w:val="160"/>
        </w:trPr>
        <w:tc>
          <w:tcPr>
            <w:tcW w:w="2820" w:type="dxa"/>
            <w:vAlign w:val="bottom"/>
          </w:tcPr>
          <w:p>
            <w:pPr>
              <w:spacing w:after="0"/>
              <w:rPr>
                <w:sz w:val="13"/>
                <w:szCs w:val="13"/>
                <w:color w:val="auto"/>
              </w:rPr>
            </w:pPr>
          </w:p>
        </w:tc>
        <w:tc>
          <w:tcPr>
            <w:tcW w:w="8100" w:type="dxa"/>
            <w:vAlign w:val="bottom"/>
          </w:tcPr>
          <w:p>
            <w:pPr>
              <w:ind w:left="880"/>
              <w:spacing w:after="0"/>
              <w:rPr>
                <w:sz w:val="20"/>
                <w:szCs w:val="20"/>
                <w:color w:val="auto"/>
              </w:rPr>
            </w:pPr>
            <w:r>
              <w:rPr>
                <w:rFonts w:ascii="Arial" w:cs="Arial" w:eastAsia="Arial" w:hAnsi="Arial"/>
                <w:sz w:val="14"/>
                <w:szCs w:val="14"/>
                <w:color w:val="auto"/>
              </w:rPr>
              <w:t>common shares by reason of a stock dividend or split, recapitalization, reorganization, merger, amalgamation,</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consolidation, combination or exchange of shares or other corporate change affecting such shares;</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extends eligibility to participate in the stock incentive plan to a director who is not an employee or officer of our</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company;</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line="161" w:lineRule="exact"/>
              <w:rPr>
                <w:sz w:val="20"/>
                <w:szCs w:val="20"/>
                <w:color w:val="auto"/>
              </w:rPr>
            </w:pPr>
            <w:r>
              <w:rPr>
                <w:rFonts w:ascii="Times New Roman" w:cs="Times New Roman" w:eastAsia="Times New Roman" w:hAnsi="Times New Roman"/>
                <w:sz w:val="18"/>
                <w:szCs w:val="18"/>
                <w:color w:val="auto"/>
                <w:vertAlign w:val="superscript"/>
              </w:rPr>
              <w:t>●</w:t>
            </w:r>
            <w:r>
              <w:rPr>
                <w:rFonts w:ascii="Arial" w:cs="Arial" w:eastAsia="Arial" w:hAnsi="Arial"/>
                <w:sz w:val="12"/>
                <w:szCs w:val="12"/>
                <w:color w:val="auto"/>
              </w:rPr>
              <w:t xml:space="preserve">    changes the rights attaching to our common shares;</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line="161" w:lineRule="exact"/>
              <w:rPr>
                <w:sz w:val="20"/>
                <w:szCs w:val="20"/>
                <w:color w:val="auto"/>
              </w:rPr>
            </w:pPr>
            <w:r>
              <w:rPr>
                <w:rFonts w:ascii="Times New Roman" w:cs="Times New Roman" w:eastAsia="Times New Roman" w:hAnsi="Times New Roman"/>
                <w:sz w:val="18"/>
                <w:szCs w:val="18"/>
                <w:color w:val="auto"/>
                <w:vertAlign w:val="superscript"/>
              </w:rPr>
              <w:t>●</w:t>
            </w:r>
            <w:r>
              <w:rPr>
                <w:rFonts w:ascii="Arial" w:cs="Arial" w:eastAsia="Arial" w:hAnsi="Arial"/>
                <w:sz w:val="12"/>
                <w:szCs w:val="12"/>
                <w:color w:val="auto"/>
              </w:rPr>
              <w:t xml:space="preserve">    changes the amending provisions of the plan;</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removes or exceeds the insider participation limit under the plan (as defined in the TSX Company Manual), as</w:t>
            </w:r>
          </w:p>
        </w:tc>
      </w:tr>
      <w:tr>
        <w:trPr>
          <w:trHeight w:val="156"/>
        </w:trPr>
        <w:tc>
          <w:tcPr>
            <w:tcW w:w="2820" w:type="dxa"/>
            <w:vAlign w:val="bottom"/>
          </w:tcPr>
          <w:p>
            <w:pPr>
              <w:spacing w:after="0"/>
              <w:rPr>
                <w:sz w:val="13"/>
                <w:szCs w:val="13"/>
                <w:color w:val="auto"/>
              </w:rPr>
            </w:pPr>
          </w:p>
        </w:tc>
        <w:tc>
          <w:tcPr>
            <w:tcW w:w="8100" w:type="dxa"/>
            <w:vAlign w:val="bottom"/>
          </w:tcPr>
          <w:p>
            <w:pPr>
              <w:ind w:left="880"/>
              <w:spacing w:after="0" w:line="156" w:lineRule="exact"/>
              <w:rPr>
                <w:sz w:val="20"/>
                <w:szCs w:val="20"/>
                <w:color w:val="auto"/>
              </w:rPr>
            </w:pPr>
            <w:r>
              <w:rPr>
                <w:rFonts w:ascii="Arial" w:cs="Arial" w:eastAsia="Arial" w:hAnsi="Arial"/>
                <w:sz w:val="14"/>
                <w:szCs w:val="14"/>
                <w:color w:val="auto"/>
              </w:rPr>
              <w:t>amended from time to time; or</w:t>
            </w:r>
          </w:p>
        </w:tc>
      </w:tr>
      <w:tr>
        <w:trPr>
          <w:trHeight w:val="165"/>
        </w:trPr>
        <w:tc>
          <w:tcPr>
            <w:tcW w:w="2820" w:type="dxa"/>
            <w:vAlign w:val="bottom"/>
          </w:tcPr>
          <w:p>
            <w:pPr>
              <w:spacing w:after="0"/>
              <w:rPr>
                <w:sz w:val="14"/>
                <w:szCs w:val="14"/>
                <w:color w:val="auto"/>
              </w:rPr>
            </w:pPr>
          </w:p>
        </w:tc>
        <w:tc>
          <w:tcPr>
            <w:tcW w:w="8100" w:type="dxa"/>
            <w:vAlign w:val="bottom"/>
          </w:tcPr>
          <w:p>
            <w:pPr>
              <w:ind w:left="7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is required to be approved by shareholders under applicable laws, regulations or stock exchange rules.</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Subject to certain exceptions, no such amendment may materially and adversely affect the rights of any participant in</w:t>
            </w:r>
          </w:p>
        </w:tc>
      </w:tr>
      <w:tr>
        <w:trPr>
          <w:trHeight w:val="183"/>
        </w:trPr>
        <w:tc>
          <w:tcPr>
            <w:tcW w:w="2820" w:type="dxa"/>
            <w:vAlign w:val="bottom"/>
            <w:tcBorders>
              <w:bottom w:val="single" w:sz="8" w:color="AFAFAF"/>
            </w:tcBorders>
          </w:tcPr>
          <w:p>
            <w:pPr>
              <w:spacing w:after="0"/>
              <w:rPr>
                <w:sz w:val="15"/>
                <w:szCs w:val="15"/>
                <w:color w:val="auto"/>
              </w:rPr>
            </w:pPr>
          </w:p>
        </w:tc>
        <w:tc>
          <w:tcPr>
            <w:tcW w:w="8100" w:type="dxa"/>
            <w:vAlign w:val="bottom"/>
            <w:tcBorders>
              <w:bottom w:val="single" w:sz="8" w:color="AFAFAF"/>
            </w:tcBorders>
          </w:tcPr>
          <w:p>
            <w:pPr>
              <w:ind w:left="700"/>
              <w:spacing w:after="0"/>
              <w:rPr>
                <w:sz w:val="20"/>
                <w:szCs w:val="20"/>
                <w:color w:val="auto"/>
              </w:rPr>
            </w:pPr>
            <w:r>
              <w:rPr>
                <w:rFonts w:ascii="Arial" w:cs="Arial" w:eastAsia="Arial" w:hAnsi="Arial"/>
                <w:sz w:val="14"/>
                <w:szCs w:val="14"/>
                <w:color w:val="auto"/>
              </w:rPr>
              <w:t>relation to any outstanding award granted under the plan without the consent of the affected participant.</w:t>
            </w:r>
          </w:p>
        </w:tc>
      </w:tr>
      <w:tr>
        <w:trPr>
          <w:trHeight w:val="198"/>
        </w:trPr>
        <w:tc>
          <w:tcPr>
            <w:tcW w:w="2820" w:type="dxa"/>
            <w:vAlign w:val="bottom"/>
          </w:tcPr>
          <w:p>
            <w:pPr>
              <w:spacing w:after="0"/>
              <w:rPr>
                <w:sz w:val="20"/>
                <w:szCs w:val="20"/>
                <w:color w:val="auto"/>
              </w:rPr>
            </w:pPr>
            <w:r>
              <w:rPr>
                <w:rFonts w:ascii="Arial" w:cs="Arial" w:eastAsia="Arial" w:hAnsi="Arial"/>
                <w:sz w:val="14"/>
                <w:szCs w:val="14"/>
                <w:b w:val="1"/>
                <w:bCs w:val="1"/>
                <w:color w:val="auto"/>
              </w:rPr>
              <w:t>Exercise process</w:t>
            </w:r>
          </w:p>
        </w:tc>
        <w:tc>
          <w:tcPr>
            <w:tcW w:w="8100" w:type="dxa"/>
            <w:vAlign w:val="bottom"/>
          </w:tcPr>
          <w:p>
            <w:pPr>
              <w:ind w:left="700"/>
              <w:spacing w:after="0"/>
              <w:rPr>
                <w:sz w:val="20"/>
                <w:szCs w:val="20"/>
                <w:color w:val="auto"/>
              </w:rPr>
            </w:pPr>
            <w:r>
              <w:rPr>
                <w:rFonts w:ascii="Arial" w:cs="Arial" w:eastAsia="Arial" w:hAnsi="Arial"/>
                <w:sz w:val="14"/>
                <w:szCs w:val="14"/>
                <w:color w:val="auto"/>
              </w:rPr>
              <w:t>Cashless exercises permitted, as well as cash payments. For a cashless exercise of options, the participant will</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receive the net number of shares equal to the in-the-money amount of the options (less applicable taxes). The</w:t>
            </w:r>
          </w:p>
        </w:tc>
      </w:tr>
      <w:tr>
        <w:trPr>
          <w:trHeight w:val="170"/>
        </w:trPr>
        <w:tc>
          <w:tcPr>
            <w:tcW w:w="2820" w:type="dxa"/>
            <w:vAlign w:val="bottom"/>
            <w:tcBorders>
              <w:bottom w:val="single" w:sz="8" w:color="AFAFAF"/>
            </w:tcBorders>
          </w:tcPr>
          <w:p>
            <w:pPr>
              <w:spacing w:after="0"/>
              <w:rPr>
                <w:sz w:val="14"/>
                <w:szCs w:val="14"/>
                <w:color w:val="auto"/>
              </w:rPr>
            </w:pPr>
          </w:p>
        </w:tc>
        <w:tc>
          <w:tcPr>
            <w:tcW w:w="8100" w:type="dxa"/>
            <w:vAlign w:val="bottom"/>
            <w:tcBorders>
              <w:bottom w:val="single" w:sz="8" w:color="AFAFAF"/>
            </w:tcBorders>
          </w:tcPr>
          <w:p>
            <w:pPr>
              <w:ind w:left="700"/>
              <w:spacing w:after="0"/>
              <w:rPr>
                <w:sz w:val="20"/>
                <w:szCs w:val="20"/>
                <w:color w:val="auto"/>
              </w:rPr>
            </w:pPr>
            <w:r>
              <w:rPr>
                <w:rFonts w:ascii="Arial" w:cs="Arial" w:eastAsia="Arial" w:hAnsi="Arial"/>
                <w:sz w:val="14"/>
                <w:szCs w:val="14"/>
                <w:color w:val="auto"/>
              </w:rPr>
              <w:t>number of options exercised will be deducted from the share reserve.</w:t>
            </w:r>
          </w:p>
        </w:tc>
      </w:tr>
      <w:tr>
        <w:trPr>
          <w:trHeight w:val="198"/>
        </w:trPr>
        <w:tc>
          <w:tcPr>
            <w:tcW w:w="2820" w:type="dxa"/>
            <w:vAlign w:val="bottom"/>
          </w:tcPr>
          <w:p>
            <w:pPr>
              <w:spacing w:after="0"/>
              <w:rPr>
                <w:sz w:val="20"/>
                <w:szCs w:val="20"/>
                <w:color w:val="auto"/>
              </w:rPr>
            </w:pPr>
            <w:r>
              <w:rPr>
                <w:rFonts w:ascii="Arial" w:cs="Arial" w:eastAsia="Arial" w:hAnsi="Arial"/>
                <w:sz w:val="14"/>
                <w:szCs w:val="14"/>
                <w:b w:val="1"/>
                <w:bCs w:val="1"/>
                <w:color w:val="auto"/>
              </w:rPr>
              <w:t>Transfers and assignments</w:t>
            </w:r>
          </w:p>
        </w:tc>
        <w:tc>
          <w:tcPr>
            <w:tcW w:w="8100" w:type="dxa"/>
            <w:vAlign w:val="bottom"/>
          </w:tcPr>
          <w:p>
            <w:pPr>
              <w:ind w:left="700"/>
              <w:spacing w:after="0"/>
              <w:rPr>
                <w:sz w:val="20"/>
                <w:szCs w:val="20"/>
                <w:color w:val="auto"/>
              </w:rPr>
            </w:pPr>
            <w:r>
              <w:rPr>
                <w:rFonts w:ascii="Arial" w:cs="Arial" w:eastAsia="Arial" w:hAnsi="Arial"/>
                <w:sz w:val="14"/>
                <w:szCs w:val="14"/>
                <w:color w:val="auto"/>
              </w:rPr>
              <w:t>Not possible other than by will or the laws of descent and distribution, a transfer by a participant to an entity which is</w:t>
            </w:r>
          </w:p>
        </w:tc>
      </w:tr>
      <w:tr>
        <w:trPr>
          <w:trHeight w:val="160"/>
        </w:trPr>
        <w:tc>
          <w:tcPr>
            <w:tcW w:w="2820" w:type="dxa"/>
            <w:vAlign w:val="bottom"/>
          </w:tcPr>
          <w:p>
            <w:pPr>
              <w:spacing w:after="0"/>
              <w:rPr>
                <w:sz w:val="13"/>
                <w:szCs w:val="13"/>
                <w:color w:val="auto"/>
              </w:rPr>
            </w:pPr>
          </w:p>
        </w:tc>
        <w:tc>
          <w:tcPr>
            <w:tcW w:w="8100" w:type="dxa"/>
            <w:vAlign w:val="bottom"/>
          </w:tcPr>
          <w:p>
            <w:pPr>
              <w:ind w:left="700"/>
              <w:spacing w:after="0"/>
              <w:rPr>
                <w:sz w:val="20"/>
                <w:szCs w:val="20"/>
                <w:color w:val="auto"/>
              </w:rPr>
            </w:pPr>
            <w:r>
              <w:rPr>
                <w:rFonts w:ascii="Arial" w:cs="Arial" w:eastAsia="Arial" w:hAnsi="Arial"/>
                <w:sz w:val="14"/>
                <w:szCs w:val="14"/>
                <w:color w:val="auto"/>
              </w:rPr>
              <w:t>controlled by a participant or a transfer to a former spouse or domestic partner of a participant in connection with a</w:t>
            </w:r>
          </w:p>
        </w:tc>
      </w:tr>
      <w:tr>
        <w:trPr>
          <w:trHeight w:val="170"/>
        </w:trPr>
        <w:tc>
          <w:tcPr>
            <w:tcW w:w="2820" w:type="dxa"/>
            <w:vAlign w:val="bottom"/>
            <w:tcBorders>
              <w:bottom w:val="single" w:sz="8" w:color="B94831"/>
            </w:tcBorders>
          </w:tcPr>
          <w:p>
            <w:pPr>
              <w:spacing w:after="0"/>
              <w:rPr>
                <w:sz w:val="14"/>
                <w:szCs w:val="14"/>
                <w:color w:val="auto"/>
              </w:rPr>
            </w:pPr>
          </w:p>
        </w:tc>
        <w:tc>
          <w:tcPr>
            <w:tcW w:w="8100" w:type="dxa"/>
            <w:vAlign w:val="bottom"/>
            <w:tcBorders>
              <w:bottom w:val="single" w:sz="8" w:color="B94831"/>
            </w:tcBorders>
          </w:tcPr>
          <w:p>
            <w:pPr>
              <w:ind w:left="700"/>
              <w:spacing w:after="0"/>
              <w:rPr>
                <w:sz w:val="20"/>
                <w:szCs w:val="20"/>
                <w:color w:val="auto"/>
              </w:rPr>
            </w:pPr>
            <w:r>
              <w:rPr>
                <w:rFonts w:ascii="Arial" w:cs="Arial" w:eastAsia="Arial" w:hAnsi="Arial"/>
                <w:sz w:val="14"/>
                <w:szCs w:val="14"/>
                <w:color w:val="auto"/>
              </w:rPr>
              <w:t>legal obligation or settlement.</w:t>
            </w:r>
          </w:p>
        </w:tc>
      </w:tr>
      <w:tr>
        <w:trPr>
          <w:trHeight w:val="227"/>
        </w:trPr>
        <w:tc>
          <w:tcPr>
            <w:tcW w:w="2820" w:type="dxa"/>
            <w:vAlign w:val="bottom"/>
            <w:tcBorders>
              <w:bottom w:val="single" w:sz="8" w:color="B94831"/>
            </w:tcBorders>
          </w:tcPr>
          <w:p>
            <w:pPr>
              <w:spacing w:after="0"/>
              <w:rPr>
                <w:sz w:val="19"/>
                <w:szCs w:val="19"/>
                <w:color w:val="auto"/>
              </w:rPr>
            </w:pPr>
          </w:p>
        </w:tc>
        <w:tc>
          <w:tcPr>
            <w:tcW w:w="8100" w:type="dxa"/>
            <w:vAlign w:val="bottom"/>
            <w:tcBorders>
              <w:bottom w:val="single" w:sz="8" w:color="B94831"/>
            </w:tcBorders>
          </w:tcPr>
          <w:p>
            <w:pPr>
              <w:spacing w:after="0"/>
              <w:rPr>
                <w:sz w:val="19"/>
                <w:szCs w:val="19"/>
                <w:color w:val="auto"/>
              </w:rPr>
            </w:pPr>
          </w:p>
        </w:tc>
      </w:tr>
      <w:tr>
        <w:trPr>
          <w:trHeight w:val="243"/>
        </w:trPr>
        <w:tc>
          <w:tcPr>
            <w:tcW w:w="2820" w:type="dxa"/>
            <w:vAlign w:val="bottom"/>
          </w:tcPr>
          <w:p>
            <w:pPr>
              <w:spacing w:after="0"/>
              <w:rPr>
                <w:sz w:val="21"/>
                <w:szCs w:val="21"/>
                <w:color w:val="auto"/>
              </w:rPr>
            </w:pPr>
          </w:p>
        </w:tc>
        <w:tc>
          <w:tcPr>
            <w:tcW w:w="8100" w:type="dxa"/>
            <w:vAlign w:val="bottom"/>
          </w:tcPr>
          <w:p>
            <w:pPr>
              <w:ind w:left="2980"/>
              <w:spacing w:after="0"/>
              <w:rPr>
                <w:sz w:val="20"/>
                <w:szCs w:val="20"/>
                <w:color w:val="auto"/>
              </w:rPr>
            </w:pPr>
            <w:r>
              <w:rPr>
                <w:rFonts w:ascii="Arial" w:cs="Arial" w:eastAsia="Arial" w:hAnsi="Arial"/>
                <w:sz w:val="13"/>
                <w:szCs w:val="13"/>
                <w:color w:val="auto"/>
              </w:rPr>
              <w:t>Management Proxy Circular and Notice of Annual Meeting of Shareholders   Page A-3</w:t>
            </w:r>
          </w:p>
        </w:tc>
      </w:tr>
    </w:tbl>
    <w:p>
      <w:pPr>
        <w:sectPr>
          <w:pgSz w:w="11900" w:h="16838" w:orient="portrait"/>
          <w:cols w:equalWidth="0" w:num="1">
            <w:col w:w="11080"/>
          </w:cols>
          <w:pgMar w:left="320" w:top="454"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69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FFFFFF"/>
        </w:rPr>
        <w:t>Phantom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4"/>
                <w:szCs w:val="14"/>
                <w:b w:val="1"/>
                <w:bCs w:val="1"/>
                <w:color w:val="auto"/>
              </w:rPr>
              <w:t>Eligibility</w:t>
            </w:r>
          </w:p>
        </w:tc>
        <w:tc>
          <w:tcPr>
            <w:tcW w:w="7620" w:type="dxa"/>
            <w:vAlign w:val="bottom"/>
          </w:tcPr>
          <w:p>
            <w:pPr>
              <w:ind w:left="220"/>
              <w:spacing w:after="0"/>
              <w:rPr>
                <w:sz w:val="20"/>
                <w:szCs w:val="20"/>
                <w:color w:val="auto"/>
              </w:rPr>
            </w:pPr>
            <w:r>
              <w:rPr>
                <w:rFonts w:ascii="Arial" w:cs="Arial" w:eastAsia="Arial" w:hAnsi="Arial"/>
                <w:sz w:val="14"/>
                <w:szCs w:val="14"/>
                <w:color w:val="auto"/>
              </w:rPr>
              <w:t>Any employee or officer of Thomson Reuters (as may be determined by the HR Committee). Non-employee directors</w:t>
            </w:r>
          </w:p>
        </w:tc>
      </w:tr>
      <w:tr>
        <w:trPr>
          <w:trHeight w:val="189"/>
        </w:trPr>
        <w:tc>
          <w:tcPr>
            <w:tcW w:w="3300" w:type="dxa"/>
            <w:vAlign w:val="bottom"/>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are not eligible to participate in the plan.</w:t>
            </w:r>
          </w:p>
        </w:tc>
      </w:tr>
      <w:tr>
        <w:trPr>
          <w:trHeight w:val="48"/>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Purpose</w:t>
            </w:r>
          </w:p>
        </w:tc>
        <w:tc>
          <w:tcPr>
            <w:tcW w:w="7620" w:type="dxa"/>
            <w:vAlign w:val="bottom"/>
          </w:tcPr>
          <w:p>
            <w:pPr>
              <w:ind w:left="220"/>
              <w:spacing w:after="0"/>
              <w:rPr>
                <w:sz w:val="20"/>
                <w:szCs w:val="20"/>
                <w:color w:val="auto"/>
              </w:rPr>
            </w:pPr>
            <w:r>
              <w:rPr>
                <w:rFonts w:ascii="Arial" w:cs="Arial" w:eastAsia="Arial" w:hAnsi="Arial"/>
                <w:sz w:val="14"/>
                <w:szCs w:val="14"/>
                <w:color w:val="auto"/>
              </w:rPr>
              <w:t>If tax or securities regulations make it impracticable or inefficient to make grants under the stock incentive plan, we</w:t>
            </w:r>
          </w:p>
        </w:tc>
      </w:tr>
      <w:tr>
        <w:trPr>
          <w:trHeight w:val="189"/>
        </w:trPr>
        <w:tc>
          <w:tcPr>
            <w:tcW w:w="3300" w:type="dxa"/>
            <w:vAlign w:val="bottom"/>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may allocate units under this plan to executive officers and senior employees.</w:t>
            </w:r>
          </w:p>
        </w:tc>
      </w:tr>
      <w:tr>
        <w:trPr>
          <w:trHeight w:val="48"/>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Maximum number of shares issuable</w:t>
            </w:r>
          </w:p>
        </w:tc>
        <w:tc>
          <w:tcPr>
            <w:tcW w:w="7620" w:type="dxa"/>
            <w:vAlign w:val="bottom"/>
          </w:tcPr>
          <w:p>
            <w:pPr>
              <w:ind w:left="220"/>
              <w:spacing w:after="0"/>
              <w:rPr>
                <w:sz w:val="20"/>
                <w:szCs w:val="20"/>
                <w:color w:val="auto"/>
              </w:rPr>
            </w:pPr>
            <w:r>
              <w:rPr>
                <w:rFonts w:ascii="Arial" w:cs="Arial" w:eastAsia="Arial" w:hAnsi="Arial"/>
                <w:sz w:val="14"/>
                <w:szCs w:val="14"/>
                <w:color w:val="auto"/>
              </w:rPr>
              <w:t>Not applicable, since all awards are cash-based.</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Issued as of December 31, 2023</w:t>
            </w:r>
          </w:p>
        </w:tc>
        <w:tc>
          <w:tcPr>
            <w:tcW w:w="7620" w:type="dxa"/>
            <w:vAlign w:val="bottom"/>
          </w:tcPr>
          <w:p>
            <w:pPr>
              <w:ind w:left="220"/>
              <w:spacing w:after="0"/>
              <w:rPr>
                <w:sz w:val="20"/>
                <w:szCs w:val="20"/>
                <w:color w:val="auto"/>
              </w:rPr>
            </w:pPr>
            <w:r>
              <w:rPr>
                <w:rFonts w:ascii="Arial" w:cs="Arial" w:eastAsia="Arial" w:hAnsi="Arial"/>
                <w:sz w:val="14"/>
                <w:szCs w:val="14"/>
                <w:color w:val="auto"/>
              </w:rPr>
              <w:t>Not applicable, since all awards are cash-based.</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Available for issue as of December 31, 2023</w:t>
            </w:r>
          </w:p>
        </w:tc>
        <w:tc>
          <w:tcPr>
            <w:tcW w:w="7620" w:type="dxa"/>
            <w:vAlign w:val="bottom"/>
          </w:tcPr>
          <w:p>
            <w:pPr>
              <w:ind w:left="220"/>
              <w:spacing w:after="0"/>
              <w:rPr>
                <w:sz w:val="20"/>
                <w:szCs w:val="20"/>
                <w:color w:val="auto"/>
              </w:rPr>
            </w:pPr>
            <w:r>
              <w:rPr>
                <w:rFonts w:ascii="Arial" w:cs="Arial" w:eastAsia="Arial" w:hAnsi="Arial"/>
                <w:sz w:val="14"/>
                <w:szCs w:val="14"/>
                <w:color w:val="auto"/>
              </w:rPr>
              <w:t>Not applicable, since all awards are cash-based.</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Total SARs outstanding</w:t>
            </w:r>
          </w:p>
        </w:tc>
        <w:tc>
          <w:tcPr>
            <w:tcW w:w="7620" w:type="dxa"/>
            <w:vAlign w:val="bottom"/>
          </w:tcPr>
          <w:p>
            <w:pPr>
              <w:ind w:left="220"/>
              <w:spacing w:after="0"/>
              <w:rPr>
                <w:sz w:val="20"/>
                <w:szCs w:val="20"/>
                <w:color w:val="auto"/>
              </w:rPr>
            </w:pPr>
            <w:r>
              <w:rPr>
                <w:rFonts w:ascii="Arial" w:cs="Arial" w:eastAsia="Arial" w:hAnsi="Arial"/>
                <w:sz w:val="14"/>
                <w:szCs w:val="14"/>
                <w:color w:val="auto"/>
              </w:rPr>
              <w:t>Not applicable, since all awards are cash-based.</w:t>
            </w:r>
          </w:p>
        </w:tc>
      </w:tr>
      <w:tr>
        <w:trPr>
          <w:trHeight w:val="195"/>
        </w:trPr>
        <w:tc>
          <w:tcPr>
            <w:tcW w:w="3300" w:type="dxa"/>
            <w:vAlign w:val="bottom"/>
          </w:tcPr>
          <w:p>
            <w:pPr>
              <w:spacing w:after="0"/>
              <w:rPr>
                <w:sz w:val="20"/>
                <w:szCs w:val="20"/>
                <w:color w:val="auto"/>
              </w:rPr>
            </w:pPr>
            <w:r>
              <w:rPr>
                <w:rFonts w:ascii="Arial" w:cs="Arial" w:eastAsia="Arial" w:hAnsi="Arial"/>
                <w:sz w:val="14"/>
                <w:szCs w:val="14"/>
                <w:b w:val="1"/>
                <w:bCs w:val="1"/>
                <w:color w:val="auto"/>
              </w:rPr>
              <w:t>as of December 31, 2023</w:t>
            </w:r>
          </w:p>
        </w:tc>
        <w:tc>
          <w:tcPr>
            <w:tcW w:w="7620" w:type="dxa"/>
            <w:vAlign w:val="bottom"/>
          </w:tcPr>
          <w:p>
            <w:pPr>
              <w:spacing w:after="0"/>
              <w:rPr>
                <w:sz w:val="16"/>
                <w:szCs w:val="16"/>
                <w:color w:val="auto"/>
              </w:rPr>
            </w:pPr>
          </w:p>
        </w:tc>
      </w:tr>
      <w:tr>
        <w:trPr>
          <w:trHeight w:val="55"/>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Burn rate – the total number of SARs granted</w:t>
            </w:r>
          </w:p>
        </w:tc>
        <w:tc>
          <w:tcPr>
            <w:tcW w:w="7620" w:type="dxa"/>
            <w:vAlign w:val="bottom"/>
          </w:tcPr>
          <w:p>
            <w:pPr>
              <w:ind w:left="220"/>
              <w:spacing w:after="0"/>
              <w:rPr>
                <w:sz w:val="20"/>
                <w:szCs w:val="20"/>
                <w:color w:val="auto"/>
              </w:rPr>
            </w:pPr>
            <w:r>
              <w:rPr>
                <w:rFonts w:ascii="Arial" w:cs="Arial" w:eastAsia="Arial" w:hAnsi="Arial"/>
                <w:sz w:val="14"/>
                <w:szCs w:val="14"/>
                <w:color w:val="auto"/>
              </w:rPr>
              <w:t>Not applicable, since all awards are cash-based.</w:t>
            </w:r>
          </w:p>
        </w:tc>
      </w:tr>
      <w:tr>
        <w:trPr>
          <w:trHeight w:val="160"/>
        </w:trPr>
        <w:tc>
          <w:tcPr>
            <w:tcW w:w="3300" w:type="dxa"/>
            <w:vAlign w:val="bottom"/>
          </w:tcPr>
          <w:p>
            <w:pPr>
              <w:spacing w:after="0"/>
              <w:rPr>
                <w:sz w:val="20"/>
                <w:szCs w:val="20"/>
                <w:color w:val="auto"/>
              </w:rPr>
            </w:pPr>
            <w:r>
              <w:rPr>
                <w:rFonts w:ascii="Arial" w:cs="Arial" w:eastAsia="Arial" w:hAnsi="Arial"/>
                <w:sz w:val="14"/>
                <w:szCs w:val="14"/>
                <w:b w:val="1"/>
                <w:bCs w:val="1"/>
                <w:color w:val="auto"/>
              </w:rPr>
              <w:t>in the applicable year, divided by the total</w:t>
            </w:r>
          </w:p>
        </w:tc>
        <w:tc>
          <w:tcPr>
            <w:tcW w:w="7620" w:type="dxa"/>
            <w:vAlign w:val="bottom"/>
          </w:tcPr>
          <w:p>
            <w:pPr>
              <w:spacing w:after="0"/>
              <w:rPr>
                <w:sz w:val="13"/>
                <w:szCs w:val="13"/>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4"/>
                <w:szCs w:val="14"/>
                <w:b w:val="1"/>
                <w:bCs w:val="1"/>
                <w:color w:val="auto"/>
              </w:rPr>
              <w:t>weighted average of common shares</w:t>
            </w:r>
          </w:p>
        </w:tc>
        <w:tc>
          <w:tcPr>
            <w:tcW w:w="7620" w:type="dxa"/>
            <w:vAlign w:val="bottom"/>
          </w:tcPr>
          <w:p>
            <w:pPr>
              <w:spacing w:after="0"/>
              <w:rPr>
                <w:sz w:val="13"/>
                <w:szCs w:val="13"/>
                <w:color w:val="auto"/>
              </w:rPr>
            </w:pPr>
          </w:p>
        </w:tc>
      </w:tr>
      <w:tr>
        <w:trPr>
          <w:trHeight w:val="195"/>
        </w:trPr>
        <w:tc>
          <w:tcPr>
            <w:tcW w:w="3300" w:type="dxa"/>
            <w:vAlign w:val="bottom"/>
          </w:tcPr>
          <w:p>
            <w:pPr>
              <w:spacing w:after="0"/>
              <w:rPr>
                <w:sz w:val="20"/>
                <w:szCs w:val="20"/>
                <w:color w:val="auto"/>
              </w:rPr>
            </w:pPr>
            <w:r>
              <w:rPr>
                <w:rFonts w:ascii="Arial" w:cs="Arial" w:eastAsia="Arial" w:hAnsi="Arial"/>
                <w:sz w:val="14"/>
                <w:szCs w:val="14"/>
                <w:b w:val="1"/>
                <w:bCs w:val="1"/>
                <w:color w:val="auto"/>
              </w:rPr>
              <w:t>outstanding during the year</w:t>
            </w:r>
          </w:p>
        </w:tc>
        <w:tc>
          <w:tcPr>
            <w:tcW w:w="7620" w:type="dxa"/>
            <w:vAlign w:val="bottom"/>
          </w:tcPr>
          <w:p>
            <w:pPr>
              <w:spacing w:after="0"/>
              <w:rPr>
                <w:sz w:val="16"/>
                <w:szCs w:val="16"/>
                <w:color w:val="auto"/>
              </w:rPr>
            </w:pP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Types of awards that may be issued</w:t>
            </w:r>
          </w:p>
        </w:tc>
        <w:tc>
          <w:tcPr>
            <w:tcW w:w="7620" w:type="dxa"/>
            <w:vAlign w:val="bottom"/>
          </w:tcPr>
          <w:p>
            <w:pPr>
              <w:ind w:left="220"/>
              <w:spacing w:after="0"/>
              <w:rPr>
                <w:sz w:val="20"/>
                <w:szCs w:val="20"/>
                <w:color w:val="auto"/>
              </w:rPr>
            </w:pPr>
            <w:r>
              <w:rPr>
                <w:rFonts w:ascii="Arial" w:cs="Arial" w:eastAsia="Arial" w:hAnsi="Arial"/>
                <w:sz w:val="14"/>
                <w:szCs w:val="14"/>
                <w:color w:val="auto"/>
              </w:rPr>
              <w:t>SARs and other cash-based awards.</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Maximum SAR term</w:t>
            </w:r>
          </w:p>
        </w:tc>
        <w:tc>
          <w:tcPr>
            <w:tcW w:w="7620" w:type="dxa"/>
            <w:vAlign w:val="bottom"/>
          </w:tcPr>
          <w:p>
            <w:pPr>
              <w:ind w:left="220"/>
              <w:spacing w:after="0"/>
              <w:rPr>
                <w:sz w:val="20"/>
                <w:szCs w:val="20"/>
                <w:color w:val="auto"/>
              </w:rPr>
            </w:pPr>
            <w:r>
              <w:rPr>
                <w:rFonts w:ascii="Arial" w:cs="Arial" w:eastAsia="Arial" w:hAnsi="Arial"/>
                <w:sz w:val="14"/>
                <w:szCs w:val="14"/>
                <w:color w:val="auto"/>
              </w:rPr>
              <w:t>10-year expiration date from the date of grant.</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Exercise price of SARs</w:t>
            </w:r>
          </w:p>
        </w:tc>
        <w:tc>
          <w:tcPr>
            <w:tcW w:w="7620" w:type="dxa"/>
            <w:vAlign w:val="bottom"/>
          </w:tcPr>
          <w:p>
            <w:pPr>
              <w:ind w:left="220"/>
              <w:spacing w:after="0"/>
              <w:rPr>
                <w:sz w:val="20"/>
                <w:szCs w:val="20"/>
                <w:color w:val="auto"/>
              </w:rPr>
            </w:pPr>
            <w:r>
              <w:rPr>
                <w:rFonts w:ascii="Arial" w:cs="Arial" w:eastAsia="Arial" w:hAnsi="Arial"/>
                <w:sz w:val="14"/>
                <w:szCs w:val="14"/>
                <w:color w:val="auto"/>
              </w:rPr>
              <w:t>Equal to the closing price of our shares on the trading day immediately preceding the date of the grant.</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Vesting and exercise of SARs</w:t>
            </w:r>
          </w:p>
        </w:tc>
        <w:tc>
          <w:tcPr>
            <w:tcW w:w="7620" w:type="dxa"/>
            <w:vAlign w:val="bottom"/>
          </w:tcPr>
          <w:p>
            <w:pPr>
              <w:ind w:left="220"/>
              <w:spacing w:after="0"/>
              <w:rPr>
                <w:sz w:val="20"/>
                <w:szCs w:val="20"/>
                <w:color w:val="auto"/>
              </w:rPr>
            </w:pPr>
            <w:r>
              <w:rPr>
                <w:rFonts w:ascii="Arial" w:cs="Arial" w:eastAsia="Arial" w:hAnsi="Arial"/>
                <w:sz w:val="14"/>
                <w:szCs w:val="14"/>
                <w:color w:val="auto"/>
              </w:rPr>
              <w:t>SARs must be vested before they can be exercised. SARs vest 25% each year over a four year period.</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Expiration of SARs</w:t>
            </w:r>
          </w:p>
        </w:tc>
        <w:tc>
          <w:tcPr>
            <w:tcW w:w="7620" w:type="dxa"/>
            <w:vAlign w:val="bottom"/>
          </w:tcPr>
          <w:p>
            <w:pPr>
              <w:ind w:left="220"/>
              <w:spacing w:after="0"/>
              <w:rPr>
                <w:sz w:val="20"/>
                <w:szCs w:val="20"/>
                <w:color w:val="auto"/>
              </w:rPr>
            </w:pPr>
            <w:r>
              <w:rPr>
                <w:rFonts w:ascii="Arial" w:cs="Arial" w:eastAsia="Arial" w:hAnsi="Arial"/>
                <w:sz w:val="14"/>
                <w:szCs w:val="14"/>
                <w:color w:val="auto"/>
              </w:rPr>
              <w:t>Identical to the provisions of the stock incentive plan described above.</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Plan amendments and changes</w:t>
            </w:r>
          </w:p>
        </w:tc>
        <w:tc>
          <w:tcPr>
            <w:tcW w:w="7620" w:type="dxa"/>
            <w:vAlign w:val="bottom"/>
          </w:tcPr>
          <w:p>
            <w:pPr>
              <w:ind w:left="220"/>
              <w:spacing w:after="0"/>
              <w:rPr>
                <w:sz w:val="20"/>
                <w:szCs w:val="20"/>
                <w:color w:val="auto"/>
              </w:rPr>
            </w:pPr>
            <w:r>
              <w:rPr>
                <w:rFonts w:ascii="Arial" w:cs="Arial" w:eastAsia="Arial" w:hAnsi="Arial"/>
                <w:sz w:val="14"/>
                <w:szCs w:val="14"/>
                <w:color w:val="auto"/>
              </w:rPr>
              <w:t>Substantially similar to the provisions of the stock incentive plan described above.</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Exercise process</w:t>
            </w:r>
          </w:p>
        </w:tc>
        <w:tc>
          <w:tcPr>
            <w:tcW w:w="7620" w:type="dxa"/>
            <w:vAlign w:val="bottom"/>
          </w:tcPr>
          <w:p>
            <w:pPr>
              <w:ind w:left="220"/>
              <w:spacing w:after="0"/>
              <w:rPr>
                <w:sz w:val="20"/>
                <w:szCs w:val="20"/>
                <w:color w:val="auto"/>
              </w:rPr>
            </w:pPr>
            <w:r>
              <w:rPr>
                <w:rFonts w:ascii="Arial" w:cs="Arial" w:eastAsia="Arial" w:hAnsi="Arial"/>
                <w:sz w:val="14"/>
                <w:szCs w:val="14"/>
                <w:color w:val="auto"/>
              </w:rPr>
              <w:t>Election made to Corporate Human Resources Department; no payments due upon exercise.</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Transfers and assignments</w:t>
            </w:r>
          </w:p>
        </w:tc>
        <w:tc>
          <w:tcPr>
            <w:tcW w:w="7620" w:type="dxa"/>
            <w:vAlign w:val="bottom"/>
          </w:tcPr>
          <w:p>
            <w:pPr>
              <w:ind w:left="220"/>
              <w:spacing w:after="0"/>
              <w:rPr>
                <w:sz w:val="20"/>
                <w:szCs w:val="20"/>
                <w:color w:val="auto"/>
              </w:rPr>
            </w:pPr>
            <w:r>
              <w:rPr>
                <w:rFonts w:ascii="Arial" w:cs="Arial" w:eastAsia="Arial" w:hAnsi="Arial"/>
                <w:sz w:val="14"/>
                <w:szCs w:val="14"/>
                <w:color w:val="auto"/>
              </w:rPr>
              <w:t>Identical to the provisions of the stock incentive plan described above.</w:t>
            </w:r>
          </w:p>
        </w:tc>
      </w:tr>
      <w:tr>
        <w:trPr>
          <w:trHeight w:val="42"/>
        </w:trPr>
        <w:tc>
          <w:tcPr>
            <w:tcW w:w="3300" w:type="dxa"/>
            <w:vAlign w:val="bottom"/>
            <w:tcBorders>
              <w:bottom w:val="single" w:sz="8" w:color="B94831"/>
            </w:tcBorders>
          </w:tcPr>
          <w:p>
            <w:pPr>
              <w:spacing w:after="0"/>
              <w:rPr>
                <w:sz w:val="3"/>
                <w:szCs w:val="3"/>
                <w:color w:val="auto"/>
              </w:rPr>
            </w:pPr>
          </w:p>
        </w:tc>
        <w:tc>
          <w:tcPr>
            <w:tcW w:w="7620" w:type="dxa"/>
            <w:vAlign w:val="bottom"/>
            <w:tcBorders>
              <w:bottom w:val="single" w:sz="8" w:color="B94831"/>
            </w:tcBorders>
          </w:tcPr>
          <w:p>
            <w:pPr>
              <w:spacing w:after="0"/>
              <w:rPr>
                <w:sz w:val="3"/>
                <w:szCs w:val="3"/>
                <w:color w:val="auto"/>
              </w:rPr>
            </w:pPr>
          </w:p>
        </w:tc>
      </w:tr>
      <w:tr>
        <w:trPr>
          <w:trHeight w:val="234"/>
        </w:trPr>
        <w:tc>
          <w:tcPr>
            <w:tcW w:w="330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216"/>
        </w:trPr>
        <w:tc>
          <w:tcPr>
            <w:tcW w:w="3300" w:type="dxa"/>
            <w:vAlign w:val="bottom"/>
            <w:shd w:val="clear" w:color="auto" w:fill="262626"/>
          </w:tcPr>
          <w:p>
            <w:pPr>
              <w:spacing w:after="0"/>
              <w:rPr>
                <w:sz w:val="20"/>
                <w:szCs w:val="20"/>
                <w:color w:val="auto"/>
              </w:rPr>
            </w:pPr>
            <w:r>
              <w:rPr>
                <w:rFonts w:ascii="Arial" w:cs="Arial" w:eastAsia="Arial" w:hAnsi="Arial"/>
                <w:sz w:val="15"/>
                <w:szCs w:val="15"/>
                <w:b w:val="1"/>
                <w:bCs w:val="1"/>
                <w:color w:val="FFFFFF"/>
              </w:rPr>
              <w:t>Deferred Compensation Plan</w:t>
            </w:r>
          </w:p>
        </w:tc>
        <w:tc>
          <w:tcPr>
            <w:tcW w:w="7620" w:type="dxa"/>
            <w:vAlign w:val="bottom"/>
            <w:shd w:val="clear" w:color="auto" w:fill="262626"/>
          </w:tcPr>
          <w:p>
            <w:pPr>
              <w:spacing w:after="0"/>
              <w:rPr>
                <w:sz w:val="18"/>
                <w:szCs w:val="18"/>
                <w:color w:val="auto"/>
              </w:rPr>
            </w:pPr>
          </w:p>
        </w:tc>
      </w:tr>
      <w:tr>
        <w:trPr>
          <w:trHeight w:val="64"/>
        </w:trPr>
        <w:tc>
          <w:tcPr>
            <w:tcW w:w="3300" w:type="dxa"/>
            <w:vAlign w:val="bottom"/>
            <w:shd w:val="clear" w:color="auto" w:fill="262626"/>
          </w:tcPr>
          <w:p>
            <w:pPr>
              <w:spacing w:after="0"/>
              <w:rPr>
                <w:sz w:val="5"/>
                <w:szCs w:val="5"/>
                <w:color w:val="auto"/>
              </w:rPr>
            </w:pPr>
          </w:p>
        </w:tc>
        <w:tc>
          <w:tcPr>
            <w:tcW w:w="7620" w:type="dxa"/>
            <w:vAlign w:val="bottom"/>
            <w:shd w:val="clear" w:color="auto" w:fill="262626"/>
          </w:tcPr>
          <w:p>
            <w:pPr>
              <w:spacing w:after="0"/>
              <w:rPr>
                <w:sz w:val="5"/>
                <w:szCs w:val="5"/>
                <w:color w:val="auto"/>
              </w:rPr>
            </w:pPr>
          </w:p>
        </w:tc>
      </w:tr>
      <w:tr>
        <w:trPr>
          <w:trHeight w:val="239"/>
        </w:trPr>
        <w:tc>
          <w:tcPr>
            <w:tcW w:w="3300" w:type="dxa"/>
            <w:vAlign w:val="bottom"/>
          </w:tcPr>
          <w:p>
            <w:pPr>
              <w:spacing w:after="0"/>
              <w:rPr>
                <w:sz w:val="20"/>
                <w:szCs w:val="20"/>
                <w:color w:val="auto"/>
              </w:rPr>
            </w:pPr>
            <w:r>
              <w:rPr>
                <w:rFonts w:ascii="Arial" w:cs="Arial" w:eastAsia="Arial" w:hAnsi="Arial"/>
                <w:sz w:val="14"/>
                <w:szCs w:val="14"/>
                <w:b w:val="1"/>
                <w:bCs w:val="1"/>
                <w:color w:val="auto"/>
              </w:rPr>
              <w:t>Eligibility</w:t>
            </w:r>
          </w:p>
        </w:tc>
        <w:tc>
          <w:tcPr>
            <w:tcW w:w="7620" w:type="dxa"/>
            <w:vAlign w:val="bottom"/>
          </w:tcPr>
          <w:p>
            <w:pPr>
              <w:ind w:left="220"/>
              <w:spacing w:after="0"/>
              <w:rPr>
                <w:sz w:val="20"/>
                <w:szCs w:val="20"/>
                <w:color w:val="auto"/>
              </w:rPr>
            </w:pPr>
            <w:r>
              <w:rPr>
                <w:rFonts w:ascii="Arial" w:cs="Arial" w:eastAsia="Arial" w:hAnsi="Arial"/>
                <w:sz w:val="14"/>
                <w:szCs w:val="14"/>
                <w:color w:val="auto"/>
              </w:rPr>
              <w:t>Limited number of key executives in the United States.</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Purpose</w:t>
            </w:r>
          </w:p>
        </w:tc>
        <w:tc>
          <w:tcPr>
            <w:tcW w:w="7620" w:type="dxa"/>
            <w:vAlign w:val="bottom"/>
          </w:tcPr>
          <w:p>
            <w:pPr>
              <w:ind w:left="220"/>
              <w:spacing w:after="0"/>
              <w:rPr>
                <w:sz w:val="20"/>
                <w:szCs w:val="20"/>
                <w:color w:val="auto"/>
              </w:rPr>
            </w:pPr>
            <w:r>
              <w:rPr>
                <w:rFonts w:ascii="Arial" w:cs="Arial" w:eastAsia="Arial" w:hAnsi="Arial"/>
                <w:sz w:val="14"/>
                <w:szCs w:val="14"/>
                <w:color w:val="auto"/>
              </w:rPr>
              <w:t>Provide specified benefits to a select group of senior management who contribute materially to the continued growth,</w:t>
            </w:r>
          </w:p>
        </w:tc>
      </w:tr>
      <w:tr>
        <w:trPr>
          <w:trHeight w:val="189"/>
        </w:trPr>
        <w:tc>
          <w:tcPr>
            <w:tcW w:w="3300" w:type="dxa"/>
            <w:vAlign w:val="bottom"/>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development and future business success of Thomson Reuters.</w:t>
            </w:r>
          </w:p>
        </w:tc>
      </w:tr>
      <w:tr>
        <w:trPr>
          <w:trHeight w:val="48"/>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Maximum number of shares issuable</w:t>
            </w:r>
          </w:p>
        </w:tc>
        <w:tc>
          <w:tcPr>
            <w:tcW w:w="7620" w:type="dxa"/>
            <w:vAlign w:val="bottom"/>
          </w:tcPr>
          <w:p>
            <w:pPr>
              <w:ind w:left="220"/>
              <w:spacing w:after="0"/>
              <w:rPr>
                <w:sz w:val="20"/>
                <w:szCs w:val="20"/>
                <w:color w:val="auto"/>
              </w:rPr>
            </w:pPr>
            <w:r>
              <w:rPr>
                <w:rFonts w:ascii="Arial" w:cs="Arial" w:eastAsia="Arial" w:hAnsi="Arial"/>
                <w:sz w:val="14"/>
                <w:szCs w:val="14"/>
                <w:color w:val="auto"/>
              </w:rPr>
              <w:t>6,488,478 shares, representing approximately 1.43% of our total issued and outstanding shares as of year end.</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Shares issued as of December 31, 2023</w:t>
            </w:r>
          </w:p>
        </w:tc>
        <w:tc>
          <w:tcPr>
            <w:tcW w:w="7620" w:type="dxa"/>
            <w:vAlign w:val="bottom"/>
          </w:tcPr>
          <w:p>
            <w:pPr>
              <w:ind w:left="220"/>
              <w:spacing w:after="0"/>
              <w:rPr>
                <w:sz w:val="20"/>
                <w:szCs w:val="20"/>
                <w:color w:val="auto"/>
              </w:rPr>
            </w:pPr>
            <w:r>
              <w:rPr>
                <w:rFonts w:ascii="Arial" w:cs="Arial" w:eastAsia="Arial" w:hAnsi="Arial"/>
                <w:sz w:val="14"/>
                <w:szCs w:val="14"/>
                <w:color w:val="auto"/>
              </w:rPr>
              <w:t>1,835,331 shares, representing approximately 0.41% of our total issued and outstanding shares.</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Total DSUs outstanding</w:t>
            </w:r>
          </w:p>
        </w:tc>
        <w:tc>
          <w:tcPr>
            <w:tcW w:w="7620" w:type="dxa"/>
            <w:vAlign w:val="bottom"/>
          </w:tcPr>
          <w:p>
            <w:pPr>
              <w:ind w:left="220"/>
              <w:spacing w:after="0"/>
              <w:rPr>
                <w:sz w:val="20"/>
                <w:szCs w:val="20"/>
                <w:color w:val="auto"/>
              </w:rPr>
            </w:pPr>
            <w:r>
              <w:rPr>
                <w:rFonts w:ascii="Arial" w:cs="Arial" w:eastAsia="Arial" w:hAnsi="Arial"/>
                <w:sz w:val="14"/>
                <w:szCs w:val="14"/>
                <w:color w:val="auto"/>
              </w:rPr>
              <w:t>Total DSUs outstanding of 190,215 as of year-end 2023 represented approximately 0.04% of our total issued and</w:t>
            </w:r>
          </w:p>
        </w:tc>
      </w:tr>
      <w:tr>
        <w:trPr>
          <w:trHeight w:val="195"/>
        </w:trPr>
        <w:tc>
          <w:tcPr>
            <w:tcW w:w="3300" w:type="dxa"/>
            <w:vAlign w:val="bottom"/>
          </w:tcPr>
          <w:p>
            <w:pPr>
              <w:spacing w:after="0"/>
              <w:rPr>
                <w:sz w:val="20"/>
                <w:szCs w:val="20"/>
                <w:color w:val="auto"/>
              </w:rPr>
            </w:pPr>
            <w:r>
              <w:rPr>
                <w:rFonts w:ascii="Arial" w:cs="Arial" w:eastAsia="Arial" w:hAnsi="Arial"/>
                <w:sz w:val="14"/>
                <w:szCs w:val="14"/>
                <w:b w:val="1"/>
                <w:bCs w:val="1"/>
                <w:color w:val="auto"/>
              </w:rPr>
              <w:t>as of December 31, 2023</w:t>
            </w:r>
          </w:p>
        </w:tc>
        <w:tc>
          <w:tcPr>
            <w:tcW w:w="7620" w:type="dxa"/>
            <w:vAlign w:val="bottom"/>
          </w:tcPr>
          <w:p>
            <w:pPr>
              <w:ind w:left="220"/>
              <w:spacing w:after="0"/>
              <w:rPr>
                <w:sz w:val="20"/>
                <w:szCs w:val="20"/>
                <w:color w:val="auto"/>
              </w:rPr>
            </w:pPr>
            <w:r>
              <w:rPr>
                <w:rFonts w:ascii="Arial" w:cs="Arial" w:eastAsia="Arial" w:hAnsi="Arial"/>
                <w:sz w:val="14"/>
                <w:szCs w:val="14"/>
                <w:color w:val="auto"/>
              </w:rPr>
              <w:t>outstanding shares.</w:t>
            </w:r>
          </w:p>
        </w:tc>
      </w:tr>
      <w:tr>
        <w:trPr>
          <w:trHeight w:val="55"/>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Shares available for issue as of</w:t>
            </w:r>
          </w:p>
        </w:tc>
        <w:tc>
          <w:tcPr>
            <w:tcW w:w="7620" w:type="dxa"/>
            <w:vAlign w:val="bottom"/>
          </w:tcPr>
          <w:p>
            <w:pPr>
              <w:ind w:left="220"/>
              <w:spacing w:after="0"/>
              <w:rPr>
                <w:sz w:val="20"/>
                <w:szCs w:val="20"/>
                <w:color w:val="auto"/>
              </w:rPr>
            </w:pPr>
            <w:r>
              <w:rPr>
                <w:rFonts w:ascii="Arial" w:cs="Arial" w:eastAsia="Arial" w:hAnsi="Arial"/>
                <w:sz w:val="14"/>
                <w:szCs w:val="14"/>
                <w:color w:val="auto"/>
              </w:rPr>
              <w:t>4,462,932 shares, representing approximately 0.99% of our total issued and outstanding shares.</w:t>
            </w:r>
          </w:p>
        </w:tc>
      </w:tr>
      <w:tr>
        <w:trPr>
          <w:trHeight w:val="195"/>
        </w:trPr>
        <w:tc>
          <w:tcPr>
            <w:tcW w:w="3300" w:type="dxa"/>
            <w:vAlign w:val="bottom"/>
          </w:tcPr>
          <w:p>
            <w:pPr>
              <w:spacing w:after="0"/>
              <w:rPr>
                <w:sz w:val="20"/>
                <w:szCs w:val="20"/>
                <w:color w:val="auto"/>
              </w:rPr>
            </w:pPr>
            <w:r>
              <w:rPr>
                <w:rFonts w:ascii="Arial" w:cs="Arial" w:eastAsia="Arial" w:hAnsi="Arial"/>
                <w:sz w:val="14"/>
                <w:szCs w:val="14"/>
                <w:b w:val="1"/>
                <w:bCs w:val="1"/>
                <w:color w:val="auto"/>
              </w:rPr>
              <w:t>December 31, 2023</w:t>
            </w:r>
          </w:p>
        </w:tc>
        <w:tc>
          <w:tcPr>
            <w:tcW w:w="7620" w:type="dxa"/>
            <w:vAlign w:val="bottom"/>
          </w:tcPr>
          <w:p>
            <w:pPr>
              <w:spacing w:after="0"/>
              <w:rPr>
                <w:sz w:val="16"/>
                <w:szCs w:val="16"/>
                <w:color w:val="auto"/>
              </w:rPr>
            </w:pPr>
          </w:p>
        </w:tc>
      </w:tr>
      <w:tr>
        <w:trPr>
          <w:trHeight w:val="55"/>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Types of equity-based awards that may be</w:t>
            </w:r>
          </w:p>
        </w:tc>
        <w:tc>
          <w:tcPr>
            <w:tcW w:w="7620" w:type="dxa"/>
            <w:vAlign w:val="bottom"/>
          </w:tcPr>
          <w:p>
            <w:pPr>
              <w:ind w:left="220"/>
              <w:spacing w:after="0"/>
              <w:rPr>
                <w:sz w:val="20"/>
                <w:szCs w:val="20"/>
                <w:color w:val="auto"/>
              </w:rPr>
            </w:pPr>
            <w:r>
              <w:rPr>
                <w:rFonts w:ascii="Arial" w:cs="Arial" w:eastAsia="Arial" w:hAnsi="Arial"/>
                <w:sz w:val="14"/>
                <w:szCs w:val="14"/>
                <w:color w:val="auto"/>
              </w:rPr>
              <w:t>Deferred share units (DSUs)</w:t>
            </w:r>
          </w:p>
        </w:tc>
      </w:tr>
      <w:tr>
        <w:trPr>
          <w:trHeight w:val="195"/>
        </w:trPr>
        <w:tc>
          <w:tcPr>
            <w:tcW w:w="3300" w:type="dxa"/>
            <w:vAlign w:val="bottom"/>
          </w:tcPr>
          <w:p>
            <w:pPr>
              <w:spacing w:after="0"/>
              <w:rPr>
                <w:sz w:val="20"/>
                <w:szCs w:val="20"/>
                <w:color w:val="auto"/>
              </w:rPr>
            </w:pPr>
            <w:r>
              <w:rPr>
                <w:rFonts w:ascii="Arial" w:cs="Arial" w:eastAsia="Arial" w:hAnsi="Arial"/>
                <w:sz w:val="14"/>
                <w:szCs w:val="14"/>
                <w:b w:val="1"/>
                <w:bCs w:val="1"/>
                <w:color w:val="auto"/>
              </w:rPr>
              <w:t>issued</w:t>
            </w:r>
          </w:p>
        </w:tc>
        <w:tc>
          <w:tcPr>
            <w:tcW w:w="7620" w:type="dxa"/>
            <w:vAlign w:val="bottom"/>
          </w:tcPr>
          <w:p>
            <w:pPr>
              <w:spacing w:after="0"/>
              <w:rPr>
                <w:sz w:val="16"/>
                <w:szCs w:val="16"/>
                <w:color w:val="auto"/>
              </w:rPr>
            </w:pPr>
          </w:p>
        </w:tc>
      </w:tr>
      <w:tr>
        <w:trPr>
          <w:trHeight w:val="55"/>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Types of deferrals</w:t>
            </w:r>
          </w:p>
        </w:tc>
        <w:tc>
          <w:tcPr>
            <w:tcW w:w="7620" w:type="dxa"/>
            <w:vAlign w:val="bottom"/>
          </w:tcPr>
          <w:p>
            <w:pPr>
              <w:ind w:left="220"/>
              <w:spacing w:after="0"/>
              <w:rPr>
                <w:sz w:val="20"/>
                <w:szCs w:val="20"/>
                <w:color w:val="auto"/>
              </w:rPr>
            </w:pPr>
            <w:r>
              <w:rPr>
                <w:rFonts w:ascii="Arial" w:cs="Arial" w:eastAsia="Arial" w:hAnsi="Arial"/>
                <w:sz w:val="14"/>
                <w:szCs w:val="14"/>
                <w:color w:val="auto"/>
              </w:rPr>
              <w:t>Annual base salary as well as annual/long-term incentive awards.</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Election process</w:t>
            </w:r>
          </w:p>
        </w:tc>
        <w:tc>
          <w:tcPr>
            <w:tcW w:w="7620" w:type="dxa"/>
            <w:vAlign w:val="bottom"/>
          </w:tcPr>
          <w:p>
            <w:pPr>
              <w:ind w:left="220"/>
              <w:spacing w:after="0"/>
              <w:rPr>
                <w:sz w:val="20"/>
                <w:szCs w:val="20"/>
                <w:color w:val="auto"/>
              </w:rPr>
            </w:pPr>
            <w:r>
              <w:rPr>
                <w:rFonts w:ascii="Arial" w:cs="Arial" w:eastAsia="Arial" w:hAnsi="Arial"/>
                <w:sz w:val="14"/>
                <w:szCs w:val="14"/>
                <w:color w:val="auto"/>
              </w:rPr>
              <w:t>Irrevocable elections to participate in the plan are made before the beginning of the year.</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b w:val="1"/>
                <w:bCs w:val="1"/>
                <w:color w:val="auto"/>
              </w:rPr>
              <w:t>Value of DSUs</w:t>
            </w:r>
          </w:p>
        </w:tc>
        <w:tc>
          <w:tcPr>
            <w:tcW w:w="7620" w:type="dxa"/>
            <w:vAlign w:val="bottom"/>
          </w:tcPr>
          <w:p>
            <w:pPr>
              <w:ind w:left="220"/>
              <w:spacing w:after="0"/>
              <w:rPr>
                <w:sz w:val="20"/>
                <w:szCs w:val="20"/>
                <w:color w:val="auto"/>
              </w:rPr>
            </w:pPr>
            <w:r>
              <w:rPr>
                <w:rFonts w:ascii="Arial" w:cs="Arial" w:eastAsia="Arial" w:hAnsi="Arial"/>
                <w:sz w:val="14"/>
                <w:szCs w:val="14"/>
                <w:color w:val="auto"/>
              </w:rPr>
              <w:t>Deferred cash can be converted into DSUs based on the closing price of our common shares on the day before the</w:t>
            </w:r>
          </w:p>
        </w:tc>
      </w:tr>
      <w:tr>
        <w:trPr>
          <w:trHeight w:val="160"/>
        </w:trPr>
        <w:tc>
          <w:tcPr>
            <w:tcW w:w="3300" w:type="dxa"/>
            <w:vAlign w:val="bottom"/>
          </w:tcPr>
          <w:p>
            <w:pPr>
              <w:spacing w:after="0"/>
              <w:rPr>
                <w:sz w:val="13"/>
                <w:szCs w:val="13"/>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deferral or conversion. If a participant elects to hold DSUs, we credit his or her plan account with a 10% DSU match,</w:t>
            </w:r>
          </w:p>
        </w:tc>
      </w:tr>
      <w:tr>
        <w:trPr>
          <w:trHeight w:val="160"/>
        </w:trPr>
        <w:tc>
          <w:tcPr>
            <w:tcW w:w="3300" w:type="dxa"/>
            <w:vAlign w:val="bottom"/>
          </w:tcPr>
          <w:p>
            <w:pPr>
              <w:spacing w:after="0"/>
              <w:rPr>
                <w:sz w:val="13"/>
                <w:szCs w:val="13"/>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which matching units generally vest over a period of four years. DSUs accumulate notional equivalents of dividends</w:t>
            </w:r>
          </w:p>
        </w:tc>
      </w:tr>
      <w:tr>
        <w:trPr>
          <w:trHeight w:val="189"/>
        </w:trPr>
        <w:tc>
          <w:tcPr>
            <w:tcW w:w="3300" w:type="dxa"/>
            <w:vAlign w:val="bottom"/>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paid on our common shares.</w:t>
            </w:r>
          </w:p>
        </w:tc>
      </w:tr>
      <w:tr>
        <w:trPr>
          <w:trHeight w:val="48"/>
        </w:trPr>
        <w:tc>
          <w:tcPr>
            <w:tcW w:w="3300" w:type="dxa"/>
            <w:vAlign w:val="bottom"/>
            <w:tcBorders>
              <w:bottom w:val="single" w:sz="8" w:color="AFAFAF"/>
            </w:tcBorders>
          </w:tcPr>
          <w:p>
            <w:pPr>
              <w:spacing w:after="0"/>
              <w:rPr>
                <w:sz w:val="4"/>
                <w:szCs w:val="4"/>
                <w:color w:val="auto"/>
              </w:rPr>
            </w:pPr>
          </w:p>
        </w:tc>
        <w:tc>
          <w:tcPr>
            <w:tcW w:w="7620" w:type="dxa"/>
            <w:vAlign w:val="bottom"/>
            <w:tcBorders>
              <w:bottom w:val="single" w:sz="8" w:color="AFAFAF"/>
            </w:tcBorders>
          </w:tcPr>
          <w:p>
            <w:pPr>
              <w:spacing w:after="0"/>
              <w:rPr>
                <w:sz w:val="4"/>
                <w:szCs w:val="4"/>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Plan amendments and changes</w:t>
            </w:r>
          </w:p>
        </w:tc>
        <w:tc>
          <w:tcPr>
            <w:tcW w:w="7620" w:type="dxa"/>
            <w:vAlign w:val="bottom"/>
          </w:tcPr>
          <w:p>
            <w:pPr>
              <w:ind w:left="220"/>
              <w:spacing w:after="0"/>
              <w:rPr>
                <w:sz w:val="20"/>
                <w:szCs w:val="20"/>
                <w:color w:val="auto"/>
              </w:rPr>
            </w:pPr>
            <w:r>
              <w:rPr>
                <w:rFonts w:ascii="Arial" w:cs="Arial" w:eastAsia="Arial" w:hAnsi="Arial"/>
                <w:sz w:val="14"/>
                <w:szCs w:val="14"/>
                <w:color w:val="auto"/>
              </w:rPr>
              <w:t>Substantially similar to the provisions of the stock incentive plan described above.</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Vesting process</w:t>
            </w:r>
          </w:p>
        </w:tc>
        <w:tc>
          <w:tcPr>
            <w:tcW w:w="7620" w:type="dxa"/>
            <w:vAlign w:val="bottom"/>
          </w:tcPr>
          <w:p>
            <w:pPr>
              <w:ind w:left="220"/>
              <w:spacing w:after="0"/>
              <w:rPr>
                <w:sz w:val="20"/>
                <w:szCs w:val="20"/>
                <w:color w:val="auto"/>
              </w:rPr>
            </w:pPr>
            <w:r>
              <w:rPr>
                <w:rFonts w:ascii="Arial" w:cs="Arial" w:eastAsia="Arial" w:hAnsi="Arial"/>
                <w:sz w:val="14"/>
                <w:szCs w:val="14"/>
                <w:color w:val="auto"/>
              </w:rPr>
              <w:t>Participants are automatically vested in their DSUs. Matching DSUs vest as described above.</w:t>
            </w:r>
          </w:p>
        </w:tc>
      </w:tr>
      <w:tr>
        <w:trPr>
          <w:trHeight w:val="42"/>
        </w:trPr>
        <w:tc>
          <w:tcPr>
            <w:tcW w:w="3300" w:type="dxa"/>
            <w:vAlign w:val="bottom"/>
            <w:tcBorders>
              <w:bottom w:val="single" w:sz="8" w:color="AFAFAF"/>
            </w:tcBorders>
          </w:tcPr>
          <w:p>
            <w:pPr>
              <w:spacing w:after="0"/>
              <w:rPr>
                <w:sz w:val="3"/>
                <w:szCs w:val="3"/>
                <w:color w:val="auto"/>
              </w:rPr>
            </w:pPr>
          </w:p>
        </w:tc>
        <w:tc>
          <w:tcPr>
            <w:tcW w:w="7620" w:type="dxa"/>
            <w:vAlign w:val="bottom"/>
            <w:tcBorders>
              <w:bottom w:val="single" w:sz="8" w:color="AFAFAF"/>
            </w:tcBorders>
          </w:tcPr>
          <w:p>
            <w:pPr>
              <w:spacing w:after="0"/>
              <w:rPr>
                <w:sz w:val="3"/>
                <w:szCs w:val="3"/>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4"/>
                <w:szCs w:val="14"/>
                <w:b w:val="1"/>
                <w:bCs w:val="1"/>
                <w:color w:val="auto"/>
              </w:rPr>
              <w:t>Transfers and assignments</w:t>
            </w:r>
          </w:p>
        </w:tc>
        <w:tc>
          <w:tcPr>
            <w:tcW w:w="7620" w:type="dxa"/>
            <w:vAlign w:val="bottom"/>
          </w:tcPr>
          <w:p>
            <w:pPr>
              <w:ind w:left="220"/>
              <w:spacing w:after="0"/>
              <w:rPr>
                <w:sz w:val="20"/>
                <w:szCs w:val="20"/>
                <w:color w:val="auto"/>
              </w:rPr>
            </w:pPr>
            <w:r>
              <w:rPr>
                <w:rFonts w:ascii="Arial" w:cs="Arial" w:eastAsia="Arial" w:hAnsi="Arial"/>
                <w:sz w:val="14"/>
                <w:szCs w:val="14"/>
                <w:color w:val="auto"/>
              </w:rPr>
              <w:t>Substantially similar to the provisions of the stock incentive plan described above.</w:t>
            </w:r>
          </w:p>
        </w:tc>
      </w:tr>
      <w:tr>
        <w:trPr>
          <w:trHeight w:val="42"/>
        </w:trPr>
        <w:tc>
          <w:tcPr>
            <w:tcW w:w="3300" w:type="dxa"/>
            <w:vAlign w:val="bottom"/>
            <w:tcBorders>
              <w:bottom w:val="single" w:sz="8" w:color="B94831"/>
            </w:tcBorders>
          </w:tcPr>
          <w:p>
            <w:pPr>
              <w:spacing w:after="0"/>
              <w:rPr>
                <w:sz w:val="3"/>
                <w:szCs w:val="3"/>
                <w:color w:val="auto"/>
              </w:rPr>
            </w:pPr>
          </w:p>
        </w:tc>
        <w:tc>
          <w:tcPr>
            <w:tcW w:w="7620" w:type="dxa"/>
            <w:vAlign w:val="bottom"/>
            <w:tcBorders>
              <w:bottom w:val="single" w:sz="8" w:color="B94831"/>
            </w:tcBorders>
          </w:tcPr>
          <w:p>
            <w:pPr>
              <w:spacing w:after="0"/>
              <w:rPr>
                <w:sz w:val="3"/>
                <w:szCs w:val="3"/>
                <w:color w:val="auto"/>
              </w:rPr>
            </w:pPr>
          </w:p>
        </w:tc>
      </w:tr>
      <w:tr>
        <w:trPr>
          <w:trHeight w:val="227"/>
        </w:trPr>
        <w:tc>
          <w:tcPr>
            <w:tcW w:w="3300" w:type="dxa"/>
            <w:vAlign w:val="bottom"/>
            <w:tcBorders>
              <w:bottom w:val="single" w:sz="8" w:color="B94831"/>
            </w:tcBorders>
          </w:tcPr>
          <w:p>
            <w:pPr>
              <w:spacing w:after="0"/>
              <w:rPr>
                <w:sz w:val="19"/>
                <w:szCs w:val="19"/>
                <w:color w:val="auto"/>
              </w:rPr>
            </w:pPr>
          </w:p>
        </w:tc>
        <w:tc>
          <w:tcPr>
            <w:tcW w:w="7620" w:type="dxa"/>
            <w:vAlign w:val="bottom"/>
            <w:tcBorders>
              <w:bottom w:val="single" w:sz="8" w:color="B94831"/>
            </w:tcBorders>
          </w:tcPr>
          <w:p>
            <w:pPr>
              <w:spacing w:after="0"/>
              <w:rPr>
                <w:sz w:val="19"/>
                <w:szCs w:val="19"/>
                <w:color w:val="auto"/>
              </w:rPr>
            </w:pPr>
          </w:p>
        </w:tc>
      </w:tr>
    </w:tbl>
    <w:p>
      <w:pPr>
        <w:spacing w:after="0" w:line="10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A-4 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color w:val="auto"/>
        </w:rPr>
        <w:t>The following table provides information as of the end of each year indicated related to the deferred compensation plan’s share usage, burn rates and potential dilution.</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4040" w:type="dxa"/>
            <w:vAlign w:val="bottom"/>
          </w:tcPr>
          <w:p>
            <w:pPr>
              <w:spacing w:after="0"/>
              <w:rPr>
                <w:sz w:val="21"/>
                <w:szCs w:val="21"/>
                <w:color w:val="auto"/>
              </w:rPr>
            </w:pPr>
          </w:p>
        </w:tc>
        <w:tc>
          <w:tcPr>
            <w:tcW w:w="2200" w:type="dxa"/>
            <w:vAlign w:val="bottom"/>
            <w:tcBorders>
              <w:right w:val="single" w:sz="8" w:color="BFBFBF"/>
            </w:tcBorders>
          </w:tcPr>
          <w:p>
            <w:pPr>
              <w:spacing w:after="0"/>
              <w:rPr>
                <w:sz w:val="21"/>
                <w:szCs w:val="21"/>
                <w:color w:val="auto"/>
              </w:rPr>
            </w:pPr>
          </w:p>
        </w:tc>
        <w:tc>
          <w:tcPr>
            <w:tcW w:w="260" w:type="dxa"/>
            <w:vAlign w:val="bottom"/>
            <w:tcBorders>
              <w:bottom w:val="single" w:sz="8" w:color="BFBFBF"/>
            </w:tcBorders>
            <w:shd w:val="clear" w:color="auto" w:fill="BFBFBF"/>
          </w:tcPr>
          <w:p>
            <w:pPr>
              <w:spacing w:after="0"/>
              <w:rPr>
                <w:sz w:val="21"/>
                <w:szCs w:val="21"/>
                <w:color w:val="auto"/>
              </w:rPr>
            </w:pPr>
          </w:p>
        </w:tc>
        <w:tc>
          <w:tcPr>
            <w:tcW w:w="940" w:type="dxa"/>
            <w:vAlign w:val="bottom"/>
            <w:tcBorders>
              <w:bottom w:val="single" w:sz="8" w:color="BFBFBF"/>
              <w:right w:val="single" w:sz="8" w:color="BFBFBF"/>
            </w:tcBorders>
            <w:shd w:val="clear" w:color="auto" w:fill="BFBFBF"/>
          </w:tcPr>
          <w:p>
            <w:pPr>
              <w:spacing w:after="0"/>
              <w:rPr>
                <w:sz w:val="21"/>
                <w:szCs w:val="21"/>
                <w:color w:val="auto"/>
              </w:rPr>
            </w:pPr>
          </w:p>
        </w:tc>
        <w:tc>
          <w:tcPr>
            <w:tcW w:w="2440" w:type="dxa"/>
            <w:vAlign w:val="bottom"/>
            <w:tcBorders>
              <w:bottom w:val="single" w:sz="8" w:color="BFBFBF"/>
            </w:tcBorders>
            <w:gridSpan w:val="2"/>
            <w:shd w:val="clear" w:color="auto" w:fill="BFBFBF"/>
          </w:tcPr>
          <w:p>
            <w:pPr>
              <w:ind w:left="300"/>
              <w:spacing w:after="0"/>
              <w:rPr>
                <w:sz w:val="20"/>
                <w:szCs w:val="20"/>
                <w:color w:val="auto"/>
              </w:rPr>
            </w:pPr>
            <w:r>
              <w:rPr>
                <w:rFonts w:ascii="Arial" w:cs="Arial" w:eastAsia="Arial" w:hAnsi="Arial"/>
                <w:sz w:val="15"/>
                <w:szCs w:val="15"/>
                <w:b w:val="1"/>
                <w:bCs w:val="1"/>
                <w:color w:val="auto"/>
              </w:rPr>
              <w:t>As of December 31,</w:t>
            </w:r>
          </w:p>
        </w:tc>
        <w:tc>
          <w:tcPr>
            <w:tcW w:w="1040" w:type="dxa"/>
            <w:vAlign w:val="bottom"/>
            <w:tcBorders>
              <w:bottom w:val="single" w:sz="8" w:color="BFBFBF"/>
            </w:tcBorders>
            <w:shd w:val="clear" w:color="auto" w:fill="BFBFBF"/>
          </w:tcPr>
          <w:p>
            <w:pPr>
              <w:spacing w:after="0"/>
              <w:rPr>
                <w:sz w:val="21"/>
                <w:szCs w:val="21"/>
                <w:color w:val="auto"/>
              </w:rPr>
            </w:pPr>
          </w:p>
        </w:tc>
      </w:tr>
      <w:tr>
        <w:trPr>
          <w:trHeight w:val="267"/>
        </w:trPr>
        <w:tc>
          <w:tcPr>
            <w:tcW w:w="4040" w:type="dxa"/>
            <w:vAlign w:val="bottom"/>
          </w:tcPr>
          <w:p>
            <w:pPr>
              <w:spacing w:after="0"/>
              <w:rPr>
                <w:sz w:val="23"/>
                <w:szCs w:val="23"/>
                <w:color w:val="auto"/>
              </w:rPr>
            </w:pPr>
          </w:p>
        </w:tc>
        <w:tc>
          <w:tcPr>
            <w:tcW w:w="2200" w:type="dxa"/>
            <w:vAlign w:val="bottom"/>
            <w:tcBorders>
              <w:right w:val="single" w:sz="8" w:color="262626"/>
            </w:tcBorders>
          </w:tcPr>
          <w:p>
            <w:pPr>
              <w:spacing w:after="0"/>
              <w:rPr>
                <w:sz w:val="23"/>
                <w:szCs w:val="23"/>
                <w:color w:val="auto"/>
              </w:rPr>
            </w:pPr>
          </w:p>
        </w:tc>
        <w:tc>
          <w:tcPr>
            <w:tcW w:w="260" w:type="dxa"/>
            <w:vAlign w:val="bottom"/>
            <w:tcBorders>
              <w:bottom w:val="single" w:sz="8" w:color="262626"/>
            </w:tcBorders>
            <w:shd w:val="clear" w:color="auto" w:fill="262626"/>
          </w:tcPr>
          <w:p>
            <w:pPr>
              <w:spacing w:after="0"/>
              <w:rPr>
                <w:sz w:val="23"/>
                <w:szCs w:val="23"/>
                <w:color w:val="auto"/>
              </w:rPr>
            </w:pPr>
          </w:p>
        </w:tc>
        <w:tc>
          <w:tcPr>
            <w:tcW w:w="940" w:type="dxa"/>
            <w:vAlign w:val="bottom"/>
            <w:tcBorders>
              <w:bottom w:val="single" w:sz="8" w:color="262626"/>
              <w:right w:val="single" w:sz="8" w:color="262626"/>
            </w:tcBorders>
            <w:shd w:val="clear" w:color="auto" w:fill="262626"/>
          </w:tcPr>
          <w:p>
            <w:pPr>
              <w:ind w:left="140"/>
              <w:spacing w:after="0"/>
              <w:rPr>
                <w:sz w:val="20"/>
                <w:szCs w:val="20"/>
                <w:color w:val="auto"/>
              </w:rPr>
            </w:pPr>
            <w:r>
              <w:rPr>
                <w:rFonts w:ascii="Arial" w:cs="Arial" w:eastAsia="Arial" w:hAnsi="Arial"/>
                <w:sz w:val="15"/>
                <w:szCs w:val="15"/>
                <w:b w:val="1"/>
                <w:bCs w:val="1"/>
                <w:color w:val="FFFFFF"/>
              </w:rPr>
              <w:t>2023</w:t>
            </w:r>
          </w:p>
        </w:tc>
        <w:tc>
          <w:tcPr>
            <w:tcW w:w="1740" w:type="dxa"/>
            <w:vAlign w:val="bottom"/>
            <w:tcBorders>
              <w:bottom w:val="single" w:sz="8" w:color="262626"/>
              <w:right w:val="single" w:sz="8" w:color="262626"/>
            </w:tcBorders>
            <w:shd w:val="clear" w:color="auto" w:fill="262626"/>
          </w:tcPr>
          <w:p>
            <w:pPr>
              <w:ind w:left="720"/>
              <w:spacing w:after="0"/>
              <w:rPr>
                <w:sz w:val="20"/>
                <w:szCs w:val="20"/>
                <w:color w:val="auto"/>
              </w:rPr>
            </w:pPr>
            <w:r>
              <w:rPr>
                <w:rFonts w:ascii="Arial" w:cs="Arial" w:eastAsia="Arial" w:hAnsi="Arial"/>
                <w:sz w:val="15"/>
                <w:szCs w:val="15"/>
                <w:b w:val="1"/>
                <w:bCs w:val="1"/>
                <w:color w:val="FFFFFF"/>
              </w:rPr>
              <w:t>2022</w:t>
            </w:r>
          </w:p>
        </w:tc>
        <w:tc>
          <w:tcPr>
            <w:tcW w:w="700" w:type="dxa"/>
            <w:vAlign w:val="bottom"/>
            <w:tcBorders>
              <w:bottom w:val="single" w:sz="8" w:color="262626"/>
            </w:tcBorders>
            <w:shd w:val="clear" w:color="auto" w:fill="262626"/>
          </w:tcPr>
          <w:p>
            <w:pPr>
              <w:spacing w:after="0"/>
              <w:rPr>
                <w:sz w:val="23"/>
                <w:szCs w:val="23"/>
                <w:color w:val="auto"/>
              </w:rPr>
            </w:pPr>
          </w:p>
        </w:tc>
        <w:tc>
          <w:tcPr>
            <w:tcW w:w="1040" w:type="dxa"/>
            <w:vAlign w:val="bottom"/>
            <w:tcBorders>
              <w:bottom w:val="single" w:sz="8" w:color="262626"/>
            </w:tcBorders>
            <w:shd w:val="clear" w:color="auto" w:fill="262626"/>
          </w:tcPr>
          <w:p>
            <w:pPr>
              <w:ind w:left="20"/>
              <w:spacing w:after="0"/>
              <w:rPr>
                <w:sz w:val="20"/>
                <w:szCs w:val="20"/>
                <w:color w:val="auto"/>
              </w:rPr>
            </w:pPr>
            <w:r>
              <w:rPr>
                <w:rFonts w:ascii="Arial" w:cs="Arial" w:eastAsia="Arial" w:hAnsi="Arial"/>
                <w:sz w:val="15"/>
                <w:szCs w:val="15"/>
                <w:b w:val="1"/>
                <w:bCs w:val="1"/>
                <w:color w:val="FFFFFF"/>
              </w:rPr>
              <w:t>2021</w:t>
            </w:r>
          </w:p>
        </w:tc>
      </w:tr>
      <w:tr>
        <w:trPr>
          <w:trHeight w:val="198"/>
        </w:trPr>
        <w:tc>
          <w:tcPr>
            <w:tcW w:w="6240" w:type="dxa"/>
            <w:vAlign w:val="bottom"/>
            <w:tcBorders>
              <w:top w:val="single" w:sz="8" w:color="B94831"/>
              <w:right w:val="single" w:sz="8" w:color="AFAFAF"/>
            </w:tcBorders>
            <w:gridSpan w:val="2"/>
          </w:tcPr>
          <w:p>
            <w:pPr>
              <w:spacing w:after="0"/>
              <w:rPr>
                <w:sz w:val="20"/>
                <w:szCs w:val="20"/>
                <w:color w:val="auto"/>
              </w:rPr>
            </w:pPr>
            <w:r>
              <w:rPr>
                <w:rFonts w:ascii="Arial" w:cs="Arial" w:eastAsia="Arial" w:hAnsi="Arial"/>
                <w:sz w:val="14"/>
                <w:szCs w:val="14"/>
                <w:b w:val="1"/>
                <w:bCs w:val="1"/>
                <w:color w:val="auto"/>
              </w:rPr>
              <w:t xml:space="preserve">Share usage – </w:t>
            </w:r>
            <w:r>
              <w:rPr>
                <w:rFonts w:ascii="Arial" w:cs="Arial" w:eastAsia="Arial" w:hAnsi="Arial"/>
                <w:sz w:val="14"/>
                <w:szCs w:val="14"/>
                <w:color w:val="auto"/>
              </w:rPr>
              <w:t>the total number of shares issued pursuant to DSUs in the applicable year, divided</w:t>
            </w:r>
          </w:p>
        </w:tc>
        <w:tc>
          <w:tcPr>
            <w:tcW w:w="260" w:type="dxa"/>
            <w:vAlign w:val="bottom"/>
            <w:tcBorders>
              <w:top w:val="single" w:sz="8" w:color="B94831"/>
            </w:tcBorders>
          </w:tcPr>
          <w:p>
            <w:pPr>
              <w:spacing w:after="0"/>
              <w:rPr>
                <w:sz w:val="17"/>
                <w:szCs w:val="17"/>
                <w:color w:val="auto"/>
              </w:rPr>
            </w:pPr>
          </w:p>
        </w:tc>
        <w:tc>
          <w:tcPr>
            <w:tcW w:w="940" w:type="dxa"/>
            <w:vAlign w:val="bottom"/>
            <w:tcBorders>
              <w:top w:val="single" w:sz="8" w:color="B94831"/>
              <w:right w:val="single" w:sz="8" w:color="AFAFAF"/>
            </w:tcBorders>
          </w:tcPr>
          <w:p>
            <w:pPr>
              <w:spacing w:after="0"/>
              <w:rPr>
                <w:sz w:val="17"/>
                <w:szCs w:val="17"/>
                <w:color w:val="auto"/>
              </w:rPr>
            </w:pPr>
          </w:p>
        </w:tc>
        <w:tc>
          <w:tcPr>
            <w:tcW w:w="1740" w:type="dxa"/>
            <w:vAlign w:val="bottom"/>
            <w:tcBorders>
              <w:top w:val="single" w:sz="8" w:color="B94831"/>
              <w:right w:val="single" w:sz="8" w:color="AFAFAF"/>
            </w:tcBorders>
          </w:tcPr>
          <w:p>
            <w:pPr>
              <w:spacing w:after="0"/>
              <w:rPr>
                <w:sz w:val="17"/>
                <w:szCs w:val="17"/>
                <w:color w:val="auto"/>
              </w:rPr>
            </w:pPr>
          </w:p>
        </w:tc>
        <w:tc>
          <w:tcPr>
            <w:tcW w:w="700" w:type="dxa"/>
            <w:vAlign w:val="bottom"/>
            <w:tcBorders>
              <w:top w:val="single" w:sz="8" w:color="B94831"/>
            </w:tcBorders>
          </w:tcPr>
          <w:p>
            <w:pPr>
              <w:spacing w:after="0"/>
              <w:rPr>
                <w:sz w:val="17"/>
                <w:szCs w:val="17"/>
                <w:color w:val="auto"/>
              </w:rPr>
            </w:pPr>
          </w:p>
        </w:tc>
        <w:tc>
          <w:tcPr>
            <w:tcW w:w="1040" w:type="dxa"/>
            <w:vAlign w:val="bottom"/>
            <w:tcBorders>
              <w:top w:val="single" w:sz="8" w:color="B94831"/>
            </w:tcBorders>
          </w:tcPr>
          <w:p>
            <w:pPr>
              <w:spacing w:after="0"/>
              <w:rPr>
                <w:sz w:val="17"/>
                <w:szCs w:val="17"/>
                <w:color w:val="auto"/>
              </w:rPr>
            </w:pPr>
          </w:p>
        </w:tc>
      </w:tr>
      <w:tr>
        <w:trPr>
          <w:trHeight w:val="189"/>
        </w:trPr>
        <w:tc>
          <w:tcPr>
            <w:tcW w:w="6240" w:type="dxa"/>
            <w:vAlign w:val="bottom"/>
            <w:tcBorders>
              <w:right w:val="single" w:sz="8" w:color="AFAFAF"/>
            </w:tcBorders>
            <w:gridSpan w:val="2"/>
          </w:tcPr>
          <w:p>
            <w:pPr>
              <w:spacing w:after="0"/>
              <w:rPr>
                <w:sz w:val="20"/>
                <w:szCs w:val="20"/>
                <w:color w:val="auto"/>
              </w:rPr>
            </w:pPr>
            <w:r>
              <w:rPr>
                <w:rFonts w:ascii="Arial" w:cs="Arial" w:eastAsia="Arial" w:hAnsi="Arial"/>
                <w:sz w:val="14"/>
                <w:szCs w:val="14"/>
                <w:color w:val="auto"/>
              </w:rPr>
              <w:t>by the total weighted average of common shares outstanding during the year</w:t>
            </w:r>
          </w:p>
        </w:tc>
        <w:tc>
          <w:tcPr>
            <w:tcW w:w="260" w:type="dxa"/>
            <w:vAlign w:val="bottom"/>
          </w:tcPr>
          <w:p>
            <w:pPr>
              <w:spacing w:after="0"/>
              <w:rPr>
                <w:sz w:val="16"/>
                <w:szCs w:val="16"/>
                <w:color w:val="auto"/>
              </w:rPr>
            </w:pPr>
          </w:p>
        </w:tc>
        <w:tc>
          <w:tcPr>
            <w:tcW w:w="940" w:type="dxa"/>
            <w:vAlign w:val="bottom"/>
            <w:tcBorders>
              <w:right w:val="single" w:sz="8" w:color="AFAFAF"/>
            </w:tcBorders>
          </w:tcPr>
          <w:p>
            <w:pPr>
              <w:ind w:left="140"/>
              <w:spacing w:after="0"/>
              <w:rPr>
                <w:sz w:val="20"/>
                <w:szCs w:val="20"/>
                <w:color w:val="auto"/>
              </w:rPr>
            </w:pPr>
            <w:r>
              <w:rPr>
                <w:rFonts w:ascii="Arial" w:cs="Arial" w:eastAsia="Arial" w:hAnsi="Arial"/>
                <w:sz w:val="14"/>
                <w:szCs w:val="14"/>
                <w:color w:val="auto"/>
              </w:rPr>
              <w:t>0.008%</w:t>
            </w:r>
          </w:p>
        </w:tc>
        <w:tc>
          <w:tcPr>
            <w:tcW w:w="1740" w:type="dxa"/>
            <w:vAlign w:val="bottom"/>
            <w:tcBorders>
              <w:right w:val="single" w:sz="8" w:color="AFAFAF"/>
            </w:tcBorders>
          </w:tcPr>
          <w:p>
            <w:pPr>
              <w:ind w:left="740"/>
              <w:spacing w:after="0"/>
              <w:rPr>
                <w:sz w:val="20"/>
                <w:szCs w:val="20"/>
                <w:color w:val="auto"/>
              </w:rPr>
            </w:pPr>
            <w:r>
              <w:rPr>
                <w:rFonts w:ascii="Arial" w:cs="Arial" w:eastAsia="Arial" w:hAnsi="Arial"/>
                <w:sz w:val="14"/>
                <w:szCs w:val="14"/>
                <w:color w:val="auto"/>
              </w:rPr>
              <w:t>0.030%</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0.020%</w:t>
            </w:r>
          </w:p>
        </w:tc>
      </w:tr>
      <w:tr>
        <w:trPr>
          <w:trHeight w:val="48"/>
        </w:trPr>
        <w:tc>
          <w:tcPr>
            <w:tcW w:w="6240" w:type="dxa"/>
            <w:vAlign w:val="bottom"/>
            <w:tcBorders>
              <w:bottom w:val="single" w:sz="8" w:color="AFAFAF"/>
              <w:right w:val="single" w:sz="8" w:color="AFAFAF"/>
            </w:tcBorders>
            <w:gridSpan w:val="2"/>
          </w:tcPr>
          <w:p>
            <w:pPr>
              <w:spacing w:after="0"/>
              <w:rPr>
                <w:sz w:val="4"/>
                <w:szCs w:val="4"/>
                <w:color w:val="auto"/>
              </w:rPr>
            </w:pPr>
          </w:p>
        </w:tc>
        <w:tc>
          <w:tcPr>
            <w:tcW w:w="260" w:type="dxa"/>
            <w:vAlign w:val="bottom"/>
            <w:tcBorders>
              <w:bottom w:val="single" w:sz="8" w:color="AFAFAF"/>
            </w:tcBorders>
          </w:tcPr>
          <w:p>
            <w:pPr>
              <w:spacing w:after="0"/>
              <w:rPr>
                <w:sz w:val="4"/>
                <w:szCs w:val="4"/>
                <w:color w:val="auto"/>
              </w:rPr>
            </w:pPr>
          </w:p>
        </w:tc>
        <w:tc>
          <w:tcPr>
            <w:tcW w:w="940" w:type="dxa"/>
            <w:vAlign w:val="bottom"/>
            <w:tcBorders>
              <w:bottom w:val="single" w:sz="8" w:color="AFAFAF"/>
              <w:right w:val="single" w:sz="8" w:color="AFAFAF"/>
            </w:tcBorders>
          </w:tcPr>
          <w:p>
            <w:pPr>
              <w:spacing w:after="0"/>
              <w:rPr>
                <w:sz w:val="4"/>
                <w:szCs w:val="4"/>
                <w:color w:val="auto"/>
              </w:rPr>
            </w:pPr>
          </w:p>
        </w:tc>
        <w:tc>
          <w:tcPr>
            <w:tcW w:w="1740" w:type="dxa"/>
            <w:vAlign w:val="bottom"/>
            <w:tcBorders>
              <w:bottom w:val="single" w:sz="8" w:color="AFAFAF"/>
              <w:right w:val="single" w:sz="8" w:color="AFAFAF"/>
            </w:tcBorders>
          </w:tcPr>
          <w:p>
            <w:pPr>
              <w:spacing w:after="0"/>
              <w:rPr>
                <w:sz w:val="4"/>
                <w:szCs w:val="4"/>
                <w:color w:val="auto"/>
              </w:rPr>
            </w:pPr>
          </w:p>
        </w:tc>
        <w:tc>
          <w:tcPr>
            <w:tcW w:w="700" w:type="dxa"/>
            <w:vAlign w:val="bottom"/>
            <w:tcBorders>
              <w:bottom w:val="single" w:sz="8" w:color="AFAFAF"/>
            </w:tcBorders>
          </w:tcPr>
          <w:p>
            <w:pPr>
              <w:spacing w:after="0"/>
              <w:rPr>
                <w:sz w:val="4"/>
                <w:szCs w:val="4"/>
                <w:color w:val="auto"/>
              </w:rPr>
            </w:pPr>
          </w:p>
        </w:tc>
        <w:tc>
          <w:tcPr>
            <w:tcW w:w="1040" w:type="dxa"/>
            <w:vAlign w:val="bottom"/>
            <w:tcBorders>
              <w:bottom w:val="single" w:sz="8" w:color="AFAFAF"/>
            </w:tcBorders>
          </w:tcPr>
          <w:p>
            <w:pPr>
              <w:spacing w:after="0"/>
              <w:rPr>
                <w:sz w:val="4"/>
                <w:szCs w:val="4"/>
                <w:color w:val="auto"/>
              </w:rPr>
            </w:pPr>
          </w:p>
        </w:tc>
      </w:tr>
      <w:tr>
        <w:trPr>
          <w:trHeight w:val="198"/>
        </w:trPr>
        <w:tc>
          <w:tcPr>
            <w:tcW w:w="6240" w:type="dxa"/>
            <w:vAlign w:val="bottom"/>
            <w:tcBorders>
              <w:right w:val="single" w:sz="8" w:color="AFAFAF"/>
            </w:tcBorders>
            <w:gridSpan w:val="2"/>
          </w:tcPr>
          <w:p>
            <w:pPr>
              <w:spacing w:after="0"/>
              <w:rPr>
                <w:sz w:val="20"/>
                <w:szCs w:val="20"/>
                <w:color w:val="auto"/>
              </w:rPr>
            </w:pPr>
            <w:r>
              <w:rPr>
                <w:rFonts w:ascii="Arial" w:cs="Arial" w:eastAsia="Arial" w:hAnsi="Arial"/>
                <w:sz w:val="14"/>
                <w:szCs w:val="14"/>
                <w:b w:val="1"/>
                <w:bCs w:val="1"/>
                <w:color w:val="auto"/>
              </w:rPr>
              <w:t xml:space="preserve">Burn rate – </w:t>
            </w:r>
            <w:r>
              <w:rPr>
                <w:rFonts w:ascii="Arial" w:cs="Arial" w:eastAsia="Arial" w:hAnsi="Arial"/>
                <w:sz w:val="14"/>
                <w:szCs w:val="14"/>
                <w:color w:val="auto"/>
              </w:rPr>
              <w:t>the total number of DSUs granted in the applicable year, divided by the total weighted</w:t>
            </w:r>
          </w:p>
        </w:tc>
        <w:tc>
          <w:tcPr>
            <w:tcW w:w="260" w:type="dxa"/>
            <w:vAlign w:val="bottom"/>
          </w:tcPr>
          <w:p>
            <w:pPr>
              <w:spacing w:after="0"/>
              <w:rPr>
                <w:sz w:val="17"/>
                <w:szCs w:val="17"/>
                <w:color w:val="auto"/>
              </w:rPr>
            </w:pPr>
          </w:p>
        </w:tc>
        <w:tc>
          <w:tcPr>
            <w:tcW w:w="940" w:type="dxa"/>
            <w:vAlign w:val="bottom"/>
            <w:tcBorders>
              <w:right w:val="single" w:sz="8" w:color="AFAFAF"/>
            </w:tcBorders>
          </w:tcPr>
          <w:p>
            <w:pPr>
              <w:spacing w:after="0"/>
              <w:rPr>
                <w:sz w:val="17"/>
                <w:szCs w:val="17"/>
                <w:color w:val="auto"/>
              </w:rPr>
            </w:pPr>
          </w:p>
        </w:tc>
        <w:tc>
          <w:tcPr>
            <w:tcW w:w="1740" w:type="dxa"/>
            <w:vAlign w:val="bottom"/>
            <w:tcBorders>
              <w:right w:val="single" w:sz="8" w:color="AFAFAF"/>
            </w:tcBorders>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average of common shares outstanding during the year</w:t>
            </w:r>
          </w:p>
        </w:tc>
        <w:tc>
          <w:tcPr>
            <w:tcW w:w="2200" w:type="dxa"/>
            <w:vAlign w:val="bottom"/>
            <w:tcBorders>
              <w:right w:val="single" w:sz="8" w:color="AFAFAF"/>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right w:val="single" w:sz="8" w:color="AFAFAF"/>
            </w:tcBorders>
          </w:tcPr>
          <w:p>
            <w:pPr>
              <w:ind w:left="140"/>
              <w:spacing w:after="0"/>
              <w:rPr>
                <w:sz w:val="20"/>
                <w:szCs w:val="20"/>
                <w:color w:val="auto"/>
              </w:rPr>
            </w:pPr>
            <w:r>
              <w:rPr>
                <w:rFonts w:ascii="Arial" w:cs="Arial" w:eastAsia="Arial" w:hAnsi="Arial"/>
                <w:sz w:val="14"/>
                <w:szCs w:val="14"/>
                <w:color w:val="auto"/>
              </w:rPr>
              <w:t>0.002%</w:t>
            </w:r>
          </w:p>
        </w:tc>
        <w:tc>
          <w:tcPr>
            <w:tcW w:w="1740" w:type="dxa"/>
            <w:vAlign w:val="bottom"/>
            <w:tcBorders>
              <w:right w:val="single" w:sz="8" w:color="AFAFAF"/>
            </w:tcBorders>
          </w:tcPr>
          <w:p>
            <w:pPr>
              <w:ind w:left="740"/>
              <w:spacing w:after="0"/>
              <w:rPr>
                <w:sz w:val="20"/>
                <w:szCs w:val="20"/>
                <w:color w:val="auto"/>
              </w:rPr>
            </w:pPr>
            <w:r>
              <w:rPr>
                <w:rFonts w:ascii="Arial" w:cs="Arial" w:eastAsia="Arial" w:hAnsi="Arial"/>
                <w:sz w:val="14"/>
                <w:szCs w:val="14"/>
                <w:color w:val="auto"/>
              </w:rPr>
              <w:t>0.004%</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0.002%</w:t>
            </w:r>
          </w:p>
        </w:tc>
      </w:tr>
      <w:tr>
        <w:trPr>
          <w:trHeight w:val="48"/>
        </w:trPr>
        <w:tc>
          <w:tcPr>
            <w:tcW w:w="6240" w:type="dxa"/>
            <w:vAlign w:val="bottom"/>
            <w:tcBorders>
              <w:bottom w:val="single" w:sz="8" w:color="AFAFAF"/>
              <w:right w:val="single" w:sz="8" w:color="AFAFAF"/>
            </w:tcBorders>
            <w:gridSpan w:val="2"/>
          </w:tcPr>
          <w:p>
            <w:pPr>
              <w:spacing w:after="0"/>
              <w:rPr>
                <w:sz w:val="4"/>
                <w:szCs w:val="4"/>
                <w:color w:val="auto"/>
              </w:rPr>
            </w:pPr>
          </w:p>
        </w:tc>
        <w:tc>
          <w:tcPr>
            <w:tcW w:w="260" w:type="dxa"/>
            <w:vAlign w:val="bottom"/>
            <w:tcBorders>
              <w:bottom w:val="single" w:sz="8" w:color="AFAFAF"/>
            </w:tcBorders>
          </w:tcPr>
          <w:p>
            <w:pPr>
              <w:spacing w:after="0"/>
              <w:rPr>
                <w:sz w:val="4"/>
                <w:szCs w:val="4"/>
                <w:color w:val="auto"/>
              </w:rPr>
            </w:pPr>
          </w:p>
        </w:tc>
        <w:tc>
          <w:tcPr>
            <w:tcW w:w="940" w:type="dxa"/>
            <w:vAlign w:val="bottom"/>
            <w:tcBorders>
              <w:bottom w:val="single" w:sz="8" w:color="AFAFAF"/>
              <w:right w:val="single" w:sz="8" w:color="AFAFAF"/>
            </w:tcBorders>
          </w:tcPr>
          <w:p>
            <w:pPr>
              <w:spacing w:after="0"/>
              <w:rPr>
                <w:sz w:val="4"/>
                <w:szCs w:val="4"/>
                <w:color w:val="auto"/>
              </w:rPr>
            </w:pPr>
          </w:p>
        </w:tc>
        <w:tc>
          <w:tcPr>
            <w:tcW w:w="1740" w:type="dxa"/>
            <w:vAlign w:val="bottom"/>
            <w:tcBorders>
              <w:bottom w:val="single" w:sz="8" w:color="AFAFAF"/>
              <w:right w:val="single" w:sz="8" w:color="AFAFAF"/>
            </w:tcBorders>
          </w:tcPr>
          <w:p>
            <w:pPr>
              <w:spacing w:after="0"/>
              <w:rPr>
                <w:sz w:val="4"/>
                <w:szCs w:val="4"/>
                <w:color w:val="auto"/>
              </w:rPr>
            </w:pPr>
          </w:p>
        </w:tc>
        <w:tc>
          <w:tcPr>
            <w:tcW w:w="700" w:type="dxa"/>
            <w:vAlign w:val="bottom"/>
            <w:tcBorders>
              <w:bottom w:val="single" w:sz="8" w:color="AFAFAF"/>
            </w:tcBorders>
          </w:tcPr>
          <w:p>
            <w:pPr>
              <w:spacing w:after="0"/>
              <w:rPr>
                <w:sz w:val="4"/>
                <w:szCs w:val="4"/>
                <w:color w:val="auto"/>
              </w:rPr>
            </w:pPr>
          </w:p>
        </w:tc>
        <w:tc>
          <w:tcPr>
            <w:tcW w:w="1040" w:type="dxa"/>
            <w:vAlign w:val="bottom"/>
            <w:tcBorders>
              <w:bottom w:val="single" w:sz="8" w:color="AFAFAF"/>
            </w:tcBorders>
          </w:tcPr>
          <w:p>
            <w:pPr>
              <w:spacing w:after="0"/>
              <w:rPr>
                <w:sz w:val="4"/>
                <w:szCs w:val="4"/>
                <w:color w:val="auto"/>
              </w:rPr>
            </w:pPr>
          </w:p>
        </w:tc>
      </w:tr>
      <w:tr>
        <w:trPr>
          <w:trHeight w:val="198"/>
        </w:trPr>
        <w:tc>
          <w:tcPr>
            <w:tcW w:w="6240" w:type="dxa"/>
            <w:vAlign w:val="bottom"/>
            <w:tcBorders>
              <w:right w:val="single" w:sz="8" w:color="AFAFAF"/>
            </w:tcBorders>
            <w:gridSpan w:val="2"/>
          </w:tcPr>
          <w:p>
            <w:pPr>
              <w:spacing w:after="0"/>
              <w:rPr>
                <w:sz w:val="20"/>
                <w:szCs w:val="20"/>
                <w:color w:val="auto"/>
              </w:rPr>
            </w:pPr>
            <w:r>
              <w:rPr>
                <w:rFonts w:ascii="Arial" w:cs="Arial" w:eastAsia="Arial" w:hAnsi="Arial"/>
                <w:sz w:val="14"/>
                <w:szCs w:val="14"/>
                <w:b w:val="1"/>
                <w:bCs w:val="1"/>
                <w:color w:val="auto"/>
              </w:rPr>
              <w:t xml:space="preserve">Potential Dilution – </w:t>
            </w:r>
            <w:r>
              <w:rPr>
                <w:rFonts w:ascii="Arial" w:cs="Arial" w:eastAsia="Arial" w:hAnsi="Arial"/>
                <w:sz w:val="14"/>
                <w:szCs w:val="14"/>
                <w:color w:val="auto"/>
              </w:rPr>
              <w:t>the total number of all DSUs available for issue, divided by the total weighted</w:t>
            </w:r>
          </w:p>
        </w:tc>
        <w:tc>
          <w:tcPr>
            <w:tcW w:w="260" w:type="dxa"/>
            <w:vAlign w:val="bottom"/>
          </w:tcPr>
          <w:p>
            <w:pPr>
              <w:spacing w:after="0"/>
              <w:rPr>
                <w:sz w:val="17"/>
                <w:szCs w:val="17"/>
                <w:color w:val="auto"/>
              </w:rPr>
            </w:pPr>
          </w:p>
        </w:tc>
        <w:tc>
          <w:tcPr>
            <w:tcW w:w="940" w:type="dxa"/>
            <w:vAlign w:val="bottom"/>
            <w:tcBorders>
              <w:right w:val="single" w:sz="8" w:color="AFAFAF"/>
            </w:tcBorders>
          </w:tcPr>
          <w:p>
            <w:pPr>
              <w:spacing w:after="0"/>
              <w:rPr>
                <w:sz w:val="17"/>
                <w:szCs w:val="17"/>
                <w:color w:val="auto"/>
              </w:rPr>
            </w:pPr>
          </w:p>
        </w:tc>
        <w:tc>
          <w:tcPr>
            <w:tcW w:w="1740" w:type="dxa"/>
            <w:vAlign w:val="bottom"/>
            <w:tcBorders>
              <w:right w:val="single" w:sz="8" w:color="AFAFAF"/>
            </w:tcBorders>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average of common shares outstanding during the year</w:t>
            </w:r>
          </w:p>
        </w:tc>
        <w:tc>
          <w:tcPr>
            <w:tcW w:w="2200" w:type="dxa"/>
            <w:vAlign w:val="bottom"/>
            <w:tcBorders>
              <w:right w:val="single" w:sz="8" w:color="AFAFAF"/>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right w:val="single" w:sz="8" w:color="AFAFAF"/>
            </w:tcBorders>
          </w:tcPr>
          <w:p>
            <w:pPr>
              <w:ind w:left="140"/>
              <w:spacing w:after="0"/>
              <w:rPr>
                <w:sz w:val="20"/>
                <w:szCs w:val="20"/>
                <w:color w:val="auto"/>
              </w:rPr>
            </w:pPr>
            <w:r>
              <w:rPr>
                <w:rFonts w:ascii="Arial" w:cs="Arial" w:eastAsia="Arial" w:hAnsi="Arial"/>
                <w:sz w:val="14"/>
                <w:szCs w:val="14"/>
                <w:color w:val="auto"/>
              </w:rPr>
              <w:t>1.005%</w:t>
            </w:r>
          </w:p>
        </w:tc>
        <w:tc>
          <w:tcPr>
            <w:tcW w:w="1740" w:type="dxa"/>
            <w:vAlign w:val="bottom"/>
            <w:tcBorders>
              <w:right w:val="single" w:sz="8" w:color="AFAFAF"/>
            </w:tcBorders>
          </w:tcPr>
          <w:p>
            <w:pPr>
              <w:ind w:left="740"/>
              <w:spacing w:after="0"/>
              <w:rPr>
                <w:sz w:val="20"/>
                <w:szCs w:val="20"/>
                <w:color w:val="auto"/>
              </w:rPr>
            </w:pPr>
            <w:r>
              <w:rPr>
                <w:rFonts w:ascii="Arial" w:cs="Arial" w:eastAsia="Arial" w:hAnsi="Arial"/>
                <w:sz w:val="14"/>
                <w:szCs w:val="14"/>
                <w:color w:val="auto"/>
              </w:rPr>
              <w:t>0.976%</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0.980%</w:t>
            </w:r>
          </w:p>
        </w:tc>
      </w:tr>
      <w:tr>
        <w:trPr>
          <w:trHeight w:val="48"/>
        </w:trPr>
        <w:tc>
          <w:tcPr>
            <w:tcW w:w="6240" w:type="dxa"/>
            <w:vAlign w:val="bottom"/>
            <w:tcBorders>
              <w:bottom w:val="single" w:sz="8" w:color="AFAFAF"/>
              <w:right w:val="single" w:sz="8" w:color="AFAFAF"/>
            </w:tcBorders>
            <w:gridSpan w:val="2"/>
          </w:tcPr>
          <w:p>
            <w:pPr>
              <w:spacing w:after="0"/>
              <w:rPr>
                <w:sz w:val="4"/>
                <w:szCs w:val="4"/>
                <w:color w:val="auto"/>
              </w:rPr>
            </w:pPr>
          </w:p>
        </w:tc>
        <w:tc>
          <w:tcPr>
            <w:tcW w:w="260" w:type="dxa"/>
            <w:vAlign w:val="bottom"/>
            <w:tcBorders>
              <w:bottom w:val="single" w:sz="8" w:color="AFAFAF"/>
            </w:tcBorders>
          </w:tcPr>
          <w:p>
            <w:pPr>
              <w:spacing w:after="0"/>
              <w:rPr>
                <w:sz w:val="4"/>
                <w:szCs w:val="4"/>
                <w:color w:val="auto"/>
              </w:rPr>
            </w:pPr>
          </w:p>
        </w:tc>
        <w:tc>
          <w:tcPr>
            <w:tcW w:w="940" w:type="dxa"/>
            <w:vAlign w:val="bottom"/>
            <w:tcBorders>
              <w:bottom w:val="single" w:sz="8" w:color="AFAFAF"/>
              <w:right w:val="single" w:sz="8" w:color="AFAFAF"/>
            </w:tcBorders>
          </w:tcPr>
          <w:p>
            <w:pPr>
              <w:spacing w:after="0"/>
              <w:rPr>
                <w:sz w:val="4"/>
                <w:szCs w:val="4"/>
                <w:color w:val="auto"/>
              </w:rPr>
            </w:pPr>
          </w:p>
        </w:tc>
        <w:tc>
          <w:tcPr>
            <w:tcW w:w="1740" w:type="dxa"/>
            <w:vAlign w:val="bottom"/>
            <w:tcBorders>
              <w:bottom w:val="single" w:sz="8" w:color="AFAFAF"/>
              <w:right w:val="single" w:sz="8" w:color="AFAFAF"/>
            </w:tcBorders>
          </w:tcPr>
          <w:p>
            <w:pPr>
              <w:spacing w:after="0"/>
              <w:rPr>
                <w:sz w:val="4"/>
                <w:szCs w:val="4"/>
                <w:color w:val="auto"/>
              </w:rPr>
            </w:pPr>
          </w:p>
        </w:tc>
        <w:tc>
          <w:tcPr>
            <w:tcW w:w="700" w:type="dxa"/>
            <w:vAlign w:val="bottom"/>
            <w:tcBorders>
              <w:bottom w:val="single" w:sz="8" w:color="AFAFAF"/>
            </w:tcBorders>
          </w:tcPr>
          <w:p>
            <w:pPr>
              <w:spacing w:after="0"/>
              <w:rPr>
                <w:sz w:val="4"/>
                <w:szCs w:val="4"/>
                <w:color w:val="auto"/>
              </w:rPr>
            </w:pPr>
          </w:p>
        </w:tc>
        <w:tc>
          <w:tcPr>
            <w:tcW w:w="1040" w:type="dxa"/>
            <w:vAlign w:val="bottom"/>
            <w:tcBorders>
              <w:bottom w:val="single" w:sz="8" w:color="AFAFAF"/>
            </w:tcBorders>
          </w:tcPr>
          <w:p>
            <w:pPr>
              <w:spacing w:after="0"/>
              <w:rPr>
                <w:sz w:val="4"/>
                <w:szCs w:val="4"/>
                <w:color w:val="auto"/>
              </w:rPr>
            </w:pPr>
          </w:p>
        </w:tc>
      </w:tr>
      <w:tr>
        <w:trPr>
          <w:trHeight w:val="198"/>
        </w:trPr>
        <w:tc>
          <w:tcPr>
            <w:tcW w:w="6240" w:type="dxa"/>
            <w:vAlign w:val="bottom"/>
            <w:tcBorders>
              <w:right w:val="single" w:sz="8" w:color="AFAFAF"/>
            </w:tcBorders>
            <w:gridSpan w:val="2"/>
          </w:tcPr>
          <w:p>
            <w:pPr>
              <w:spacing w:after="0"/>
              <w:rPr>
                <w:sz w:val="20"/>
                <w:szCs w:val="20"/>
                <w:color w:val="auto"/>
              </w:rPr>
            </w:pPr>
            <w:r>
              <w:rPr>
                <w:rFonts w:ascii="Arial" w:cs="Arial" w:eastAsia="Arial" w:hAnsi="Arial"/>
                <w:sz w:val="14"/>
                <w:szCs w:val="14"/>
                <w:b w:val="1"/>
                <w:bCs w:val="1"/>
                <w:color w:val="auto"/>
              </w:rPr>
              <w:t xml:space="preserve">Full Dilution – </w:t>
            </w:r>
            <w:r>
              <w:rPr>
                <w:rFonts w:ascii="Arial" w:cs="Arial" w:eastAsia="Arial" w:hAnsi="Arial"/>
                <w:sz w:val="14"/>
                <w:szCs w:val="14"/>
                <w:color w:val="auto"/>
              </w:rPr>
              <w:t>the total number of all DSUs available for issue plus all DSUs outstanding, divided</w:t>
            </w:r>
          </w:p>
        </w:tc>
        <w:tc>
          <w:tcPr>
            <w:tcW w:w="260" w:type="dxa"/>
            <w:vAlign w:val="bottom"/>
          </w:tcPr>
          <w:p>
            <w:pPr>
              <w:spacing w:after="0"/>
              <w:rPr>
                <w:sz w:val="17"/>
                <w:szCs w:val="17"/>
                <w:color w:val="auto"/>
              </w:rPr>
            </w:pPr>
          </w:p>
        </w:tc>
        <w:tc>
          <w:tcPr>
            <w:tcW w:w="940" w:type="dxa"/>
            <w:vAlign w:val="bottom"/>
            <w:tcBorders>
              <w:right w:val="single" w:sz="8" w:color="AFAFAF"/>
            </w:tcBorders>
          </w:tcPr>
          <w:p>
            <w:pPr>
              <w:spacing w:after="0"/>
              <w:rPr>
                <w:sz w:val="17"/>
                <w:szCs w:val="17"/>
                <w:color w:val="auto"/>
              </w:rPr>
            </w:pPr>
          </w:p>
        </w:tc>
        <w:tc>
          <w:tcPr>
            <w:tcW w:w="1740" w:type="dxa"/>
            <w:vAlign w:val="bottom"/>
            <w:tcBorders>
              <w:right w:val="single" w:sz="8" w:color="AFAFAF"/>
            </w:tcBorders>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0"/>
        </w:trPr>
        <w:tc>
          <w:tcPr>
            <w:tcW w:w="6240" w:type="dxa"/>
            <w:vAlign w:val="bottom"/>
            <w:tcBorders>
              <w:right w:val="single" w:sz="8" w:color="AFAFAF"/>
            </w:tcBorders>
            <w:gridSpan w:val="2"/>
          </w:tcPr>
          <w:p>
            <w:pPr>
              <w:spacing w:after="0"/>
              <w:rPr>
                <w:sz w:val="20"/>
                <w:szCs w:val="20"/>
                <w:color w:val="auto"/>
              </w:rPr>
            </w:pPr>
            <w:r>
              <w:rPr>
                <w:rFonts w:ascii="Arial" w:cs="Arial" w:eastAsia="Arial" w:hAnsi="Arial"/>
                <w:sz w:val="14"/>
                <w:szCs w:val="14"/>
                <w:color w:val="auto"/>
              </w:rPr>
              <w:t>by the total weighted average of common shares outstanding during the year plus all DSUs</w:t>
            </w:r>
          </w:p>
        </w:tc>
        <w:tc>
          <w:tcPr>
            <w:tcW w:w="260" w:type="dxa"/>
            <w:vAlign w:val="bottom"/>
          </w:tcPr>
          <w:p>
            <w:pPr>
              <w:spacing w:after="0"/>
              <w:rPr>
                <w:sz w:val="13"/>
                <w:szCs w:val="13"/>
                <w:color w:val="auto"/>
              </w:rPr>
            </w:pPr>
          </w:p>
        </w:tc>
        <w:tc>
          <w:tcPr>
            <w:tcW w:w="940" w:type="dxa"/>
            <w:vAlign w:val="bottom"/>
            <w:tcBorders>
              <w:right w:val="single" w:sz="8" w:color="AFAFAF"/>
            </w:tcBorders>
          </w:tcPr>
          <w:p>
            <w:pPr>
              <w:spacing w:after="0"/>
              <w:rPr>
                <w:sz w:val="13"/>
                <w:szCs w:val="13"/>
                <w:color w:val="auto"/>
              </w:rPr>
            </w:pPr>
          </w:p>
        </w:tc>
        <w:tc>
          <w:tcPr>
            <w:tcW w:w="1740" w:type="dxa"/>
            <w:vAlign w:val="bottom"/>
            <w:tcBorders>
              <w:right w:val="single" w:sz="8" w:color="AFAFAF"/>
            </w:tcBorders>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outstanding and available for issue</w:t>
            </w:r>
          </w:p>
        </w:tc>
        <w:tc>
          <w:tcPr>
            <w:tcW w:w="2200" w:type="dxa"/>
            <w:vAlign w:val="bottom"/>
            <w:tcBorders>
              <w:right w:val="single" w:sz="8" w:color="AFAFAF"/>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right w:val="single" w:sz="8" w:color="AFAFAF"/>
            </w:tcBorders>
          </w:tcPr>
          <w:p>
            <w:pPr>
              <w:ind w:left="140"/>
              <w:spacing w:after="0"/>
              <w:rPr>
                <w:sz w:val="20"/>
                <w:szCs w:val="20"/>
                <w:color w:val="auto"/>
              </w:rPr>
            </w:pPr>
            <w:r>
              <w:rPr>
                <w:rFonts w:ascii="Arial" w:cs="Arial" w:eastAsia="Arial" w:hAnsi="Arial"/>
                <w:sz w:val="14"/>
                <w:szCs w:val="14"/>
                <w:color w:val="auto"/>
              </w:rPr>
              <w:t>0.995%</w:t>
            </w:r>
          </w:p>
        </w:tc>
        <w:tc>
          <w:tcPr>
            <w:tcW w:w="1740" w:type="dxa"/>
            <w:vAlign w:val="bottom"/>
            <w:tcBorders>
              <w:right w:val="single" w:sz="8" w:color="AFAFAF"/>
            </w:tcBorders>
          </w:tcPr>
          <w:p>
            <w:pPr>
              <w:ind w:left="740"/>
              <w:spacing w:after="0"/>
              <w:rPr>
                <w:sz w:val="20"/>
                <w:szCs w:val="20"/>
                <w:color w:val="auto"/>
              </w:rPr>
            </w:pPr>
            <w:r>
              <w:rPr>
                <w:rFonts w:ascii="Arial" w:cs="Arial" w:eastAsia="Arial" w:hAnsi="Arial"/>
                <w:sz w:val="14"/>
                <w:szCs w:val="14"/>
                <w:color w:val="auto"/>
              </w:rPr>
              <w:t>0.960%</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4"/>
                <w:szCs w:val="14"/>
                <w:color w:val="auto"/>
              </w:rPr>
              <w:t>0.971%</w:t>
            </w:r>
          </w:p>
        </w:tc>
      </w:tr>
      <w:tr>
        <w:trPr>
          <w:trHeight w:val="48"/>
        </w:trPr>
        <w:tc>
          <w:tcPr>
            <w:tcW w:w="4040" w:type="dxa"/>
            <w:vAlign w:val="bottom"/>
            <w:tcBorders>
              <w:bottom w:val="single" w:sz="8" w:color="B94831"/>
            </w:tcBorders>
          </w:tcPr>
          <w:p>
            <w:pPr>
              <w:spacing w:after="0"/>
              <w:rPr>
                <w:sz w:val="4"/>
                <w:szCs w:val="4"/>
                <w:color w:val="auto"/>
              </w:rPr>
            </w:pPr>
          </w:p>
        </w:tc>
        <w:tc>
          <w:tcPr>
            <w:tcW w:w="2200" w:type="dxa"/>
            <w:vAlign w:val="bottom"/>
            <w:tcBorders>
              <w:bottom w:val="single" w:sz="8" w:color="B94831"/>
              <w:right w:val="single" w:sz="8" w:color="AFAFAF"/>
            </w:tcBorders>
          </w:tcPr>
          <w:p>
            <w:pPr>
              <w:spacing w:after="0"/>
              <w:rPr>
                <w:sz w:val="4"/>
                <w:szCs w:val="4"/>
                <w:color w:val="auto"/>
              </w:rPr>
            </w:pPr>
          </w:p>
        </w:tc>
        <w:tc>
          <w:tcPr>
            <w:tcW w:w="260" w:type="dxa"/>
            <w:vAlign w:val="bottom"/>
            <w:tcBorders>
              <w:bottom w:val="single" w:sz="8" w:color="B94831"/>
            </w:tcBorders>
          </w:tcPr>
          <w:p>
            <w:pPr>
              <w:spacing w:after="0"/>
              <w:rPr>
                <w:sz w:val="4"/>
                <w:szCs w:val="4"/>
                <w:color w:val="auto"/>
              </w:rPr>
            </w:pPr>
          </w:p>
        </w:tc>
        <w:tc>
          <w:tcPr>
            <w:tcW w:w="940" w:type="dxa"/>
            <w:vAlign w:val="bottom"/>
            <w:tcBorders>
              <w:bottom w:val="single" w:sz="8" w:color="B94831"/>
              <w:right w:val="single" w:sz="8" w:color="AFAFAF"/>
            </w:tcBorders>
          </w:tcPr>
          <w:p>
            <w:pPr>
              <w:spacing w:after="0"/>
              <w:rPr>
                <w:sz w:val="4"/>
                <w:szCs w:val="4"/>
                <w:color w:val="auto"/>
              </w:rPr>
            </w:pPr>
          </w:p>
        </w:tc>
        <w:tc>
          <w:tcPr>
            <w:tcW w:w="1740" w:type="dxa"/>
            <w:vAlign w:val="bottom"/>
            <w:tcBorders>
              <w:bottom w:val="single" w:sz="8" w:color="B94831"/>
              <w:right w:val="single" w:sz="8" w:color="AFAFAF"/>
            </w:tcBorders>
          </w:tcPr>
          <w:p>
            <w:pPr>
              <w:spacing w:after="0"/>
              <w:rPr>
                <w:sz w:val="4"/>
                <w:szCs w:val="4"/>
                <w:color w:val="auto"/>
              </w:rPr>
            </w:pPr>
          </w:p>
        </w:tc>
        <w:tc>
          <w:tcPr>
            <w:tcW w:w="700" w:type="dxa"/>
            <w:vAlign w:val="bottom"/>
            <w:tcBorders>
              <w:bottom w:val="single" w:sz="8" w:color="B94831"/>
            </w:tcBorders>
          </w:tcPr>
          <w:p>
            <w:pPr>
              <w:spacing w:after="0"/>
              <w:rPr>
                <w:sz w:val="4"/>
                <w:szCs w:val="4"/>
                <w:color w:val="auto"/>
              </w:rPr>
            </w:pPr>
          </w:p>
        </w:tc>
        <w:tc>
          <w:tcPr>
            <w:tcW w:w="1040" w:type="dxa"/>
            <w:vAlign w:val="bottom"/>
            <w:tcBorders>
              <w:bottom w:val="single" w:sz="8" w:color="B94831"/>
            </w:tcBorders>
          </w:tcPr>
          <w:p>
            <w:pPr>
              <w:spacing w:after="0"/>
              <w:rPr>
                <w:sz w:val="4"/>
                <w:szCs w:val="4"/>
                <w:color w:val="auto"/>
              </w:rPr>
            </w:pPr>
          </w:p>
        </w:tc>
      </w:tr>
      <w:tr>
        <w:trPr>
          <w:trHeight w:val="234"/>
        </w:trPr>
        <w:tc>
          <w:tcPr>
            <w:tcW w:w="40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4040" w:type="dxa"/>
            <w:vAlign w:val="bottom"/>
            <w:shd w:val="clear" w:color="auto" w:fill="262626"/>
          </w:tcPr>
          <w:p>
            <w:pPr>
              <w:spacing w:after="0"/>
              <w:rPr>
                <w:sz w:val="20"/>
                <w:szCs w:val="20"/>
                <w:color w:val="auto"/>
              </w:rPr>
            </w:pPr>
            <w:r>
              <w:rPr>
                <w:rFonts w:ascii="Arial" w:cs="Arial" w:eastAsia="Arial" w:hAnsi="Arial"/>
                <w:sz w:val="15"/>
                <w:szCs w:val="15"/>
                <w:b w:val="1"/>
                <w:bCs w:val="1"/>
                <w:color w:val="FFFFFF"/>
              </w:rPr>
              <w:t>   Employee Stock Purchase Plans</w:t>
            </w:r>
          </w:p>
        </w:tc>
        <w:tc>
          <w:tcPr>
            <w:tcW w:w="2200" w:type="dxa"/>
            <w:vAlign w:val="bottom"/>
            <w:tcBorders>
              <w:right w:val="single" w:sz="8" w:color="262626"/>
            </w:tcBorders>
            <w:shd w:val="clear" w:color="auto" w:fill="262626"/>
          </w:tcPr>
          <w:p>
            <w:pPr>
              <w:spacing w:after="0"/>
              <w:rPr>
                <w:sz w:val="18"/>
                <w:szCs w:val="18"/>
                <w:color w:val="auto"/>
              </w:rPr>
            </w:pPr>
          </w:p>
        </w:tc>
        <w:tc>
          <w:tcPr>
            <w:tcW w:w="260" w:type="dxa"/>
            <w:vAlign w:val="bottom"/>
            <w:shd w:val="clear" w:color="auto" w:fill="262626"/>
          </w:tcPr>
          <w:p>
            <w:pPr>
              <w:spacing w:after="0"/>
              <w:rPr>
                <w:sz w:val="18"/>
                <w:szCs w:val="18"/>
                <w:color w:val="auto"/>
              </w:rPr>
            </w:pPr>
          </w:p>
        </w:tc>
        <w:tc>
          <w:tcPr>
            <w:tcW w:w="940" w:type="dxa"/>
            <w:vAlign w:val="bottom"/>
            <w:tcBorders>
              <w:right w:val="single" w:sz="8" w:color="262626"/>
            </w:tcBorders>
            <w:shd w:val="clear" w:color="auto" w:fill="262626"/>
          </w:tcPr>
          <w:p>
            <w:pPr>
              <w:spacing w:after="0"/>
              <w:rPr>
                <w:sz w:val="18"/>
                <w:szCs w:val="18"/>
                <w:color w:val="auto"/>
              </w:rPr>
            </w:pPr>
          </w:p>
        </w:tc>
        <w:tc>
          <w:tcPr>
            <w:tcW w:w="1740" w:type="dxa"/>
            <w:vAlign w:val="bottom"/>
            <w:tcBorders>
              <w:right w:val="single" w:sz="8" w:color="262626"/>
            </w:tcBorders>
            <w:shd w:val="clear" w:color="auto" w:fill="262626"/>
          </w:tcPr>
          <w:p>
            <w:pPr>
              <w:spacing w:after="0"/>
              <w:rPr>
                <w:sz w:val="18"/>
                <w:szCs w:val="18"/>
                <w:color w:val="auto"/>
              </w:rPr>
            </w:pPr>
          </w:p>
        </w:tc>
        <w:tc>
          <w:tcPr>
            <w:tcW w:w="700" w:type="dxa"/>
            <w:vAlign w:val="bottom"/>
            <w:shd w:val="clear" w:color="auto" w:fill="262626"/>
          </w:tcPr>
          <w:p>
            <w:pPr>
              <w:spacing w:after="0"/>
              <w:rPr>
                <w:sz w:val="18"/>
                <w:szCs w:val="18"/>
                <w:color w:val="auto"/>
              </w:rPr>
            </w:pPr>
          </w:p>
        </w:tc>
        <w:tc>
          <w:tcPr>
            <w:tcW w:w="1040" w:type="dxa"/>
            <w:vAlign w:val="bottom"/>
            <w:shd w:val="clear" w:color="auto" w:fill="262626"/>
          </w:tcPr>
          <w:p>
            <w:pPr>
              <w:spacing w:after="0"/>
              <w:rPr>
                <w:sz w:val="18"/>
                <w:szCs w:val="18"/>
                <w:color w:val="auto"/>
              </w:rPr>
            </w:pPr>
          </w:p>
        </w:tc>
      </w:tr>
      <w:tr>
        <w:trPr>
          <w:trHeight w:val="64"/>
        </w:trPr>
        <w:tc>
          <w:tcPr>
            <w:tcW w:w="4040" w:type="dxa"/>
            <w:vAlign w:val="bottom"/>
            <w:shd w:val="clear" w:color="auto" w:fill="262626"/>
          </w:tcPr>
          <w:p>
            <w:pPr>
              <w:spacing w:after="0"/>
              <w:rPr>
                <w:sz w:val="5"/>
                <w:szCs w:val="5"/>
                <w:color w:val="auto"/>
              </w:rPr>
            </w:pPr>
          </w:p>
        </w:tc>
        <w:tc>
          <w:tcPr>
            <w:tcW w:w="5840" w:type="dxa"/>
            <w:vAlign w:val="bottom"/>
            <w:gridSpan w:val="5"/>
            <w:shd w:val="clear" w:color="auto" w:fill="262626"/>
          </w:tcPr>
          <w:p>
            <w:pPr>
              <w:spacing w:after="0"/>
              <w:rPr>
                <w:sz w:val="5"/>
                <w:szCs w:val="5"/>
                <w:color w:val="auto"/>
              </w:rPr>
            </w:pPr>
          </w:p>
        </w:tc>
        <w:tc>
          <w:tcPr>
            <w:tcW w:w="1040" w:type="dxa"/>
            <w:vAlign w:val="bottom"/>
            <w:shd w:val="clear" w:color="auto" w:fill="262626"/>
          </w:tcPr>
          <w:p>
            <w:pPr>
              <w:spacing w:after="0"/>
              <w:rPr>
                <w:sz w:val="5"/>
                <w:szCs w:val="5"/>
                <w:color w:val="auto"/>
              </w:rPr>
            </w:pPr>
          </w:p>
        </w:tc>
      </w:tr>
      <w:tr>
        <w:trPr>
          <w:trHeight w:val="239"/>
        </w:trPr>
        <w:tc>
          <w:tcPr>
            <w:tcW w:w="4040" w:type="dxa"/>
            <w:vAlign w:val="bottom"/>
          </w:tcPr>
          <w:p>
            <w:pPr>
              <w:spacing w:after="0"/>
              <w:rPr>
                <w:sz w:val="20"/>
                <w:szCs w:val="20"/>
                <w:color w:val="auto"/>
              </w:rPr>
            </w:pPr>
            <w:r>
              <w:rPr>
                <w:rFonts w:ascii="Arial" w:cs="Arial" w:eastAsia="Arial" w:hAnsi="Arial"/>
                <w:sz w:val="14"/>
                <w:szCs w:val="14"/>
                <w:b w:val="1"/>
                <w:bCs w:val="1"/>
                <w:color w:val="auto"/>
              </w:rPr>
              <w:t>   Eligibility</w:t>
            </w:r>
          </w:p>
        </w:tc>
        <w:tc>
          <w:tcPr>
            <w:tcW w:w="5840" w:type="dxa"/>
            <w:vAlign w:val="bottom"/>
            <w:gridSpan w:val="5"/>
          </w:tcPr>
          <w:p>
            <w:pPr>
              <w:ind w:left="120"/>
              <w:spacing w:after="0"/>
              <w:rPr>
                <w:sz w:val="20"/>
                <w:szCs w:val="20"/>
                <w:color w:val="auto"/>
              </w:rPr>
            </w:pPr>
            <w:r>
              <w:rPr>
                <w:rFonts w:ascii="Arial" w:cs="Arial" w:eastAsia="Arial" w:hAnsi="Arial"/>
                <w:sz w:val="14"/>
                <w:szCs w:val="14"/>
                <w:color w:val="auto"/>
              </w:rPr>
              <w:t>Designated employees in the United States, United Kingdom, Canada and other countries.</w:t>
            </w:r>
          </w:p>
        </w:tc>
        <w:tc>
          <w:tcPr>
            <w:tcW w:w="1040" w:type="dxa"/>
            <w:vAlign w:val="bottom"/>
          </w:tcPr>
          <w:p>
            <w:pPr>
              <w:spacing w:after="0"/>
              <w:rPr>
                <w:sz w:val="20"/>
                <w:szCs w:val="20"/>
                <w:color w:val="auto"/>
              </w:rPr>
            </w:pPr>
          </w:p>
        </w:tc>
      </w:tr>
      <w:tr>
        <w:trPr>
          <w:trHeight w:val="42"/>
        </w:trPr>
        <w:tc>
          <w:tcPr>
            <w:tcW w:w="4040" w:type="dxa"/>
            <w:vAlign w:val="bottom"/>
            <w:tcBorders>
              <w:bottom w:val="single" w:sz="8" w:color="AFAFAF"/>
            </w:tcBorders>
          </w:tcPr>
          <w:p>
            <w:pPr>
              <w:spacing w:after="0"/>
              <w:rPr>
                <w:sz w:val="3"/>
                <w:szCs w:val="3"/>
                <w:color w:val="auto"/>
              </w:rPr>
            </w:pPr>
          </w:p>
        </w:tc>
        <w:tc>
          <w:tcPr>
            <w:tcW w:w="6880" w:type="dxa"/>
            <w:vAlign w:val="bottom"/>
            <w:tcBorders>
              <w:bottom w:val="single" w:sz="8" w:color="AFAFAF"/>
            </w:tcBorders>
            <w:gridSpan w:val="6"/>
          </w:tcPr>
          <w:p>
            <w:pPr>
              <w:spacing w:after="0"/>
              <w:rPr>
                <w:sz w:val="3"/>
                <w:szCs w:val="3"/>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   Purpose</w:t>
            </w: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Provide eligible employees with an opportunity to purchase shares and to further align their interests with</w:t>
            </w:r>
          </w:p>
        </w:tc>
      </w:tr>
      <w:tr>
        <w:trPr>
          <w:trHeight w:val="189"/>
        </w:trPr>
        <w:tc>
          <w:tcPr>
            <w:tcW w:w="4040" w:type="dxa"/>
            <w:vAlign w:val="bottom"/>
          </w:tcPr>
          <w:p>
            <w:pPr>
              <w:spacing w:after="0"/>
              <w:rPr>
                <w:sz w:val="16"/>
                <w:szCs w:val="16"/>
                <w:color w:val="auto"/>
              </w:rPr>
            </w:pPr>
          </w:p>
        </w:tc>
        <w:tc>
          <w:tcPr>
            <w:tcW w:w="2460" w:type="dxa"/>
            <w:vAlign w:val="bottom"/>
            <w:gridSpan w:val="2"/>
          </w:tcPr>
          <w:p>
            <w:pPr>
              <w:ind w:left="120"/>
              <w:spacing w:after="0"/>
              <w:rPr>
                <w:sz w:val="20"/>
                <w:szCs w:val="20"/>
                <w:color w:val="auto"/>
              </w:rPr>
            </w:pPr>
            <w:r>
              <w:rPr>
                <w:rFonts w:ascii="Arial" w:cs="Arial" w:eastAsia="Arial" w:hAnsi="Arial"/>
                <w:sz w:val="14"/>
                <w:szCs w:val="14"/>
                <w:color w:val="auto"/>
              </w:rPr>
              <w:t>those of our shareholders.</w:t>
            </w: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8"/>
        </w:trPr>
        <w:tc>
          <w:tcPr>
            <w:tcW w:w="4040" w:type="dxa"/>
            <w:vAlign w:val="bottom"/>
            <w:tcBorders>
              <w:bottom w:val="single" w:sz="8" w:color="AFAFAF"/>
            </w:tcBorders>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   Maximum number of shares issuable</w:t>
            </w: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20,388,909 shares (comprised of 14,633,208 for U.S. employee stock purchase plan and 5,755,701 for</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global employee stock purchase plan), representing approximately 4.50% of our total issued and</w:t>
            </w:r>
          </w:p>
        </w:tc>
      </w:tr>
      <w:tr>
        <w:trPr>
          <w:trHeight w:val="189"/>
        </w:trPr>
        <w:tc>
          <w:tcPr>
            <w:tcW w:w="4040" w:type="dxa"/>
            <w:vAlign w:val="bottom"/>
          </w:tcPr>
          <w:p>
            <w:pPr>
              <w:spacing w:after="0"/>
              <w:rPr>
                <w:sz w:val="16"/>
                <w:szCs w:val="16"/>
                <w:color w:val="auto"/>
              </w:rPr>
            </w:pPr>
          </w:p>
        </w:tc>
        <w:tc>
          <w:tcPr>
            <w:tcW w:w="2460" w:type="dxa"/>
            <w:vAlign w:val="bottom"/>
            <w:gridSpan w:val="2"/>
          </w:tcPr>
          <w:p>
            <w:pPr>
              <w:ind w:left="120"/>
              <w:spacing w:after="0"/>
              <w:rPr>
                <w:sz w:val="20"/>
                <w:szCs w:val="20"/>
                <w:color w:val="auto"/>
              </w:rPr>
            </w:pPr>
            <w:r>
              <w:rPr>
                <w:rFonts w:ascii="Arial" w:cs="Arial" w:eastAsia="Arial" w:hAnsi="Arial"/>
                <w:sz w:val="14"/>
                <w:szCs w:val="14"/>
                <w:color w:val="auto"/>
              </w:rPr>
              <w:t>outstanding shares as of year-end.</w:t>
            </w: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8"/>
        </w:trPr>
        <w:tc>
          <w:tcPr>
            <w:tcW w:w="4040" w:type="dxa"/>
            <w:vAlign w:val="bottom"/>
            <w:tcBorders>
              <w:bottom w:val="single" w:sz="8" w:color="AFAFAF"/>
            </w:tcBorders>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233"/>
        </w:trPr>
        <w:tc>
          <w:tcPr>
            <w:tcW w:w="4040" w:type="dxa"/>
            <w:vAlign w:val="bottom"/>
          </w:tcPr>
          <w:p>
            <w:pPr>
              <w:spacing w:after="0"/>
              <w:rPr>
                <w:sz w:val="20"/>
                <w:szCs w:val="20"/>
                <w:color w:val="auto"/>
              </w:rPr>
            </w:pPr>
            <w:r>
              <w:rPr>
                <w:rFonts w:ascii="Arial" w:cs="Arial" w:eastAsia="Arial" w:hAnsi="Arial"/>
                <w:sz w:val="14"/>
                <w:szCs w:val="14"/>
                <w:b w:val="1"/>
                <w:bCs w:val="1"/>
                <w:color w:val="auto"/>
              </w:rPr>
              <w:t>   Shares issued as of December 31, 2023</w:t>
            </w: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16,023,367 shares, representing approximately 3.54% of our total issued and outstanding shares.</w:t>
            </w:r>
          </w:p>
        </w:tc>
      </w:tr>
      <w:tr>
        <w:trPr>
          <w:trHeight w:val="42"/>
        </w:trPr>
        <w:tc>
          <w:tcPr>
            <w:tcW w:w="4040" w:type="dxa"/>
            <w:vAlign w:val="bottom"/>
            <w:tcBorders>
              <w:bottom w:val="single" w:sz="8" w:color="AFAFAF"/>
            </w:tcBorders>
          </w:tcPr>
          <w:p>
            <w:pPr>
              <w:spacing w:after="0"/>
              <w:rPr>
                <w:sz w:val="3"/>
                <w:szCs w:val="3"/>
                <w:color w:val="auto"/>
              </w:rPr>
            </w:pPr>
          </w:p>
        </w:tc>
        <w:tc>
          <w:tcPr>
            <w:tcW w:w="6880" w:type="dxa"/>
            <w:vAlign w:val="bottom"/>
            <w:tcBorders>
              <w:bottom w:val="single" w:sz="8" w:color="AFAFAF"/>
            </w:tcBorders>
            <w:gridSpan w:val="6"/>
          </w:tcPr>
          <w:p>
            <w:pPr>
              <w:spacing w:after="0"/>
              <w:rPr>
                <w:sz w:val="3"/>
                <w:szCs w:val="3"/>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   Shares available for issue as of</w:t>
            </w: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4,365,542 shares, comprised of 2,224,302 shares for the U.S. ESPP and 2,141,240 for the global ESPP,</w:t>
            </w:r>
          </w:p>
        </w:tc>
      </w:tr>
      <w:tr>
        <w:trPr>
          <w:trHeight w:val="160"/>
        </w:trPr>
        <w:tc>
          <w:tcPr>
            <w:tcW w:w="4040" w:type="dxa"/>
            <w:vAlign w:val="bottom"/>
          </w:tcPr>
          <w:p>
            <w:pPr>
              <w:spacing w:after="0"/>
              <w:rPr>
                <w:sz w:val="20"/>
                <w:szCs w:val="20"/>
                <w:color w:val="auto"/>
              </w:rPr>
            </w:pPr>
            <w:r>
              <w:rPr>
                <w:rFonts w:ascii="Arial" w:cs="Arial" w:eastAsia="Arial" w:hAnsi="Arial"/>
                <w:sz w:val="14"/>
                <w:szCs w:val="14"/>
                <w:b w:val="1"/>
                <w:bCs w:val="1"/>
                <w:color w:val="auto"/>
              </w:rPr>
              <w:t>   December 31, 2023</w:t>
            </w: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representing approximately 0.96% of our total issued and outstanding shares (0.49% for the U.S. ESPP</w:t>
            </w:r>
          </w:p>
        </w:tc>
      </w:tr>
      <w:tr>
        <w:trPr>
          <w:trHeight w:val="189"/>
        </w:trPr>
        <w:tc>
          <w:tcPr>
            <w:tcW w:w="4040" w:type="dxa"/>
            <w:vAlign w:val="bottom"/>
          </w:tcPr>
          <w:p>
            <w:pPr>
              <w:spacing w:after="0"/>
              <w:rPr>
                <w:sz w:val="16"/>
                <w:szCs w:val="16"/>
                <w:color w:val="auto"/>
              </w:rPr>
            </w:pPr>
          </w:p>
        </w:tc>
        <w:tc>
          <w:tcPr>
            <w:tcW w:w="2460" w:type="dxa"/>
            <w:vAlign w:val="bottom"/>
            <w:gridSpan w:val="2"/>
          </w:tcPr>
          <w:p>
            <w:pPr>
              <w:ind w:left="120"/>
              <w:spacing w:after="0"/>
              <w:rPr>
                <w:sz w:val="20"/>
                <w:szCs w:val="20"/>
                <w:color w:val="auto"/>
              </w:rPr>
            </w:pPr>
            <w:r>
              <w:rPr>
                <w:rFonts w:ascii="Arial" w:cs="Arial" w:eastAsia="Arial" w:hAnsi="Arial"/>
                <w:sz w:val="14"/>
                <w:szCs w:val="14"/>
                <w:color w:val="auto"/>
              </w:rPr>
              <w:t>and 0.47% for the global ESPP).</w:t>
            </w: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8"/>
        </w:trPr>
        <w:tc>
          <w:tcPr>
            <w:tcW w:w="4040" w:type="dxa"/>
            <w:vAlign w:val="bottom"/>
            <w:tcBorders>
              <w:bottom w:val="single" w:sz="8" w:color="AFAFAF"/>
            </w:tcBorders>
          </w:tcPr>
          <w:p>
            <w:pPr>
              <w:spacing w:after="0"/>
              <w:rPr>
                <w:sz w:val="4"/>
                <w:szCs w:val="4"/>
                <w:color w:val="auto"/>
              </w:rPr>
            </w:pPr>
          </w:p>
        </w:tc>
        <w:tc>
          <w:tcPr>
            <w:tcW w:w="2460" w:type="dxa"/>
            <w:vAlign w:val="bottom"/>
            <w:tcBorders>
              <w:bottom w:val="single" w:sz="8" w:color="AFAFAF"/>
            </w:tcBorders>
            <w:gridSpan w:val="2"/>
          </w:tcPr>
          <w:p>
            <w:pPr>
              <w:spacing w:after="0"/>
              <w:rPr>
                <w:sz w:val="4"/>
                <w:szCs w:val="4"/>
                <w:color w:val="auto"/>
              </w:rPr>
            </w:pPr>
          </w:p>
        </w:tc>
        <w:tc>
          <w:tcPr>
            <w:tcW w:w="940" w:type="dxa"/>
            <w:vAlign w:val="bottom"/>
            <w:tcBorders>
              <w:bottom w:val="single" w:sz="8" w:color="AFAFAF"/>
            </w:tcBorders>
          </w:tcPr>
          <w:p>
            <w:pPr>
              <w:spacing w:after="0"/>
              <w:rPr>
                <w:sz w:val="4"/>
                <w:szCs w:val="4"/>
                <w:color w:val="auto"/>
              </w:rPr>
            </w:pPr>
          </w:p>
        </w:tc>
        <w:tc>
          <w:tcPr>
            <w:tcW w:w="1740" w:type="dxa"/>
            <w:vAlign w:val="bottom"/>
            <w:tcBorders>
              <w:bottom w:val="single" w:sz="8" w:color="AFAFAF"/>
            </w:tcBorders>
          </w:tcPr>
          <w:p>
            <w:pPr>
              <w:spacing w:after="0"/>
              <w:rPr>
                <w:sz w:val="4"/>
                <w:szCs w:val="4"/>
                <w:color w:val="auto"/>
              </w:rPr>
            </w:pPr>
          </w:p>
        </w:tc>
        <w:tc>
          <w:tcPr>
            <w:tcW w:w="700" w:type="dxa"/>
            <w:vAlign w:val="bottom"/>
            <w:tcBorders>
              <w:bottom w:val="single" w:sz="8" w:color="AFAFAF"/>
            </w:tcBorders>
          </w:tcPr>
          <w:p>
            <w:pPr>
              <w:spacing w:after="0"/>
              <w:rPr>
                <w:sz w:val="4"/>
                <w:szCs w:val="4"/>
                <w:color w:val="auto"/>
              </w:rPr>
            </w:pPr>
          </w:p>
        </w:tc>
        <w:tc>
          <w:tcPr>
            <w:tcW w:w="1040" w:type="dxa"/>
            <w:vAlign w:val="bottom"/>
            <w:tcBorders>
              <w:bottom w:val="single" w:sz="8" w:color="AFAFAF"/>
            </w:tcBorders>
          </w:tcPr>
          <w:p>
            <w:pPr>
              <w:spacing w:after="0"/>
              <w:rPr>
                <w:sz w:val="4"/>
                <w:szCs w:val="4"/>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   Types of equity-based awards that</w:t>
            </w:r>
          </w:p>
        </w:tc>
        <w:tc>
          <w:tcPr>
            <w:tcW w:w="24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Common shares</w:t>
            </w: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4"/>
                <w:szCs w:val="14"/>
                <w:b w:val="1"/>
                <w:bCs w:val="1"/>
                <w:color w:val="auto"/>
              </w:rPr>
              <w:t>   may be issued</w:t>
            </w:r>
          </w:p>
        </w:tc>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5"/>
        </w:trPr>
        <w:tc>
          <w:tcPr>
            <w:tcW w:w="4040" w:type="dxa"/>
            <w:vAlign w:val="bottom"/>
            <w:tcBorders>
              <w:bottom w:val="single" w:sz="8" w:color="AFAFAF"/>
            </w:tcBorders>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   ESPP—key terms</w:t>
            </w:r>
          </w:p>
        </w:tc>
        <w:tc>
          <w:tcPr>
            <w:tcW w:w="6880" w:type="dxa"/>
            <w:vAlign w:val="bottom"/>
            <w:gridSpan w:val="6"/>
          </w:tcPr>
          <w:p>
            <w:pPr>
              <w:ind w:left="120"/>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The ESPP is voluntary. Eligible employees contribute to the ESPP through payroll deductions by</w:t>
            </w:r>
          </w:p>
        </w:tc>
      </w:tr>
      <w:tr>
        <w:trPr>
          <w:trHeight w:val="189"/>
        </w:trPr>
        <w:tc>
          <w:tcPr>
            <w:tcW w:w="4040" w:type="dxa"/>
            <w:vAlign w:val="bottom"/>
          </w:tcPr>
          <w:p>
            <w:pPr>
              <w:spacing w:after="0"/>
              <w:rPr>
                <w:sz w:val="16"/>
                <w:szCs w:val="16"/>
                <w:color w:val="auto"/>
              </w:rPr>
            </w:pPr>
          </w:p>
        </w:tc>
        <w:tc>
          <w:tcPr>
            <w:tcW w:w="5840" w:type="dxa"/>
            <w:vAlign w:val="bottom"/>
            <w:gridSpan w:val="5"/>
          </w:tcPr>
          <w:p>
            <w:pPr>
              <w:ind w:left="320"/>
              <w:spacing w:after="0"/>
              <w:rPr>
                <w:sz w:val="20"/>
                <w:szCs w:val="20"/>
                <w:color w:val="auto"/>
              </w:rPr>
            </w:pPr>
            <w:r>
              <w:rPr>
                <w:rFonts w:ascii="Arial" w:cs="Arial" w:eastAsia="Arial" w:hAnsi="Arial"/>
                <w:sz w:val="14"/>
                <w:szCs w:val="14"/>
                <w:color w:val="auto"/>
              </w:rPr>
              <w:t>designating from 1% to 10% of eligible compensation to be withheld.</w:t>
            </w:r>
          </w:p>
        </w:tc>
        <w:tc>
          <w:tcPr>
            <w:tcW w:w="1040" w:type="dxa"/>
            <w:vAlign w:val="bottom"/>
          </w:tcPr>
          <w:p>
            <w:pPr>
              <w:spacing w:after="0"/>
              <w:rPr>
                <w:sz w:val="16"/>
                <w:szCs w:val="16"/>
                <w:color w:val="auto"/>
              </w:rPr>
            </w:pPr>
          </w:p>
        </w:tc>
      </w:tr>
      <w:tr>
        <w:trPr>
          <w:trHeight w:val="48"/>
        </w:trPr>
        <w:tc>
          <w:tcPr>
            <w:tcW w:w="4040" w:type="dxa"/>
            <w:vAlign w:val="bottom"/>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198"/>
        </w:trPr>
        <w:tc>
          <w:tcPr>
            <w:tcW w:w="4040" w:type="dxa"/>
            <w:vAlign w:val="bottom"/>
          </w:tcPr>
          <w:p>
            <w:pPr>
              <w:spacing w:after="0"/>
              <w:rPr>
                <w:sz w:val="17"/>
                <w:szCs w:val="17"/>
                <w:color w:val="auto"/>
              </w:rPr>
            </w:pPr>
          </w:p>
        </w:tc>
        <w:tc>
          <w:tcPr>
            <w:tcW w:w="6880" w:type="dxa"/>
            <w:vAlign w:val="bottom"/>
            <w:gridSpan w:val="6"/>
          </w:tcPr>
          <w:p>
            <w:pPr>
              <w:ind w:left="120"/>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On the last business day of each calendar quarter, we use accumulated payroll deductions to buy</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common shares for participants. The price paid for shares is 85% of the closing price (i.e., a 15%</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discount) of our common shares on the NYSE on the last trading day of the quarter. Non-U.S.</w:t>
            </w:r>
          </w:p>
        </w:tc>
      </w:tr>
      <w:tr>
        <w:trPr>
          <w:trHeight w:val="189"/>
        </w:trPr>
        <w:tc>
          <w:tcPr>
            <w:tcW w:w="4040" w:type="dxa"/>
            <w:vAlign w:val="bottom"/>
          </w:tcPr>
          <w:p>
            <w:pPr>
              <w:spacing w:after="0"/>
              <w:rPr>
                <w:sz w:val="16"/>
                <w:szCs w:val="16"/>
                <w:color w:val="auto"/>
              </w:rPr>
            </w:pPr>
          </w:p>
        </w:tc>
        <w:tc>
          <w:tcPr>
            <w:tcW w:w="5840" w:type="dxa"/>
            <w:vAlign w:val="bottom"/>
            <w:gridSpan w:val="5"/>
          </w:tcPr>
          <w:p>
            <w:pPr>
              <w:ind w:left="320"/>
              <w:spacing w:after="0"/>
              <w:rPr>
                <w:sz w:val="20"/>
                <w:szCs w:val="20"/>
                <w:color w:val="auto"/>
              </w:rPr>
            </w:pPr>
            <w:r>
              <w:rPr>
                <w:rFonts w:ascii="Arial" w:cs="Arial" w:eastAsia="Arial" w:hAnsi="Arial"/>
                <w:sz w:val="14"/>
                <w:szCs w:val="14"/>
                <w:color w:val="auto"/>
              </w:rPr>
              <w:t>participants purchase shares in the local foreign currency equivalent of this amount.</w:t>
            </w:r>
          </w:p>
        </w:tc>
        <w:tc>
          <w:tcPr>
            <w:tcW w:w="1040" w:type="dxa"/>
            <w:vAlign w:val="bottom"/>
          </w:tcPr>
          <w:p>
            <w:pPr>
              <w:spacing w:after="0"/>
              <w:rPr>
                <w:sz w:val="16"/>
                <w:szCs w:val="16"/>
                <w:color w:val="auto"/>
              </w:rPr>
            </w:pPr>
          </w:p>
        </w:tc>
      </w:tr>
      <w:tr>
        <w:trPr>
          <w:trHeight w:val="48"/>
        </w:trPr>
        <w:tc>
          <w:tcPr>
            <w:tcW w:w="4040" w:type="dxa"/>
            <w:vAlign w:val="bottom"/>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198"/>
        </w:trPr>
        <w:tc>
          <w:tcPr>
            <w:tcW w:w="4040" w:type="dxa"/>
            <w:vAlign w:val="bottom"/>
          </w:tcPr>
          <w:p>
            <w:pPr>
              <w:spacing w:after="0"/>
              <w:rPr>
                <w:sz w:val="17"/>
                <w:szCs w:val="17"/>
                <w:color w:val="auto"/>
              </w:rPr>
            </w:pPr>
          </w:p>
        </w:tc>
        <w:tc>
          <w:tcPr>
            <w:tcW w:w="6880" w:type="dxa"/>
            <w:vAlign w:val="bottom"/>
            <w:gridSpan w:val="6"/>
          </w:tcPr>
          <w:p>
            <w:pPr>
              <w:ind w:left="120"/>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A minimum holding period applies to all shares purchased under the ESPP, unless participants in a</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particular country are exempted from this requirement due to legal, regulatory or tax considerations.</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While a participant is a Thomson Reuters employee, if he or she is subject to a holding period, then</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shares purchased at the end of a calendar quarter may not be sold until the next quarterly offering</w:t>
            </w:r>
          </w:p>
        </w:tc>
      </w:tr>
      <w:tr>
        <w:trPr>
          <w:trHeight w:val="189"/>
        </w:trPr>
        <w:tc>
          <w:tcPr>
            <w:tcW w:w="4040" w:type="dxa"/>
            <w:vAlign w:val="bottom"/>
          </w:tcPr>
          <w:p>
            <w:pPr>
              <w:spacing w:after="0"/>
              <w:rPr>
                <w:sz w:val="16"/>
                <w:szCs w:val="16"/>
                <w:color w:val="auto"/>
              </w:rPr>
            </w:pPr>
          </w:p>
        </w:tc>
        <w:tc>
          <w:tcPr>
            <w:tcW w:w="2460" w:type="dxa"/>
            <w:vAlign w:val="bottom"/>
            <w:gridSpan w:val="2"/>
          </w:tcPr>
          <w:p>
            <w:pPr>
              <w:ind w:left="320"/>
              <w:spacing w:after="0"/>
              <w:rPr>
                <w:sz w:val="20"/>
                <w:szCs w:val="20"/>
                <w:color w:val="auto"/>
              </w:rPr>
            </w:pPr>
            <w:r>
              <w:rPr>
                <w:rFonts w:ascii="Arial" w:cs="Arial" w:eastAsia="Arial" w:hAnsi="Arial"/>
                <w:sz w:val="14"/>
                <w:szCs w:val="14"/>
                <w:color w:val="auto"/>
              </w:rPr>
              <w:t>period ends.</w:t>
            </w: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8"/>
        </w:trPr>
        <w:tc>
          <w:tcPr>
            <w:tcW w:w="4040" w:type="dxa"/>
            <w:vAlign w:val="bottom"/>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198"/>
        </w:trPr>
        <w:tc>
          <w:tcPr>
            <w:tcW w:w="4040" w:type="dxa"/>
            <w:vAlign w:val="bottom"/>
          </w:tcPr>
          <w:p>
            <w:pPr>
              <w:spacing w:after="0"/>
              <w:rPr>
                <w:sz w:val="17"/>
                <w:szCs w:val="17"/>
                <w:color w:val="auto"/>
              </w:rPr>
            </w:pPr>
          </w:p>
        </w:tc>
        <w:tc>
          <w:tcPr>
            <w:tcW w:w="6880" w:type="dxa"/>
            <w:vAlign w:val="bottom"/>
            <w:gridSpan w:val="6"/>
          </w:tcPr>
          <w:p>
            <w:pPr>
              <w:ind w:left="120"/>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Employees may elect to change or suspend payroll deductions during each quarterly offering period and</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may elect to withdraw from the ESPP at least 10 business days before a quarterly purchase date. If an</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individual ceases to be an eligible employee of Thomson Reuters, he or she is considered to have</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320"/>
              <w:spacing w:after="0"/>
              <w:rPr>
                <w:sz w:val="20"/>
                <w:szCs w:val="20"/>
                <w:color w:val="auto"/>
              </w:rPr>
            </w:pPr>
            <w:r>
              <w:rPr>
                <w:rFonts w:ascii="Arial" w:cs="Arial" w:eastAsia="Arial" w:hAnsi="Arial"/>
                <w:sz w:val="14"/>
                <w:szCs w:val="14"/>
                <w:color w:val="auto"/>
              </w:rPr>
              <w:t>withdrawn from the ESPP. If ESPP enrollment is cancelled, an employee may withdraw all of his or her</w:t>
            </w:r>
          </w:p>
        </w:tc>
      </w:tr>
      <w:tr>
        <w:trPr>
          <w:trHeight w:val="189"/>
        </w:trPr>
        <w:tc>
          <w:tcPr>
            <w:tcW w:w="4040" w:type="dxa"/>
            <w:vAlign w:val="bottom"/>
          </w:tcPr>
          <w:p>
            <w:pPr>
              <w:spacing w:after="0"/>
              <w:rPr>
                <w:sz w:val="16"/>
                <w:szCs w:val="16"/>
                <w:color w:val="auto"/>
              </w:rPr>
            </w:pPr>
          </w:p>
        </w:tc>
        <w:tc>
          <w:tcPr>
            <w:tcW w:w="5840" w:type="dxa"/>
            <w:vAlign w:val="bottom"/>
            <w:gridSpan w:val="5"/>
          </w:tcPr>
          <w:p>
            <w:pPr>
              <w:ind w:left="320"/>
              <w:spacing w:after="0"/>
              <w:rPr>
                <w:sz w:val="20"/>
                <w:szCs w:val="20"/>
                <w:color w:val="auto"/>
              </w:rPr>
            </w:pPr>
            <w:r>
              <w:rPr>
                <w:rFonts w:ascii="Arial" w:cs="Arial" w:eastAsia="Arial" w:hAnsi="Arial"/>
                <w:sz w:val="14"/>
                <w:szCs w:val="14"/>
                <w:color w:val="auto"/>
              </w:rPr>
              <w:t>payroll deductions from the ESPP that have not been used to purchase shares.</w:t>
            </w:r>
          </w:p>
        </w:tc>
        <w:tc>
          <w:tcPr>
            <w:tcW w:w="1040" w:type="dxa"/>
            <w:vAlign w:val="bottom"/>
          </w:tcPr>
          <w:p>
            <w:pPr>
              <w:spacing w:after="0"/>
              <w:rPr>
                <w:sz w:val="16"/>
                <w:szCs w:val="16"/>
                <w:color w:val="auto"/>
              </w:rPr>
            </w:pPr>
          </w:p>
        </w:tc>
      </w:tr>
      <w:tr>
        <w:trPr>
          <w:trHeight w:val="48"/>
        </w:trPr>
        <w:tc>
          <w:tcPr>
            <w:tcW w:w="4040" w:type="dxa"/>
            <w:vAlign w:val="bottom"/>
            <w:tcBorders>
              <w:bottom w:val="single" w:sz="8" w:color="AFAFAF"/>
            </w:tcBorders>
          </w:tcPr>
          <w:p>
            <w:pPr>
              <w:spacing w:after="0"/>
              <w:rPr>
                <w:sz w:val="4"/>
                <w:szCs w:val="4"/>
                <w:color w:val="auto"/>
              </w:rPr>
            </w:pPr>
          </w:p>
        </w:tc>
        <w:tc>
          <w:tcPr>
            <w:tcW w:w="6880" w:type="dxa"/>
            <w:vAlign w:val="bottom"/>
            <w:tcBorders>
              <w:bottom w:val="single" w:sz="8" w:color="AFAFAF"/>
            </w:tcBorders>
            <w:gridSpan w:val="6"/>
          </w:tcPr>
          <w:p>
            <w:pPr>
              <w:spacing w:after="0"/>
              <w:rPr>
                <w:sz w:val="4"/>
                <w:szCs w:val="4"/>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Plan amendments and changes</w:t>
            </w: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Substantially similar to the provisions of the stock incentive plan described above. The U.S. ESPP and the</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Global ESPP were each amended in February 2024 to (i) provide that a participant’s ability to designate a</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beneficiary under the applicable plan is subject to, and such designation must be made in accordance with,</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the policies of the plan administrator, and (ii) remove the restriction on our ability to grant options under the</w:t>
            </w:r>
          </w:p>
        </w:tc>
      </w:tr>
      <w:tr>
        <w:trPr>
          <w:trHeight w:val="160"/>
        </w:trPr>
        <w:tc>
          <w:tcPr>
            <w:tcW w:w="4040" w:type="dxa"/>
            <w:vAlign w:val="bottom"/>
          </w:tcPr>
          <w:p>
            <w:pPr>
              <w:spacing w:after="0"/>
              <w:rPr>
                <w:sz w:val="13"/>
                <w:szCs w:val="13"/>
                <w:color w:val="auto"/>
              </w:rPr>
            </w:pPr>
          </w:p>
        </w:tc>
        <w:tc>
          <w:tcPr>
            <w:tcW w:w="6880" w:type="dxa"/>
            <w:vAlign w:val="bottom"/>
            <w:gridSpan w:val="6"/>
          </w:tcPr>
          <w:p>
            <w:pPr>
              <w:ind w:left="120"/>
              <w:spacing w:after="0"/>
              <w:rPr>
                <w:sz w:val="20"/>
                <w:szCs w:val="20"/>
                <w:color w:val="auto"/>
              </w:rPr>
            </w:pPr>
            <w:r>
              <w:rPr>
                <w:rFonts w:ascii="Arial" w:cs="Arial" w:eastAsia="Arial" w:hAnsi="Arial"/>
                <w:sz w:val="14"/>
                <w:szCs w:val="14"/>
                <w:color w:val="auto"/>
              </w:rPr>
              <w:t>plans after February 23, 2025. In accordance with the terms of the plans, shareholder approval was not</w:t>
            </w:r>
          </w:p>
        </w:tc>
      </w:tr>
      <w:tr>
        <w:trPr>
          <w:trHeight w:val="189"/>
        </w:trPr>
        <w:tc>
          <w:tcPr>
            <w:tcW w:w="4040" w:type="dxa"/>
            <w:vAlign w:val="bottom"/>
          </w:tcPr>
          <w:p>
            <w:pPr>
              <w:spacing w:after="0"/>
              <w:rPr>
                <w:sz w:val="16"/>
                <w:szCs w:val="16"/>
                <w:color w:val="auto"/>
              </w:rPr>
            </w:pPr>
          </w:p>
        </w:tc>
        <w:tc>
          <w:tcPr>
            <w:tcW w:w="2460" w:type="dxa"/>
            <w:vAlign w:val="bottom"/>
            <w:gridSpan w:val="2"/>
          </w:tcPr>
          <w:p>
            <w:pPr>
              <w:ind w:left="120"/>
              <w:spacing w:after="0"/>
              <w:rPr>
                <w:sz w:val="20"/>
                <w:szCs w:val="20"/>
                <w:color w:val="auto"/>
              </w:rPr>
            </w:pPr>
            <w:r>
              <w:rPr>
                <w:rFonts w:ascii="Arial" w:cs="Arial" w:eastAsia="Arial" w:hAnsi="Arial"/>
                <w:sz w:val="14"/>
                <w:szCs w:val="14"/>
                <w:color w:val="auto"/>
              </w:rPr>
              <w:t>required for these amendments.</w:t>
            </w: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8"/>
        </w:trPr>
        <w:tc>
          <w:tcPr>
            <w:tcW w:w="4040" w:type="dxa"/>
            <w:vAlign w:val="bottom"/>
            <w:tcBorders>
              <w:bottom w:val="single" w:sz="8" w:color="AFAFAF"/>
            </w:tcBorders>
          </w:tcPr>
          <w:p>
            <w:pPr>
              <w:spacing w:after="0"/>
              <w:rPr>
                <w:sz w:val="4"/>
                <w:szCs w:val="4"/>
                <w:color w:val="auto"/>
              </w:rPr>
            </w:pPr>
          </w:p>
        </w:tc>
        <w:tc>
          <w:tcPr>
            <w:tcW w:w="5840" w:type="dxa"/>
            <w:vAlign w:val="bottom"/>
            <w:tcBorders>
              <w:bottom w:val="single" w:sz="8" w:color="AFAFAF"/>
            </w:tcBorders>
            <w:gridSpan w:val="5"/>
          </w:tcPr>
          <w:p>
            <w:pPr>
              <w:spacing w:after="0"/>
              <w:rPr>
                <w:sz w:val="4"/>
                <w:szCs w:val="4"/>
                <w:color w:val="auto"/>
              </w:rPr>
            </w:pPr>
          </w:p>
        </w:tc>
        <w:tc>
          <w:tcPr>
            <w:tcW w:w="1040" w:type="dxa"/>
            <w:vAlign w:val="bottom"/>
            <w:tcBorders>
              <w:bottom w:val="single" w:sz="8" w:color="AFAFAF"/>
            </w:tcBorders>
          </w:tcPr>
          <w:p>
            <w:pPr>
              <w:spacing w:after="0"/>
              <w:rPr>
                <w:sz w:val="4"/>
                <w:szCs w:val="4"/>
                <w:color w:val="auto"/>
              </w:rPr>
            </w:pPr>
          </w:p>
        </w:tc>
      </w:tr>
      <w:tr>
        <w:trPr>
          <w:trHeight w:val="233"/>
        </w:trPr>
        <w:tc>
          <w:tcPr>
            <w:tcW w:w="4040" w:type="dxa"/>
            <w:vAlign w:val="bottom"/>
          </w:tcPr>
          <w:p>
            <w:pPr>
              <w:spacing w:after="0"/>
              <w:rPr>
                <w:sz w:val="20"/>
                <w:szCs w:val="20"/>
                <w:color w:val="auto"/>
              </w:rPr>
            </w:pPr>
            <w:r>
              <w:rPr>
                <w:rFonts w:ascii="Arial" w:cs="Arial" w:eastAsia="Arial" w:hAnsi="Arial"/>
                <w:sz w:val="14"/>
                <w:szCs w:val="14"/>
                <w:b w:val="1"/>
                <w:bCs w:val="1"/>
                <w:color w:val="auto"/>
              </w:rPr>
              <w:t>Transfers and assignments</w:t>
            </w:r>
          </w:p>
        </w:tc>
        <w:tc>
          <w:tcPr>
            <w:tcW w:w="5840" w:type="dxa"/>
            <w:vAlign w:val="bottom"/>
            <w:gridSpan w:val="5"/>
          </w:tcPr>
          <w:p>
            <w:pPr>
              <w:ind w:left="120"/>
              <w:spacing w:after="0"/>
              <w:rPr>
                <w:sz w:val="20"/>
                <w:szCs w:val="20"/>
                <w:color w:val="auto"/>
              </w:rPr>
            </w:pPr>
            <w:r>
              <w:rPr>
                <w:rFonts w:ascii="Arial" w:cs="Arial" w:eastAsia="Arial" w:hAnsi="Arial"/>
                <w:sz w:val="14"/>
                <w:szCs w:val="14"/>
                <w:color w:val="auto"/>
              </w:rPr>
              <w:t>Not possible other than by the laws of descent and distribution.</w:t>
            </w:r>
          </w:p>
        </w:tc>
        <w:tc>
          <w:tcPr>
            <w:tcW w:w="1040" w:type="dxa"/>
            <w:vAlign w:val="bottom"/>
          </w:tcPr>
          <w:p>
            <w:pPr>
              <w:spacing w:after="0"/>
              <w:rPr>
                <w:sz w:val="20"/>
                <w:szCs w:val="20"/>
                <w:color w:val="auto"/>
              </w:rPr>
            </w:pPr>
          </w:p>
        </w:tc>
      </w:tr>
      <w:tr>
        <w:trPr>
          <w:trHeight w:val="42"/>
        </w:trPr>
        <w:tc>
          <w:tcPr>
            <w:tcW w:w="4040" w:type="dxa"/>
            <w:vAlign w:val="bottom"/>
            <w:tcBorders>
              <w:bottom w:val="single" w:sz="8" w:color="B94831"/>
            </w:tcBorders>
          </w:tcPr>
          <w:p>
            <w:pPr>
              <w:spacing w:after="0"/>
              <w:rPr>
                <w:sz w:val="3"/>
                <w:szCs w:val="3"/>
                <w:color w:val="auto"/>
              </w:rPr>
            </w:pPr>
          </w:p>
        </w:tc>
        <w:tc>
          <w:tcPr>
            <w:tcW w:w="2200" w:type="dxa"/>
            <w:vAlign w:val="bottom"/>
            <w:tcBorders>
              <w:bottom w:val="single" w:sz="8" w:color="B94831"/>
            </w:tcBorders>
          </w:tcPr>
          <w:p>
            <w:pPr>
              <w:spacing w:after="0"/>
              <w:rPr>
                <w:sz w:val="3"/>
                <w:szCs w:val="3"/>
                <w:color w:val="auto"/>
              </w:rPr>
            </w:pPr>
          </w:p>
        </w:tc>
        <w:tc>
          <w:tcPr>
            <w:tcW w:w="260" w:type="dxa"/>
            <w:vAlign w:val="bottom"/>
            <w:tcBorders>
              <w:bottom w:val="single" w:sz="8" w:color="B94831"/>
            </w:tcBorders>
          </w:tcPr>
          <w:p>
            <w:pPr>
              <w:spacing w:after="0"/>
              <w:rPr>
                <w:sz w:val="3"/>
                <w:szCs w:val="3"/>
                <w:color w:val="auto"/>
              </w:rPr>
            </w:pPr>
          </w:p>
        </w:tc>
        <w:tc>
          <w:tcPr>
            <w:tcW w:w="940" w:type="dxa"/>
            <w:vAlign w:val="bottom"/>
            <w:tcBorders>
              <w:bottom w:val="single" w:sz="8" w:color="B94831"/>
            </w:tcBorders>
          </w:tcPr>
          <w:p>
            <w:pPr>
              <w:spacing w:after="0"/>
              <w:rPr>
                <w:sz w:val="3"/>
                <w:szCs w:val="3"/>
                <w:color w:val="auto"/>
              </w:rPr>
            </w:pPr>
          </w:p>
        </w:tc>
        <w:tc>
          <w:tcPr>
            <w:tcW w:w="1740" w:type="dxa"/>
            <w:vAlign w:val="bottom"/>
            <w:tcBorders>
              <w:bottom w:val="single" w:sz="8" w:color="B94831"/>
            </w:tcBorders>
          </w:tcPr>
          <w:p>
            <w:pPr>
              <w:spacing w:after="0"/>
              <w:rPr>
                <w:sz w:val="3"/>
                <w:szCs w:val="3"/>
                <w:color w:val="auto"/>
              </w:rPr>
            </w:pPr>
          </w:p>
        </w:tc>
        <w:tc>
          <w:tcPr>
            <w:tcW w:w="700" w:type="dxa"/>
            <w:vAlign w:val="bottom"/>
            <w:tcBorders>
              <w:bottom w:val="single" w:sz="8" w:color="B94831"/>
            </w:tcBorders>
          </w:tcPr>
          <w:p>
            <w:pPr>
              <w:spacing w:after="0"/>
              <w:rPr>
                <w:sz w:val="3"/>
                <w:szCs w:val="3"/>
                <w:color w:val="auto"/>
              </w:rPr>
            </w:pPr>
          </w:p>
        </w:tc>
        <w:tc>
          <w:tcPr>
            <w:tcW w:w="1040" w:type="dxa"/>
            <w:vAlign w:val="bottom"/>
            <w:tcBorders>
              <w:bottom w:val="single" w:sz="8" w:color="B94831"/>
            </w:tcBorders>
          </w:tcPr>
          <w:p>
            <w:pPr>
              <w:spacing w:after="0"/>
              <w:rPr>
                <w:sz w:val="3"/>
                <w:szCs w:val="3"/>
                <w:color w:val="auto"/>
              </w:rPr>
            </w:pPr>
          </w:p>
        </w:tc>
      </w:tr>
      <w:tr>
        <w:trPr>
          <w:trHeight w:val="227"/>
        </w:trPr>
        <w:tc>
          <w:tcPr>
            <w:tcW w:w="4040" w:type="dxa"/>
            <w:vAlign w:val="bottom"/>
            <w:tcBorders>
              <w:bottom w:val="single" w:sz="8" w:color="B94831"/>
            </w:tcBorders>
          </w:tcPr>
          <w:p>
            <w:pPr>
              <w:spacing w:after="0"/>
              <w:rPr>
                <w:sz w:val="19"/>
                <w:szCs w:val="19"/>
                <w:color w:val="auto"/>
              </w:rPr>
            </w:pPr>
          </w:p>
        </w:tc>
        <w:tc>
          <w:tcPr>
            <w:tcW w:w="2200" w:type="dxa"/>
            <w:vAlign w:val="bottom"/>
            <w:tcBorders>
              <w:bottom w:val="single" w:sz="8" w:color="B94831"/>
            </w:tcBorders>
          </w:tcPr>
          <w:p>
            <w:pPr>
              <w:spacing w:after="0"/>
              <w:rPr>
                <w:sz w:val="19"/>
                <w:szCs w:val="19"/>
                <w:color w:val="auto"/>
              </w:rPr>
            </w:pPr>
          </w:p>
        </w:tc>
        <w:tc>
          <w:tcPr>
            <w:tcW w:w="260" w:type="dxa"/>
            <w:vAlign w:val="bottom"/>
            <w:tcBorders>
              <w:bottom w:val="single" w:sz="8" w:color="B94831"/>
            </w:tcBorders>
          </w:tcPr>
          <w:p>
            <w:pPr>
              <w:spacing w:after="0"/>
              <w:rPr>
                <w:sz w:val="19"/>
                <w:szCs w:val="19"/>
                <w:color w:val="auto"/>
              </w:rPr>
            </w:pPr>
          </w:p>
        </w:tc>
        <w:tc>
          <w:tcPr>
            <w:tcW w:w="940" w:type="dxa"/>
            <w:vAlign w:val="bottom"/>
            <w:tcBorders>
              <w:bottom w:val="single" w:sz="8" w:color="B94831"/>
            </w:tcBorders>
          </w:tcPr>
          <w:p>
            <w:pPr>
              <w:spacing w:after="0"/>
              <w:rPr>
                <w:sz w:val="19"/>
                <w:szCs w:val="19"/>
                <w:color w:val="auto"/>
              </w:rPr>
            </w:pPr>
          </w:p>
        </w:tc>
        <w:tc>
          <w:tcPr>
            <w:tcW w:w="1740" w:type="dxa"/>
            <w:vAlign w:val="bottom"/>
            <w:tcBorders>
              <w:bottom w:val="single" w:sz="8" w:color="B94831"/>
            </w:tcBorders>
          </w:tcPr>
          <w:p>
            <w:pPr>
              <w:spacing w:after="0"/>
              <w:rPr>
                <w:sz w:val="19"/>
                <w:szCs w:val="19"/>
                <w:color w:val="auto"/>
              </w:rPr>
            </w:pPr>
          </w:p>
        </w:tc>
        <w:tc>
          <w:tcPr>
            <w:tcW w:w="700" w:type="dxa"/>
            <w:vAlign w:val="bottom"/>
            <w:tcBorders>
              <w:bottom w:val="single" w:sz="8" w:color="B94831"/>
            </w:tcBorders>
          </w:tcPr>
          <w:p>
            <w:pPr>
              <w:spacing w:after="0"/>
              <w:rPr>
                <w:sz w:val="19"/>
                <w:szCs w:val="19"/>
                <w:color w:val="auto"/>
              </w:rPr>
            </w:pPr>
          </w:p>
        </w:tc>
        <w:tc>
          <w:tcPr>
            <w:tcW w:w="1040" w:type="dxa"/>
            <w:vAlign w:val="bottom"/>
            <w:tcBorders>
              <w:bottom w:val="single" w:sz="8" w:color="B94831"/>
            </w:tcBorders>
          </w:tcPr>
          <w:p>
            <w:pPr>
              <w:spacing w:after="0"/>
              <w:rPr>
                <w:sz w:val="19"/>
                <w:szCs w:val="19"/>
                <w:color w:val="auto"/>
              </w:rPr>
            </w:pPr>
          </w:p>
        </w:tc>
      </w:tr>
    </w:tbl>
    <w:p>
      <w:pPr>
        <w:spacing w:after="0" w:line="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Management Proxy Circular and Notice of Annual Meeting of Shareholders   Page A-5</w:t>
      </w:r>
    </w:p>
    <w:p>
      <w:pPr>
        <w:sectPr>
          <w:pgSz w:w="11900" w:h="16838" w:orient="portrait"/>
          <w:cols w:equalWidth="0" w:num="1">
            <w:col w:w="11080"/>
          </w:cols>
          <w:pgMar w:left="320" w:top="454"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2"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color w:val="auto"/>
        </w:rPr>
        <w:t>The following table provides information as of the end of each year indicated related to the ESPP’s share usage, burn rates, potential dilution and full dilution.</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6420" w:type="dxa"/>
            <w:vAlign w:val="bottom"/>
            <w:tcBorders>
              <w:right w:val="single" w:sz="8" w:color="BFBFBF"/>
            </w:tcBorders>
          </w:tcPr>
          <w:p>
            <w:pPr>
              <w:spacing w:after="0"/>
              <w:rPr>
                <w:sz w:val="21"/>
                <w:szCs w:val="21"/>
                <w:color w:val="auto"/>
              </w:rPr>
            </w:pPr>
          </w:p>
        </w:tc>
        <w:tc>
          <w:tcPr>
            <w:tcW w:w="1160" w:type="dxa"/>
            <w:vAlign w:val="bottom"/>
            <w:tcBorders>
              <w:bottom w:val="single" w:sz="8" w:color="BFBFBF"/>
              <w:right w:val="single" w:sz="8" w:color="BFBFBF"/>
            </w:tcBorders>
            <w:shd w:val="clear" w:color="auto" w:fill="BFBFBF"/>
          </w:tcPr>
          <w:p>
            <w:pPr>
              <w:spacing w:after="0"/>
              <w:rPr>
                <w:sz w:val="21"/>
                <w:szCs w:val="21"/>
                <w:color w:val="auto"/>
              </w:rPr>
            </w:pPr>
          </w:p>
        </w:tc>
        <w:tc>
          <w:tcPr>
            <w:tcW w:w="1680" w:type="dxa"/>
            <w:vAlign w:val="bottom"/>
            <w:tcBorders>
              <w:bottom w:val="single" w:sz="8" w:color="BFBFBF"/>
              <w:right w:val="single" w:sz="8" w:color="BFBFBF"/>
            </w:tcBorders>
            <w:shd w:val="clear" w:color="auto" w:fill="BFBFBF"/>
          </w:tcPr>
          <w:p>
            <w:pPr>
              <w:jc w:val="right"/>
              <w:spacing w:after="0"/>
              <w:rPr>
                <w:sz w:val="20"/>
                <w:szCs w:val="20"/>
                <w:color w:val="auto"/>
              </w:rPr>
            </w:pPr>
            <w:r>
              <w:rPr>
                <w:rFonts w:ascii="Arial" w:cs="Arial" w:eastAsia="Arial" w:hAnsi="Arial"/>
                <w:sz w:val="15"/>
                <w:szCs w:val="15"/>
                <w:b w:val="1"/>
                <w:bCs w:val="1"/>
                <w:color w:val="auto"/>
              </w:rPr>
              <w:t>As of December 31,</w:t>
            </w:r>
          </w:p>
        </w:tc>
        <w:tc>
          <w:tcPr>
            <w:tcW w:w="1660" w:type="dxa"/>
            <w:vAlign w:val="bottom"/>
            <w:tcBorders>
              <w:bottom w:val="single" w:sz="8" w:color="BFBFBF"/>
            </w:tcBorders>
            <w:shd w:val="clear" w:color="auto" w:fill="BFBFBF"/>
          </w:tcPr>
          <w:p>
            <w:pPr>
              <w:spacing w:after="0"/>
              <w:rPr>
                <w:sz w:val="21"/>
                <w:szCs w:val="21"/>
                <w:color w:val="auto"/>
              </w:rPr>
            </w:pPr>
          </w:p>
        </w:tc>
      </w:tr>
      <w:tr>
        <w:trPr>
          <w:trHeight w:val="267"/>
        </w:trPr>
        <w:tc>
          <w:tcPr>
            <w:tcW w:w="6420" w:type="dxa"/>
            <w:vAlign w:val="bottom"/>
            <w:tcBorders>
              <w:right w:val="single" w:sz="8" w:color="262626"/>
            </w:tcBorders>
          </w:tcPr>
          <w:p>
            <w:pPr>
              <w:spacing w:after="0"/>
              <w:rPr>
                <w:sz w:val="23"/>
                <w:szCs w:val="23"/>
                <w:color w:val="auto"/>
              </w:rPr>
            </w:pPr>
          </w:p>
        </w:tc>
        <w:tc>
          <w:tcPr>
            <w:tcW w:w="1160" w:type="dxa"/>
            <w:vAlign w:val="bottom"/>
            <w:tcBorders>
              <w:bottom w:val="single" w:sz="8" w:color="262626"/>
              <w:right w:val="single" w:sz="8" w:color="262626"/>
            </w:tcBorders>
            <w:shd w:val="clear" w:color="auto" w:fill="262626"/>
          </w:tcPr>
          <w:p>
            <w:pPr>
              <w:jc w:val="right"/>
              <w:ind w:right="388"/>
              <w:spacing w:after="0"/>
              <w:rPr>
                <w:sz w:val="20"/>
                <w:szCs w:val="20"/>
                <w:color w:val="auto"/>
              </w:rPr>
            </w:pPr>
            <w:r>
              <w:rPr>
                <w:rFonts w:ascii="Arial" w:cs="Arial" w:eastAsia="Arial" w:hAnsi="Arial"/>
                <w:sz w:val="15"/>
                <w:szCs w:val="15"/>
                <w:b w:val="1"/>
                <w:bCs w:val="1"/>
                <w:color w:val="FFFFFF"/>
              </w:rPr>
              <w:t>2023</w:t>
            </w:r>
          </w:p>
        </w:tc>
        <w:tc>
          <w:tcPr>
            <w:tcW w:w="1680" w:type="dxa"/>
            <w:vAlign w:val="bottom"/>
            <w:tcBorders>
              <w:bottom w:val="single" w:sz="8" w:color="262626"/>
              <w:right w:val="single" w:sz="8" w:color="262626"/>
            </w:tcBorders>
            <w:shd w:val="clear" w:color="auto" w:fill="262626"/>
          </w:tcPr>
          <w:p>
            <w:pPr>
              <w:jc w:val="right"/>
              <w:ind w:right="607"/>
              <w:spacing w:after="0"/>
              <w:rPr>
                <w:sz w:val="20"/>
                <w:szCs w:val="20"/>
                <w:color w:val="auto"/>
              </w:rPr>
            </w:pPr>
            <w:r>
              <w:rPr>
                <w:rFonts w:ascii="Arial" w:cs="Arial" w:eastAsia="Arial" w:hAnsi="Arial"/>
                <w:sz w:val="15"/>
                <w:szCs w:val="15"/>
                <w:b w:val="1"/>
                <w:bCs w:val="1"/>
                <w:color w:val="FFFFFF"/>
              </w:rPr>
              <w:t>2022</w:t>
            </w:r>
          </w:p>
        </w:tc>
        <w:tc>
          <w:tcPr>
            <w:tcW w:w="1660" w:type="dxa"/>
            <w:vAlign w:val="bottom"/>
            <w:tcBorders>
              <w:bottom w:val="single" w:sz="8" w:color="262626"/>
            </w:tcBorders>
            <w:shd w:val="clear" w:color="auto" w:fill="262626"/>
          </w:tcPr>
          <w:p>
            <w:pPr>
              <w:jc w:val="right"/>
              <w:ind w:right="568"/>
              <w:spacing w:after="0"/>
              <w:rPr>
                <w:sz w:val="20"/>
                <w:szCs w:val="20"/>
                <w:color w:val="auto"/>
              </w:rPr>
            </w:pPr>
            <w:r>
              <w:rPr>
                <w:rFonts w:ascii="Arial" w:cs="Arial" w:eastAsia="Arial" w:hAnsi="Arial"/>
                <w:sz w:val="15"/>
                <w:szCs w:val="15"/>
                <w:b w:val="1"/>
                <w:bCs w:val="1"/>
                <w:color w:val="FFFFFF"/>
              </w:rPr>
              <w:t>2021</w:t>
            </w:r>
          </w:p>
        </w:tc>
      </w:tr>
      <w:tr>
        <w:trPr>
          <w:trHeight w:val="198"/>
        </w:trPr>
        <w:tc>
          <w:tcPr>
            <w:tcW w:w="6420" w:type="dxa"/>
            <w:vAlign w:val="bottom"/>
            <w:tcBorders>
              <w:top w:val="single" w:sz="8" w:color="B94831"/>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Share usage – </w:t>
            </w:r>
            <w:r>
              <w:rPr>
                <w:rFonts w:ascii="Arial" w:cs="Arial" w:eastAsia="Arial" w:hAnsi="Arial"/>
                <w:sz w:val="14"/>
                <w:szCs w:val="14"/>
                <w:color w:val="auto"/>
              </w:rPr>
              <w:t>the total number of common shares issued under the ESPP in the applicable year,</w:t>
            </w:r>
          </w:p>
        </w:tc>
        <w:tc>
          <w:tcPr>
            <w:tcW w:w="1160" w:type="dxa"/>
            <w:vAlign w:val="bottom"/>
            <w:tcBorders>
              <w:top w:val="single" w:sz="8" w:color="B94831"/>
              <w:right w:val="single" w:sz="8" w:color="AFAFAF"/>
            </w:tcBorders>
          </w:tcPr>
          <w:p>
            <w:pPr>
              <w:spacing w:after="0"/>
              <w:rPr>
                <w:sz w:val="17"/>
                <w:szCs w:val="17"/>
                <w:color w:val="auto"/>
              </w:rPr>
            </w:pPr>
          </w:p>
        </w:tc>
        <w:tc>
          <w:tcPr>
            <w:tcW w:w="1680" w:type="dxa"/>
            <w:vAlign w:val="bottom"/>
            <w:tcBorders>
              <w:top w:val="single" w:sz="8" w:color="B94831"/>
              <w:right w:val="single" w:sz="8" w:color="AFAFAF"/>
            </w:tcBorders>
          </w:tcPr>
          <w:p>
            <w:pPr>
              <w:spacing w:after="0"/>
              <w:rPr>
                <w:sz w:val="17"/>
                <w:szCs w:val="17"/>
                <w:color w:val="auto"/>
              </w:rPr>
            </w:pPr>
          </w:p>
        </w:tc>
        <w:tc>
          <w:tcPr>
            <w:tcW w:w="1660" w:type="dxa"/>
            <w:vAlign w:val="bottom"/>
            <w:tcBorders>
              <w:top w:val="single" w:sz="8" w:color="B94831"/>
            </w:tcBorders>
          </w:tcPr>
          <w:p>
            <w:pPr>
              <w:spacing w:after="0"/>
              <w:rPr>
                <w:sz w:val="17"/>
                <w:szCs w:val="17"/>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divided by the total weighted average of common shares outstanding during the year</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0.05%</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0.07%</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0.07%</w:t>
            </w:r>
          </w:p>
        </w:tc>
      </w:tr>
      <w:tr>
        <w:trPr>
          <w:trHeight w:val="48"/>
        </w:trPr>
        <w:tc>
          <w:tcPr>
            <w:tcW w:w="6420" w:type="dxa"/>
            <w:vAlign w:val="bottom"/>
            <w:tcBorders>
              <w:bottom w:val="single" w:sz="8" w:color="AFAFAF"/>
              <w:right w:val="single" w:sz="8" w:color="AFAFAF"/>
            </w:tcBorders>
          </w:tcPr>
          <w:p>
            <w:pPr>
              <w:spacing w:after="0"/>
              <w:rPr>
                <w:sz w:val="4"/>
                <w:szCs w:val="4"/>
                <w:color w:val="auto"/>
              </w:rPr>
            </w:pPr>
          </w:p>
        </w:tc>
        <w:tc>
          <w:tcPr>
            <w:tcW w:w="1160" w:type="dxa"/>
            <w:vAlign w:val="bottom"/>
            <w:tcBorders>
              <w:bottom w:val="single" w:sz="8" w:color="AFAFAF"/>
              <w:right w:val="single" w:sz="8" w:color="AFAFAF"/>
            </w:tcBorders>
          </w:tcPr>
          <w:p>
            <w:pPr>
              <w:spacing w:after="0"/>
              <w:rPr>
                <w:sz w:val="4"/>
                <w:szCs w:val="4"/>
                <w:color w:val="auto"/>
              </w:rPr>
            </w:pPr>
          </w:p>
        </w:tc>
        <w:tc>
          <w:tcPr>
            <w:tcW w:w="1680" w:type="dxa"/>
            <w:vAlign w:val="bottom"/>
            <w:tcBorders>
              <w:bottom w:val="single" w:sz="8" w:color="AFAFAF"/>
              <w:right w:val="single" w:sz="8" w:color="AFAFAF"/>
            </w:tcBorders>
          </w:tcPr>
          <w:p>
            <w:pPr>
              <w:spacing w:after="0"/>
              <w:rPr>
                <w:sz w:val="4"/>
                <w:szCs w:val="4"/>
                <w:color w:val="auto"/>
              </w:rPr>
            </w:pPr>
          </w:p>
        </w:tc>
        <w:tc>
          <w:tcPr>
            <w:tcW w:w="1660" w:type="dxa"/>
            <w:vAlign w:val="bottom"/>
            <w:tcBorders>
              <w:bottom w:val="single" w:sz="8" w:color="AFAFAF"/>
            </w:tcBorders>
          </w:tcPr>
          <w:p>
            <w:pPr>
              <w:spacing w:after="0"/>
              <w:rPr>
                <w:sz w:val="4"/>
                <w:szCs w:val="4"/>
                <w:color w:val="auto"/>
              </w:rPr>
            </w:pPr>
          </w:p>
        </w:tc>
      </w:tr>
      <w:tr>
        <w:trPr>
          <w:trHeight w:val="198"/>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Burn rate – </w:t>
            </w:r>
            <w:r>
              <w:rPr>
                <w:rFonts w:ascii="Arial" w:cs="Arial" w:eastAsia="Arial" w:hAnsi="Arial"/>
                <w:sz w:val="14"/>
                <w:szCs w:val="14"/>
                <w:color w:val="auto"/>
              </w:rPr>
              <w:t>the total number of common shares granted under the ESPP in the applicable year,</w:t>
            </w:r>
          </w:p>
        </w:tc>
        <w:tc>
          <w:tcPr>
            <w:tcW w:w="1160" w:type="dxa"/>
            <w:vAlign w:val="bottom"/>
            <w:tcBorders>
              <w:right w:val="single" w:sz="8" w:color="AFAFAF"/>
            </w:tcBorders>
          </w:tcPr>
          <w:p>
            <w:pPr>
              <w:spacing w:after="0"/>
              <w:rPr>
                <w:sz w:val="17"/>
                <w:szCs w:val="17"/>
                <w:color w:val="auto"/>
              </w:rPr>
            </w:pPr>
          </w:p>
        </w:tc>
        <w:tc>
          <w:tcPr>
            <w:tcW w:w="1680" w:type="dxa"/>
            <w:vAlign w:val="bottom"/>
            <w:tcBorders>
              <w:right w:val="single" w:sz="8" w:color="AFAFAF"/>
            </w:tcBorders>
          </w:tcPr>
          <w:p>
            <w:pPr>
              <w:spacing w:after="0"/>
              <w:rPr>
                <w:sz w:val="17"/>
                <w:szCs w:val="17"/>
                <w:color w:val="auto"/>
              </w:rPr>
            </w:pPr>
          </w:p>
        </w:tc>
        <w:tc>
          <w:tcPr>
            <w:tcW w:w="1660" w:type="dxa"/>
            <w:vAlign w:val="bottom"/>
          </w:tcPr>
          <w:p>
            <w:pPr>
              <w:spacing w:after="0"/>
              <w:rPr>
                <w:sz w:val="17"/>
                <w:szCs w:val="17"/>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divided by the total weighted average of common shares outstanding during the year</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0.05%</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0.07%</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0.07%</w:t>
            </w:r>
          </w:p>
        </w:tc>
      </w:tr>
      <w:tr>
        <w:trPr>
          <w:trHeight w:val="48"/>
        </w:trPr>
        <w:tc>
          <w:tcPr>
            <w:tcW w:w="6420" w:type="dxa"/>
            <w:vAlign w:val="bottom"/>
            <w:tcBorders>
              <w:bottom w:val="single" w:sz="8" w:color="AFAFAF"/>
              <w:right w:val="single" w:sz="8" w:color="AFAFAF"/>
            </w:tcBorders>
          </w:tcPr>
          <w:p>
            <w:pPr>
              <w:spacing w:after="0"/>
              <w:rPr>
                <w:sz w:val="4"/>
                <w:szCs w:val="4"/>
                <w:color w:val="auto"/>
              </w:rPr>
            </w:pPr>
          </w:p>
        </w:tc>
        <w:tc>
          <w:tcPr>
            <w:tcW w:w="1160" w:type="dxa"/>
            <w:vAlign w:val="bottom"/>
            <w:tcBorders>
              <w:bottom w:val="single" w:sz="8" w:color="AFAFAF"/>
              <w:right w:val="single" w:sz="8" w:color="AFAFAF"/>
            </w:tcBorders>
          </w:tcPr>
          <w:p>
            <w:pPr>
              <w:spacing w:after="0"/>
              <w:rPr>
                <w:sz w:val="4"/>
                <w:szCs w:val="4"/>
                <w:color w:val="auto"/>
              </w:rPr>
            </w:pPr>
          </w:p>
        </w:tc>
        <w:tc>
          <w:tcPr>
            <w:tcW w:w="1680" w:type="dxa"/>
            <w:vAlign w:val="bottom"/>
            <w:tcBorders>
              <w:bottom w:val="single" w:sz="8" w:color="AFAFAF"/>
              <w:right w:val="single" w:sz="8" w:color="AFAFAF"/>
            </w:tcBorders>
          </w:tcPr>
          <w:p>
            <w:pPr>
              <w:spacing w:after="0"/>
              <w:rPr>
                <w:sz w:val="4"/>
                <w:szCs w:val="4"/>
                <w:color w:val="auto"/>
              </w:rPr>
            </w:pPr>
          </w:p>
        </w:tc>
        <w:tc>
          <w:tcPr>
            <w:tcW w:w="1660" w:type="dxa"/>
            <w:vAlign w:val="bottom"/>
            <w:tcBorders>
              <w:bottom w:val="single" w:sz="8" w:color="AFAFAF"/>
            </w:tcBorders>
          </w:tcPr>
          <w:p>
            <w:pPr>
              <w:spacing w:after="0"/>
              <w:rPr>
                <w:sz w:val="4"/>
                <w:szCs w:val="4"/>
                <w:color w:val="auto"/>
              </w:rPr>
            </w:pPr>
          </w:p>
        </w:tc>
      </w:tr>
      <w:tr>
        <w:trPr>
          <w:trHeight w:val="198"/>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Potential Dilution – </w:t>
            </w:r>
            <w:r>
              <w:rPr>
                <w:rFonts w:ascii="Arial" w:cs="Arial" w:eastAsia="Arial" w:hAnsi="Arial"/>
                <w:sz w:val="14"/>
                <w:szCs w:val="14"/>
                <w:color w:val="auto"/>
              </w:rPr>
              <w:t>the total number of all common shares available for issue under the ESPP,</w:t>
            </w:r>
          </w:p>
        </w:tc>
        <w:tc>
          <w:tcPr>
            <w:tcW w:w="1160" w:type="dxa"/>
            <w:vAlign w:val="bottom"/>
            <w:tcBorders>
              <w:right w:val="single" w:sz="8" w:color="AFAFAF"/>
            </w:tcBorders>
          </w:tcPr>
          <w:p>
            <w:pPr>
              <w:spacing w:after="0"/>
              <w:rPr>
                <w:sz w:val="17"/>
                <w:szCs w:val="17"/>
                <w:color w:val="auto"/>
              </w:rPr>
            </w:pPr>
          </w:p>
        </w:tc>
        <w:tc>
          <w:tcPr>
            <w:tcW w:w="1680" w:type="dxa"/>
            <w:vAlign w:val="bottom"/>
            <w:tcBorders>
              <w:right w:val="single" w:sz="8" w:color="AFAFAF"/>
            </w:tcBorders>
          </w:tcPr>
          <w:p>
            <w:pPr>
              <w:spacing w:after="0"/>
              <w:rPr>
                <w:sz w:val="17"/>
                <w:szCs w:val="17"/>
                <w:color w:val="auto"/>
              </w:rPr>
            </w:pPr>
          </w:p>
        </w:tc>
        <w:tc>
          <w:tcPr>
            <w:tcW w:w="1660" w:type="dxa"/>
            <w:vAlign w:val="bottom"/>
          </w:tcPr>
          <w:p>
            <w:pPr>
              <w:spacing w:after="0"/>
              <w:rPr>
                <w:sz w:val="17"/>
                <w:szCs w:val="17"/>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divided by the total weighted average of common shares outstanding during the year</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0.94%</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0.95%</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0.99%</w:t>
            </w:r>
          </w:p>
        </w:tc>
      </w:tr>
      <w:tr>
        <w:trPr>
          <w:trHeight w:val="48"/>
        </w:trPr>
        <w:tc>
          <w:tcPr>
            <w:tcW w:w="6420" w:type="dxa"/>
            <w:vAlign w:val="bottom"/>
            <w:tcBorders>
              <w:bottom w:val="single" w:sz="8" w:color="AFAFAF"/>
              <w:right w:val="single" w:sz="8" w:color="AFAFAF"/>
            </w:tcBorders>
          </w:tcPr>
          <w:p>
            <w:pPr>
              <w:spacing w:after="0"/>
              <w:rPr>
                <w:sz w:val="4"/>
                <w:szCs w:val="4"/>
                <w:color w:val="auto"/>
              </w:rPr>
            </w:pPr>
          </w:p>
        </w:tc>
        <w:tc>
          <w:tcPr>
            <w:tcW w:w="1160" w:type="dxa"/>
            <w:vAlign w:val="bottom"/>
            <w:tcBorders>
              <w:bottom w:val="single" w:sz="8" w:color="AFAFAF"/>
              <w:right w:val="single" w:sz="8" w:color="AFAFAF"/>
            </w:tcBorders>
          </w:tcPr>
          <w:p>
            <w:pPr>
              <w:spacing w:after="0"/>
              <w:rPr>
                <w:sz w:val="4"/>
                <w:szCs w:val="4"/>
                <w:color w:val="auto"/>
              </w:rPr>
            </w:pPr>
          </w:p>
        </w:tc>
        <w:tc>
          <w:tcPr>
            <w:tcW w:w="1680" w:type="dxa"/>
            <w:vAlign w:val="bottom"/>
            <w:tcBorders>
              <w:bottom w:val="single" w:sz="8" w:color="AFAFAF"/>
              <w:right w:val="single" w:sz="8" w:color="AFAFAF"/>
            </w:tcBorders>
          </w:tcPr>
          <w:p>
            <w:pPr>
              <w:spacing w:after="0"/>
              <w:rPr>
                <w:sz w:val="4"/>
                <w:szCs w:val="4"/>
                <w:color w:val="auto"/>
              </w:rPr>
            </w:pPr>
          </w:p>
        </w:tc>
        <w:tc>
          <w:tcPr>
            <w:tcW w:w="1660" w:type="dxa"/>
            <w:vAlign w:val="bottom"/>
            <w:tcBorders>
              <w:bottom w:val="single" w:sz="8" w:color="AFAFAF"/>
            </w:tcBorders>
          </w:tcPr>
          <w:p>
            <w:pPr>
              <w:spacing w:after="0"/>
              <w:rPr>
                <w:sz w:val="4"/>
                <w:szCs w:val="4"/>
                <w:color w:val="auto"/>
              </w:rPr>
            </w:pPr>
          </w:p>
        </w:tc>
      </w:tr>
      <w:tr>
        <w:trPr>
          <w:trHeight w:val="198"/>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b w:val="1"/>
                <w:bCs w:val="1"/>
                <w:color w:val="auto"/>
              </w:rPr>
              <w:t xml:space="preserve">Full Dilution – </w:t>
            </w:r>
            <w:r>
              <w:rPr>
                <w:rFonts w:ascii="Arial" w:cs="Arial" w:eastAsia="Arial" w:hAnsi="Arial"/>
                <w:sz w:val="14"/>
                <w:szCs w:val="14"/>
                <w:color w:val="auto"/>
              </w:rPr>
              <w:t>the total number of all common shares available for issue under the ESPP plus all</w:t>
            </w:r>
          </w:p>
        </w:tc>
        <w:tc>
          <w:tcPr>
            <w:tcW w:w="1160" w:type="dxa"/>
            <w:vAlign w:val="bottom"/>
            <w:tcBorders>
              <w:right w:val="single" w:sz="8" w:color="AFAFAF"/>
            </w:tcBorders>
          </w:tcPr>
          <w:p>
            <w:pPr>
              <w:spacing w:after="0"/>
              <w:rPr>
                <w:sz w:val="17"/>
                <w:szCs w:val="17"/>
                <w:color w:val="auto"/>
              </w:rPr>
            </w:pPr>
          </w:p>
        </w:tc>
        <w:tc>
          <w:tcPr>
            <w:tcW w:w="1680" w:type="dxa"/>
            <w:vAlign w:val="bottom"/>
            <w:tcBorders>
              <w:right w:val="single" w:sz="8" w:color="AFAFAF"/>
            </w:tcBorders>
          </w:tcPr>
          <w:p>
            <w:pPr>
              <w:spacing w:after="0"/>
              <w:rPr>
                <w:sz w:val="17"/>
                <w:szCs w:val="17"/>
                <w:color w:val="auto"/>
              </w:rPr>
            </w:pPr>
          </w:p>
        </w:tc>
        <w:tc>
          <w:tcPr>
            <w:tcW w:w="1660" w:type="dxa"/>
            <w:vAlign w:val="bottom"/>
          </w:tcPr>
          <w:p>
            <w:pPr>
              <w:spacing w:after="0"/>
              <w:rPr>
                <w:sz w:val="17"/>
                <w:szCs w:val="17"/>
                <w:color w:val="auto"/>
              </w:rPr>
            </w:pPr>
          </w:p>
        </w:tc>
      </w:tr>
      <w:tr>
        <w:trPr>
          <w:trHeight w:val="160"/>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common shares outstanding under the ESPP, divided by the weighted average of common shares</w:t>
            </w:r>
          </w:p>
        </w:tc>
        <w:tc>
          <w:tcPr>
            <w:tcW w:w="1160" w:type="dxa"/>
            <w:vAlign w:val="bottom"/>
            <w:tcBorders>
              <w:right w:val="single" w:sz="8" w:color="AFAFAF"/>
            </w:tcBorders>
          </w:tcPr>
          <w:p>
            <w:pPr>
              <w:spacing w:after="0"/>
              <w:rPr>
                <w:sz w:val="13"/>
                <w:szCs w:val="13"/>
                <w:color w:val="auto"/>
              </w:rPr>
            </w:pPr>
          </w:p>
        </w:tc>
        <w:tc>
          <w:tcPr>
            <w:tcW w:w="1680" w:type="dxa"/>
            <w:vAlign w:val="bottom"/>
            <w:tcBorders>
              <w:right w:val="single" w:sz="8" w:color="AFAFAF"/>
            </w:tcBorders>
          </w:tcPr>
          <w:p>
            <w:pPr>
              <w:spacing w:after="0"/>
              <w:rPr>
                <w:sz w:val="13"/>
                <w:szCs w:val="13"/>
                <w:color w:val="auto"/>
              </w:rPr>
            </w:pPr>
          </w:p>
        </w:tc>
        <w:tc>
          <w:tcPr>
            <w:tcW w:w="1660" w:type="dxa"/>
            <w:vAlign w:val="bottom"/>
          </w:tcPr>
          <w:p>
            <w:pPr>
              <w:spacing w:after="0"/>
              <w:rPr>
                <w:sz w:val="13"/>
                <w:szCs w:val="13"/>
                <w:color w:val="auto"/>
              </w:rPr>
            </w:pPr>
          </w:p>
        </w:tc>
      </w:tr>
      <w:tr>
        <w:trPr>
          <w:trHeight w:val="160"/>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outstanding during the year plus all common shares outstanding and available for issue under the</w:t>
            </w:r>
          </w:p>
        </w:tc>
        <w:tc>
          <w:tcPr>
            <w:tcW w:w="1160" w:type="dxa"/>
            <w:vAlign w:val="bottom"/>
            <w:tcBorders>
              <w:right w:val="single" w:sz="8" w:color="AFAFAF"/>
            </w:tcBorders>
          </w:tcPr>
          <w:p>
            <w:pPr>
              <w:spacing w:after="0"/>
              <w:rPr>
                <w:sz w:val="13"/>
                <w:szCs w:val="13"/>
                <w:color w:val="auto"/>
              </w:rPr>
            </w:pPr>
          </w:p>
        </w:tc>
        <w:tc>
          <w:tcPr>
            <w:tcW w:w="1680" w:type="dxa"/>
            <w:vAlign w:val="bottom"/>
            <w:tcBorders>
              <w:right w:val="single" w:sz="8" w:color="AFAFAF"/>
            </w:tcBorders>
          </w:tcPr>
          <w:p>
            <w:pPr>
              <w:spacing w:after="0"/>
              <w:rPr>
                <w:sz w:val="13"/>
                <w:szCs w:val="13"/>
                <w:color w:val="auto"/>
              </w:rPr>
            </w:pPr>
          </w:p>
        </w:tc>
        <w:tc>
          <w:tcPr>
            <w:tcW w:w="1660" w:type="dxa"/>
            <w:vAlign w:val="bottom"/>
          </w:tcPr>
          <w:p>
            <w:pPr>
              <w:spacing w:after="0"/>
              <w:rPr>
                <w:sz w:val="13"/>
                <w:szCs w:val="13"/>
                <w:color w:val="auto"/>
              </w:rPr>
            </w:pPr>
          </w:p>
        </w:tc>
      </w:tr>
      <w:tr>
        <w:trPr>
          <w:trHeight w:val="189"/>
        </w:trPr>
        <w:tc>
          <w:tcPr>
            <w:tcW w:w="6420" w:type="dxa"/>
            <w:vAlign w:val="bottom"/>
            <w:tcBorders>
              <w:right w:val="single" w:sz="8" w:color="AFAFAF"/>
            </w:tcBorders>
          </w:tcPr>
          <w:p>
            <w:pPr>
              <w:spacing w:after="0"/>
              <w:rPr>
                <w:sz w:val="20"/>
                <w:szCs w:val="20"/>
                <w:color w:val="auto"/>
              </w:rPr>
            </w:pPr>
            <w:r>
              <w:rPr>
                <w:rFonts w:ascii="Arial" w:cs="Arial" w:eastAsia="Arial" w:hAnsi="Arial"/>
                <w:sz w:val="14"/>
                <w:szCs w:val="14"/>
                <w:color w:val="auto"/>
              </w:rPr>
              <w:t>ESPP</w:t>
            </w:r>
          </w:p>
        </w:tc>
        <w:tc>
          <w:tcPr>
            <w:tcW w:w="1160" w:type="dxa"/>
            <w:vAlign w:val="bottom"/>
            <w:tcBorders>
              <w:right w:val="single" w:sz="8" w:color="AFAFAF"/>
            </w:tcBorders>
          </w:tcPr>
          <w:p>
            <w:pPr>
              <w:jc w:val="right"/>
              <w:ind w:right="268"/>
              <w:spacing w:after="0"/>
              <w:rPr>
                <w:sz w:val="20"/>
                <w:szCs w:val="20"/>
                <w:color w:val="auto"/>
              </w:rPr>
            </w:pPr>
            <w:r>
              <w:rPr>
                <w:rFonts w:ascii="Arial" w:cs="Arial" w:eastAsia="Arial" w:hAnsi="Arial"/>
                <w:sz w:val="14"/>
                <w:szCs w:val="14"/>
                <w:color w:val="auto"/>
              </w:rPr>
              <w:t>0.93%</w:t>
            </w:r>
          </w:p>
        </w:tc>
        <w:tc>
          <w:tcPr>
            <w:tcW w:w="1680" w:type="dxa"/>
            <w:vAlign w:val="bottom"/>
            <w:tcBorders>
              <w:right w:val="single" w:sz="8" w:color="AFAFAF"/>
            </w:tcBorders>
          </w:tcPr>
          <w:p>
            <w:pPr>
              <w:jc w:val="right"/>
              <w:ind w:right="467"/>
              <w:spacing w:after="0"/>
              <w:rPr>
                <w:sz w:val="20"/>
                <w:szCs w:val="20"/>
                <w:color w:val="auto"/>
              </w:rPr>
            </w:pPr>
            <w:r>
              <w:rPr>
                <w:rFonts w:ascii="Arial" w:cs="Arial" w:eastAsia="Arial" w:hAnsi="Arial"/>
                <w:sz w:val="14"/>
                <w:szCs w:val="14"/>
                <w:color w:val="auto"/>
              </w:rPr>
              <w:t>0.94%</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0.98%</w:t>
            </w:r>
          </w:p>
        </w:tc>
      </w:tr>
      <w:tr>
        <w:trPr>
          <w:trHeight w:val="48"/>
        </w:trPr>
        <w:tc>
          <w:tcPr>
            <w:tcW w:w="6420" w:type="dxa"/>
            <w:vAlign w:val="bottom"/>
            <w:tcBorders>
              <w:bottom w:val="single" w:sz="8" w:color="B94831"/>
              <w:right w:val="single" w:sz="8" w:color="AFAFAF"/>
            </w:tcBorders>
          </w:tcPr>
          <w:p>
            <w:pPr>
              <w:spacing w:after="0"/>
              <w:rPr>
                <w:sz w:val="4"/>
                <w:szCs w:val="4"/>
                <w:color w:val="auto"/>
              </w:rPr>
            </w:pPr>
          </w:p>
        </w:tc>
        <w:tc>
          <w:tcPr>
            <w:tcW w:w="1160" w:type="dxa"/>
            <w:vAlign w:val="bottom"/>
            <w:tcBorders>
              <w:bottom w:val="single" w:sz="8" w:color="B94831"/>
              <w:right w:val="single" w:sz="8" w:color="AFAFAF"/>
            </w:tcBorders>
          </w:tcPr>
          <w:p>
            <w:pPr>
              <w:spacing w:after="0"/>
              <w:rPr>
                <w:sz w:val="4"/>
                <w:szCs w:val="4"/>
                <w:color w:val="auto"/>
              </w:rPr>
            </w:pPr>
          </w:p>
        </w:tc>
        <w:tc>
          <w:tcPr>
            <w:tcW w:w="1680" w:type="dxa"/>
            <w:vAlign w:val="bottom"/>
            <w:tcBorders>
              <w:bottom w:val="single" w:sz="8" w:color="B94831"/>
              <w:right w:val="single" w:sz="8" w:color="AFAFAF"/>
            </w:tcBorders>
          </w:tcPr>
          <w:p>
            <w:pPr>
              <w:spacing w:after="0"/>
              <w:rPr>
                <w:sz w:val="4"/>
                <w:szCs w:val="4"/>
                <w:color w:val="auto"/>
              </w:rPr>
            </w:pPr>
          </w:p>
        </w:tc>
        <w:tc>
          <w:tcPr>
            <w:tcW w:w="1660" w:type="dxa"/>
            <w:vAlign w:val="bottom"/>
            <w:tcBorders>
              <w:bottom w:val="single" w:sz="8" w:color="B94831"/>
            </w:tcBorders>
          </w:tcPr>
          <w:p>
            <w:pPr>
              <w:spacing w:after="0"/>
              <w:rPr>
                <w:sz w:val="4"/>
                <w:szCs w:val="4"/>
                <w:color w:val="auto"/>
              </w:rPr>
            </w:pPr>
          </w:p>
        </w:tc>
      </w:tr>
      <w:tr>
        <w:trPr>
          <w:trHeight w:val="227"/>
        </w:trPr>
        <w:tc>
          <w:tcPr>
            <w:tcW w:w="6420" w:type="dxa"/>
            <w:vAlign w:val="bottom"/>
            <w:tcBorders>
              <w:bottom w:val="single" w:sz="8" w:color="B94831"/>
            </w:tcBorders>
          </w:tcPr>
          <w:p>
            <w:pPr>
              <w:spacing w:after="0"/>
              <w:rPr>
                <w:sz w:val="19"/>
                <w:szCs w:val="19"/>
                <w:color w:val="auto"/>
              </w:rPr>
            </w:pPr>
          </w:p>
        </w:tc>
        <w:tc>
          <w:tcPr>
            <w:tcW w:w="1160" w:type="dxa"/>
            <w:vAlign w:val="bottom"/>
            <w:tcBorders>
              <w:bottom w:val="single" w:sz="8" w:color="B94831"/>
            </w:tcBorders>
          </w:tcPr>
          <w:p>
            <w:pPr>
              <w:spacing w:after="0"/>
              <w:rPr>
                <w:sz w:val="19"/>
                <w:szCs w:val="19"/>
                <w:color w:val="auto"/>
              </w:rPr>
            </w:pPr>
          </w:p>
        </w:tc>
        <w:tc>
          <w:tcPr>
            <w:tcW w:w="1680" w:type="dxa"/>
            <w:vAlign w:val="bottom"/>
            <w:tcBorders>
              <w:bottom w:val="single" w:sz="8" w:color="B94831"/>
            </w:tcBorders>
          </w:tcPr>
          <w:p>
            <w:pPr>
              <w:spacing w:after="0"/>
              <w:rPr>
                <w:sz w:val="19"/>
                <w:szCs w:val="19"/>
                <w:color w:val="auto"/>
              </w:rPr>
            </w:pPr>
          </w:p>
        </w:tc>
        <w:tc>
          <w:tcPr>
            <w:tcW w:w="1660" w:type="dxa"/>
            <w:vAlign w:val="bottom"/>
            <w:tcBorders>
              <w:bottom w:val="single" w:sz="8" w:color="B94831"/>
            </w:tcBorders>
          </w:tcPr>
          <w:p>
            <w:pPr>
              <w:spacing w:after="0"/>
              <w:rPr>
                <w:sz w:val="19"/>
                <w:szCs w:val="19"/>
                <w:color w:val="auto"/>
              </w:rPr>
            </w:pPr>
          </w:p>
        </w:tc>
      </w:tr>
    </w:tbl>
    <w:p>
      <w:pPr>
        <w:spacing w:after="0" w:line="10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Page A-6   Management Proxy Circular and Notice of Annual Meeting of Shareholders</w:t>
      </w:r>
    </w:p>
    <w:p>
      <w:pPr>
        <w:sectPr>
          <w:pgSz w:w="11900" w:h="16838" w:orient="portrait"/>
          <w:cols w:equalWidth="0" w:num="1">
            <w:col w:w="11080"/>
          </w:cols>
          <w:pgMar w:left="320" w:top="454"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288925</wp:posOffset>
            </wp:positionV>
            <wp:extent cx="67259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2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B94831"/>
        </w:rPr>
        <w:t>THOMSON REUTERS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19 Duncan Street, Toronto,</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Ontario M5H 3H1</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Canada</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tel: +1 647 480 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-115570</wp:posOffset>
            </wp:positionV>
            <wp:extent cx="2564765" cy="3314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64765" cy="331470"/>
                    </a:xfrm>
                    <a:prstGeom prst="rect">
                      <a:avLst/>
                    </a:prstGeom>
                    <a:noFill/>
                  </pic:spPr>
                </pic:pic>
              </a:graphicData>
            </a:graphic>
          </wp:anchor>
        </w:drawing>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5367"/>
        </w:rPr>
        <w:t>www.thomsonreuters.com</w:t>
      </w:r>
    </w:p>
    <w:p>
      <w:pPr>
        <w:sectPr>
          <w:pgSz w:w="11900" w:h="16838" w:orient="portrait"/>
          <w:cols w:equalWidth="0" w:num="1">
            <w:col w:w="10139"/>
          </w:cols>
          <w:pgMar w:left="320" w:top="454" w:right="1440" w:bottom="1440" w:gutter="0" w:footer="0" w:header="0"/>
        </w:sectPr>
      </w:pPr>
    </w:p>
    <w:bookmarkStart w:id="120" w:name="page121"/>
    <w:bookmarkEnd w:id="120"/>
    <w:p>
      <w:pPr>
        <w:ind w:left="90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179070</wp:posOffset>
            </wp:positionV>
            <wp:extent cx="5774690" cy="74733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5666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7566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2046605" cy="3054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046605"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line="271" w:lineRule="auto"/>
        <w:rPr>
          <w:sz w:val="20"/>
          <w:szCs w:val="20"/>
          <w:color w:val="auto"/>
        </w:rPr>
      </w:pPr>
      <w:r>
        <w:rPr>
          <w:rFonts w:ascii="Arial" w:cs="Arial" w:eastAsia="Arial" w:hAnsi="Arial"/>
          <w:sz w:val="30"/>
          <w:szCs w:val="30"/>
          <w:color w:val="B94831"/>
        </w:rPr>
        <w:t>NOTICE OF AVAILABILITY OF PROXY MATERIALS FOR THE 2024 THOMSON REUTERS CORPORATION ANNUAL MEETING OF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21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We are using the “notice-and-access” system for delivery of this year’s proxy materials, similar to last year’s meeting. Under notice- and-access, you still receive a proxy or voting instruction form enabling you to vote at our meeting. However, instead of a paper copy of the management proxy circular and other proxy materials, you have received this notice which contains information about how to access these materials electronically on our website, </w:t>
      </w:r>
      <w:r>
        <w:rPr>
          <w:rFonts w:ascii="Arial" w:cs="Arial" w:eastAsia="Arial" w:hAnsi="Arial"/>
          <w:sz w:val="16"/>
          <w:szCs w:val="16"/>
          <w:b w:val="1"/>
          <w:bCs w:val="1"/>
          <w:color w:val="B94831"/>
        </w:rPr>
        <w:t>www.thomsonreuters.com</w:t>
      </w:r>
      <w:r>
        <w:rPr>
          <w:rFonts w:ascii="Arial" w:cs="Arial" w:eastAsia="Arial" w:hAnsi="Arial"/>
          <w:sz w:val="16"/>
          <w:szCs w:val="16"/>
          <w:color w:val="000000"/>
        </w:rPr>
        <w:t>. Electronic delivery reduces the cost and environmental impact of producing and distributing paper copies of documents in</w:t>
      </w:r>
      <w:r>
        <w:rPr>
          <w:rFonts w:ascii="Arial" w:cs="Arial" w:eastAsia="Arial" w:hAnsi="Arial"/>
          <w:sz w:val="16"/>
          <w:szCs w:val="16"/>
          <w:b w:val="1"/>
          <w:bCs w:val="1"/>
          <w:color w:val="B94831"/>
        </w:rPr>
        <w:t xml:space="preserve"> </w:t>
      </w:r>
      <w:r>
        <w:rPr>
          <w:rFonts w:ascii="Arial" w:cs="Arial" w:eastAsia="Arial" w:hAnsi="Arial"/>
          <w:sz w:val="16"/>
          <w:szCs w:val="16"/>
          <w:color w:val="000000"/>
        </w:rPr>
        <w:t>very large quantities. It also provides shareholders with faster access to information about Thomson Reuters. Shareholders who have already signed up for electronic delivery of proxy materials will continue to receive them by e-mail.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spacing w:after="0"/>
              <w:rPr>
                <w:sz w:val="20"/>
                <w:szCs w:val="20"/>
                <w:color w:val="auto"/>
              </w:rPr>
            </w:pPr>
            <w:r>
              <w:rPr>
                <w:rFonts w:ascii="Arial" w:cs="Arial" w:eastAsia="Arial" w:hAnsi="Arial"/>
                <w:sz w:val="16"/>
                <w:szCs w:val="16"/>
                <w:b w:val="1"/>
                <w:bCs w:val="1"/>
                <w:color w:val="B94831"/>
              </w:rPr>
              <w:t>MEETING DATE AND LOCATION</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33"/>
        </w:trPr>
        <w:tc>
          <w:tcPr>
            <w:tcW w:w="4420" w:type="dxa"/>
            <w:vAlign w:val="bottom"/>
          </w:tcPr>
          <w:p>
            <w:pPr>
              <w:spacing w:after="0"/>
              <w:rPr>
                <w:sz w:val="20"/>
                <w:szCs w:val="20"/>
                <w:color w:val="auto"/>
              </w:rPr>
            </w:pPr>
            <w:r>
              <w:rPr>
                <w:rFonts w:ascii="Arial" w:cs="Arial" w:eastAsia="Arial" w:hAnsi="Arial"/>
                <w:sz w:val="16"/>
                <w:szCs w:val="16"/>
                <w:color w:val="auto"/>
              </w:rPr>
              <w:t>WHEN:    Wednesday, June 5, 2024</w:t>
            </w:r>
          </w:p>
        </w:tc>
        <w:tc>
          <w:tcPr>
            <w:tcW w:w="4520" w:type="dxa"/>
            <w:vAlign w:val="bottom"/>
            <w:gridSpan w:val="4"/>
          </w:tcPr>
          <w:p>
            <w:pPr>
              <w:ind w:left="1280"/>
              <w:spacing w:after="0"/>
              <w:rPr>
                <w:sz w:val="20"/>
                <w:szCs w:val="20"/>
                <w:color w:val="auto"/>
              </w:rPr>
            </w:pPr>
            <w:r>
              <w:rPr>
                <w:rFonts w:ascii="Arial" w:cs="Arial" w:eastAsia="Arial" w:hAnsi="Arial"/>
                <w:sz w:val="16"/>
                <w:szCs w:val="16"/>
                <w:color w:val="auto"/>
              </w:rPr>
              <w:t>WHERE:   Roy Thomson Hall</w:t>
            </w:r>
          </w:p>
        </w:tc>
      </w:tr>
      <w:tr>
        <w:trPr>
          <w:trHeight w:val="201"/>
        </w:trPr>
        <w:tc>
          <w:tcPr>
            <w:tcW w:w="4420" w:type="dxa"/>
            <w:vAlign w:val="bottom"/>
          </w:tcPr>
          <w:p>
            <w:pPr>
              <w:ind w:left="640"/>
              <w:spacing w:after="0"/>
              <w:rPr>
                <w:sz w:val="20"/>
                <w:szCs w:val="20"/>
                <w:color w:val="auto"/>
              </w:rPr>
            </w:pPr>
            <w:r>
              <w:rPr>
                <w:rFonts w:ascii="Arial" w:cs="Arial" w:eastAsia="Arial" w:hAnsi="Arial"/>
                <w:sz w:val="16"/>
                <w:szCs w:val="16"/>
                <w:color w:val="auto"/>
              </w:rPr>
              <w:t>12:00 p.m. (Eastern Daylight Time)</w:t>
            </w:r>
          </w:p>
        </w:tc>
        <w:tc>
          <w:tcPr>
            <w:tcW w:w="1460" w:type="dxa"/>
            <w:vAlign w:val="bottom"/>
          </w:tcPr>
          <w:p>
            <w:pPr>
              <w:ind w:left="128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740" w:type="dxa"/>
            <w:vAlign w:val="bottom"/>
          </w:tcPr>
          <w:p>
            <w:pPr>
              <w:ind w:left="60"/>
              <w:spacing w:after="0"/>
              <w:rPr>
                <w:sz w:val="20"/>
                <w:szCs w:val="20"/>
                <w:color w:val="auto"/>
              </w:rPr>
            </w:pPr>
            <w:r>
              <w:rPr>
                <w:rFonts w:ascii="Arial" w:cs="Arial" w:eastAsia="Arial" w:hAnsi="Arial"/>
                <w:sz w:val="16"/>
                <w:szCs w:val="16"/>
                <w:color w:val="auto"/>
              </w:rPr>
              <w:t>     60 Simcoe Street</w:t>
            </w:r>
          </w:p>
        </w:tc>
      </w:tr>
      <w:tr>
        <w:trPr>
          <w:trHeight w:val="211"/>
        </w:trPr>
        <w:tc>
          <w:tcPr>
            <w:tcW w:w="4420" w:type="dxa"/>
            <w:vAlign w:val="bottom"/>
          </w:tcPr>
          <w:p>
            <w:pPr>
              <w:spacing w:after="0"/>
              <w:rPr>
                <w:sz w:val="18"/>
                <w:szCs w:val="18"/>
                <w:color w:val="auto"/>
              </w:rPr>
            </w:pPr>
          </w:p>
        </w:tc>
        <w:tc>
          <w:tcPr>
            <w:tcW w:w="1460" w:type="dxa"/>
            <w:vAlign w:val="bottom"/>
          </w:tcPr>
          <w:p>
            <w:pPr>
              <w:ind w:left="128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740" w:type="dxa"/>
            <w:vAlign w:val="bottom"/>
          </w:tcPr>
          <w:p>
            <w:pPr>
              <w:ind w:left="60"/>
              <w:spacing w:after="0"/>
              <w:rPr>
                <w:sz w:val="20"/>
                <w:szCs w:val="20"/>
                <w:color w:val="auto"/>
              </w:rPr>
            </w:pPr>
            <w:r>
              <w:rPr>
                <w:rFonts w:ascii="Arial" w:cs="Arial" w:eastAsia="Arial" w:hAnsi="Arial"/>
                <w:sz w:val="16"/>
                <w:szCs w:val="16"/>
                <w:color w:val="auto"/>
                <w:w w:val="95"/>
              </w:rPr>
              <w:t>     Toronto, Ontario M5J 2H5, Canada</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B94831"/>
        </w:rPr>
        <w:t>WHO CAN VOTE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common shares as of 5:00 p.m. (Eastern Daylight Time) on April 19, 2024.</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B94831"/>
        </w:rPr>
        <w:t>BUSINESS OF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This year’s meeting will cover the following 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163830</wp:posOffset>
            </wp:positionV>
            <wp:extent cx="8255" cy="31934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319341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 w:type="dxa"/>
            <w:vAlign w:val="bottom"/>
            <w:tcBorders>
              <w:right w:val="single" w:sz="8" w:color="595959"/>
            </w:tcBorders>
          </w:tcPr>
          <w:p>
            <w:pPr>
              <w:spacing w:after="0"/>
              <w:rPr>
                <w:sz w:val="15"/>
                <w:szCs w:val="15"/>
                <w:color w:val="auto"/>
              </w:rPr>
            </w:pPr>
          </w:p>
        </w:tc>
        <w:tc>
          <w:tcPr>
            <w:tcW w:w="360" w:type="dxa"/>
            <w:vAlign w:val="bottom"/>
            <w:tcBorders>
              <w:top w:val="single" w:sz="8" w:color="595959"/>
            </w:tcBorders>
            <w:shd w:val="clear" w:color="auto" w:fill="B94831"/>
          </w:tcPr>
          <w:p>
            <w:pPr>
              <w:spacing w:after="0"/>
              <w:rPr>
                <w:sz w:val="15"/>
                <w:szCs w:val="15"/>
                <w:color w:val="auto"/>
              </w:rPr>
            </w:pPr>
          </w:p>
        </w:tc>
        <w:tc>
          <w:tcPr>
            <w:tcW w:w="1240" w:type="dxa"/>
            <w:vAlign w:val="bottom"/>
            <w:tcBorders>
              <w:top w:val="single" w:sz="8" w:color="595959"/>
              <w:right w:val="single" w:sz="8" w:color="595959"/>
            </w:tcBorders>
            <w:shd w:val="clear" w:color="auto" w:fill="B94831"/>
          </w:tcPr>
          <w:p>
            <w:pPr>
              <w:ind w:left="40"/>
              <w:spacing w:after="0"/>
              <w:rPr>
                <w:sz w:val="20"/>
                <w:szCs w:val="20"/>
                <w:color w:val="auto"/>
              </w:rPr>
            </w:pPr>
            <w:r>
              <w:rPr>
                <w:rFonts w:ascii="Arial" w:cs="Arial" w:eastAsia="Arial" w:hAnsi="Arial"/>
                <w:sz w:val="14"/>
                <w:szCs w:val="14"/>
                <w:b w:val="1"/>
                <w:bCs w:val="1"/>
                <w:color w:val="FFFFFF"/>
              </w:rPr>
              <w:t>Item of</w:t>
            </w:r>
          </w:p>
        </w:tc>
        <w:tc>
          <w:tcPr>
            <w:tcW w:w="7440" w:type="dxa"/>
            <w:vAlign w:val="bottom"/>
            <w:tcBorders>
              <w:top w:val="single" w:sz="8" w:color="595959"/>
              <w:right w:val="single" w:sz="8" w:color="595959"/>
            </w:tcBorders>
            <w:shd w:val="clear" w:color="auto" w:fill="B94831"/>
          </w:tcPr>
          <w:p>
            <w:pPr>
              <w:ind w:left="100"/>
              <w:spacing w:after="0"/>
              <w:rPr>
                <w:sz w:val="20"/>
                <w:szCs w:val="20"/>
                <w:color w:val="auto"/>
              </w:rPr>
            </w:pPr>
            <w:r>
              <w:rPr>
                <w:rFonts w:ascii="Arial" w:cs="Arial" w:eastAsia="Arial" w:hAnsi="Arial"/>
                <w:sz w:val="14"/>
                <w:szCs w:val="14"/>
                <w:b w:val="1"/>
                <w:bCs w:val="1"/>
                <w:color w:val="FFFFFF"/>
              </w:rPr>
              <w:t>Highlights</w:t>
            </w:r>
          </w:p>
        </w:tc>
        <w:tc>
          <w:tcPr>
            <w:tcW w:w="1740" w:type="dxa"/>
            <w:vAlign w:val="bottom"/>
            <w:tcBorders>
              <w:top w:val="single" w:sz="8" w:color="595959"/>
              <w:right w:val="single" w:sz="8" w:color="595959"/>
            </w:tcBorders>
            <w:shd w:val="clear" w:color="auto" w:fill="B94831"/>
          </w:tcPr>
          <w:p>
            <w:pPr>
              <w:ind w:left="100"/>
              <w:spacing w:after="0"/>
              <w:rPr>
                <w:sz w:val="20"/>
                <w:szCs w:val="20"/>
                <w:color w:val="auto"/>
              </w:rPr>
            </w:pPr>
            <w:r>
              <w:rPr>
                <w:rFonts w:ascii="Arial" w:cs="Arial" w:eastAsia="Arial" w:hAnsi="Arial"/>
                <w:sz w:val="14"/>
                <w:szCs w:val="14"/>
                <w:b w:val="1"/>
                <w:bCs w:val="1"/>
                <w:color w:val="FFFFFF"/>
              </w:rPr>
              <w:t>Board Vote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595959"/>
            </w:tcBorders>
          </w:tcPr>
          <w:p>
            <w:pPr>
              <w:spacing w:after="0"/>
              <w:rPr>
                <w:sz w:val="15"/>
                <w:szCs w:val="15"/>
                <w:color w:val="auto"/>
              </w:rPr>
            </w:pPr>
          </w:p>
        </w:tc>
        <w:tc>
          <w:tcPr>
            <w:tcW w:w="360" w:type="dxa"/>
            <w:vAlign w:val="bottom"/>
            <w:tcBorders>
              <w:bottom w:val="single" w:sz="8" w:color="595959"/>
            </w:tcBorders>
            <w:shd w:val="clear" w:color="auto" w:fill="B94831"/>
          </w:tcPr>
          <w:p>
            <w:pPr>
              <w:spacing w:after="0"/>
              <w:rPr>
                <w:sz w:val="15"/>
                <w:szCs w:val="15"/>
                <w:color w:val="auto"/>
              </w:rPr>
            </w:pPr>
          </w:p>
        </w:tc>
        <w:tc>
          <w:tcPr>
            <w:tcW w:w="1240" w:type="dxa"/>
            <w:vAlign w:val="bottom"/>
            <w:tcBorders>
              <w:bottom w:val="single" w:sz="8" w:color="595959"/>
              <w:right w:val="single" w:sz="8" w:color="595959"/>
            </w:tcBorders>
            <w:shd w:val="clear" w:color="auto" w:fill="B94831"/>
          </w:tcPr>
          <w:p>
            <w:pPr>
              <w:ind w:left="40"/>
              <w:spacing w:after="0"/>
              <w:rPr>
                <w:sz w:val="20"/>
                <w:szCs w:val="20"/>
                <w:color w:val="auto"/>
              </w:rPr>
            </w:pPr>
            <w:r>
              <w:rPr>
                <w:rFonts w:ascii="Arial" w:cs="Arial" w:eastAsia="Arial" w:hAnsi="Arial"/>
                <w:sz w:val="14"/>
                <w:szCs w:val="14"/>
                <w:b w:val="1"/>
                <w:bCs w:val="1"/>
                <w:color w:val="FFFFFF"/>
              </w:rPr>
              <w:t>Business</w:t>
            </w:r>
          </w:p>
        </w:tc>
        <w:tc>
          <w:tcPr>
            <w:tcW w:w="7440" w:type="dxa"/>
            <w:vAlign w:val="bottom"/>
            <w:tcBorders>
              <w:bottom w:val="single" w:sz="8" w:color="595959"/>
              <w:right w:val="single" w:sz="8" w:color="595959"/>
            </w:tcBorders>
            <w:shd w:val="clear" w:color="auto" w:fill="B94831"/>
          </w:tcPr>
          <w:p>
            <w:pPr>
              <w:spacing w:after="0"/>
              <w:rPr>
                <w:sz w:val="15"/>
                <w:szCs w:val="15"/>
                <w:color w:val="auto"/>
              </w:rPr>
            </w:pPr>
          </w:p>
        </w:tc>
        <w:tc>
          <w:tcPr>
            <w:tcW w:w="1740" w:type="dxa"/>
            <w:vAlign w:val="bottom"/>
            <w:tcBorders>
              <w:bottom w:val="single" w:sz="8" w:color="595959"/>
              <w:right w:val="single" w:sz="8" w:color="595959"/>
            </w:tcBorders>
            <w:shd w:val="clear" w:color="auto" w:fill="B94831"/>
          </w:tcPr>
          <w:p>
            <w:pPr>
              <w:ind w:left="100"/>
              <w:spacing w:after="0"/>
              <w:rPr>
                <w:sz w:val="20"/>
                <w:szCs w:val="20"/>
                <w:color w:val="auto"/>
              </w:rPr>
            </w:pPr>
            <w:r>
              <w:rPr>
                <w:rFonts w:ascii="Arial" w:cs="Arial" w:eastAsia="Arial" w:hAnsi="Arial"/>
                <w:sz w:val="14"/>
                <w:szCs w:val="14"/>
                <w:b w:val="1"/>
                <w:bCs w:val="1"/>
                <w:color w:val="FFFFFF"/>
              </w:rPr>
              <w:t>Recommendation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595959"/>
            </w:tcBorders>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 xml:space="preserve">1 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Financial</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Receipt of our 2023 audited financial statements.</w:t>
            </w:r>
          </w:p>
        </w:tc>
        <w:tc>
          <w:tcPr>
            <w:tcW w:w="174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tcBorders>
              <w:right w:val="single" w:sz="8" w:color="595959"/>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statements</w:t>
            </w:r>
          </w:p>
        </w:tc>
        <w:tc>
          <w:tcPr>
            <w:tcW w:w="7440" w:type="dxa"/>
            <w:vAlign w:val="bottom"/>
            <w:tcBorders>
              <w:right w:val="single" w:sz="8" w:color="595959"/>
            </w:tcBorders>
          </w:tcPr>
          <w:p>
            <w:pPr>
              <w:ind w:left="100"/>
              <w:spacing w:after="0" w:line="200"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Our 2023 annual consolidated financial statements are included in our 2023 annual report, which is available in</w:t>
            </w:r>
          </w:p>
        </w:tc>
        <w:tc>
          <w:tcPr>
            <w:tcW w:w="1740" w:type="dxa"/>
            <w:vAlign w:val="bottom"/>
            <w:tcBorders>
              <w:right w:val="single" w:sz="8" w:color="595959"/>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tcBorders>
              <w:right w:val="single" w:sz="8" w:color="595959"/>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right w:val="single" w:sz="8" w:color="595959"/>
            </w:tcBorders>
          </w:tcPr>
          <w:p>
            <w:pPr>
              <w:spacing w:after="0"/>
              <w:rPr>
                <w:sz w:val="16"/>
                <w:szCs w:val="16"/>
                <w:color w:val="auto"/>
              </w:rPr>
            </w:pPr>
          </w:p>
        </w:tc>
        <w:tc>
          <w:tcPr>
            <w:tcW w:w="7440" w:type="dxa"/>
            <w:vAlign w:val="bottom"/>
            <w:tcBorders>
              <w:right w:val="single" w:sz="8" w:color="595959"/>
            </w:tcBorders>
          </w:tcPr>
          <w:p>
            <w:pPr>
              <w:ind w:left="280"/>
              <w:spacing w:after="0"/>
              <w:rPr>
                <w:sz w:val="20"/>
                <w:szCs w:val="20"/>
                <w:color w:val="auto"/>
              </w:rPr>
            </w:pPr>
            <w:r>
              <w:rPr>
                <w:rFonts w:ascii="Arial" w:cs="Arial" w:eastAsia="Arial" w:hAnsi="Arial"/>
                <w:sz w:val="14"/>
                <w:szCs w:val="14"/>
                <w:color w:val="auto"/>
              </w:rPr>
              <w:t xml:space="preserve">the “Investor Relations” section of our website, </w:t>
            </w:r>
            <w:r>
              <w:rPr>
                <w:rFonts w:ascii="Arial" w:cs="Arial" w:eastAsia="Arial" w:hAnsi="Arial"/>
                <w:sz w:val="14"/>
                <w:szCs w:val="14"/>
                <w:b w:val="1"/>
                <w:bCs w:val="1"/>
                <w:color w:val="B94831"/>
              </w:rPr>
              <w:t>www.thomsonreuters.com</w:t>
            </w:r>
            <w:r>
              <w:rPr>
                <w:rFonts w:ascii="Arial" w:cs="Arial" w:eastAsia="Arial" w:hAnsi="Arial"/>
                <w:sz w:val="14"/>
                <w:szCs w:val="14"/>
                <w:color w:val="auto"/>
              </w:rPr>
              <w:t>.</w:t>
            </w:r>
          </w:p>
        </w:tc>
        <w:tc>
          <w:tcPr>
            <w:tcW w:w="1740" w:type="dxa"/>
            <w:vAlign w:val="bottom"/>
            <w:tcBorders>
              <w:right w:val="single" w:sz="8" w:color="595959"/>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 w:type="dxa"/>
            <w:vAlign w:val="bottom"/>
            <w:tcBorders>
              <w:right w:val="single" w:sz="8" w:color="595959"/>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595959"/>
            </w:tcBorders>
          </w:tcPr>
          <w:p>
            <w:pPr>
              <w:spacing w:after="0"/>
              <w:rPr>
                <w:sz w:val="17"/>
                <w:szCs w:val="17"/>
                <w:color w:val="auto"/>
              </w:rPr>
            </w:pPr>
          </w:p>
        </w:tc>
        <w:tc>
          <w:tcPr>
            <w:tcW w:w="7440" w:type="dxa"/>
            <w:vAlign w:val="bottom"/>
            <w:tcBorders>
              <w:right w:val="single" w:sz="8" w:color="595959"/>
            </w:tcBorders>
          </w:tcPr>
          <w:p>
            <w:pPr>
              <w:ind w:left="100"/>
              <w:spacing w:after="0" w:line="201"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Shareholders who requested a copy of the 2023 annual report will receive it by mail or e-mail.</w:t>
            </w:r>
          </w:p>
        </w:tc>
        <w:tc>
          <w:tcPr>
            <w:tcW w:w="1740" w:type="dxa"/>
            <w:vAlign w:val="bottom"/>
            <w:tcBorders>
              <w:right w:val="single" w:sz="8" w:color="595959"/>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00" w:type="dxa"/>
            <w:vAlign w:val="bottom"/>
            <w:tcBorders>
              <w:right w:val="single" w:sz="8" w:color="595959"/>
            </w:tcBorders>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right w:val="single" w:sz="8" w:color="595959"/>
            </w:tcBorders>
          </w:tcPr>
          <w:p>
            <w:pPr>
              <w:spacing w:after="0"/>
              <w:rPr>
                <w:sz w:val="14"/>
                <w:szCs w:val="14"/>
                <w:color w:val="auto"/>
              </w:rPr>
            </w:pPr>
          </w:p>
        </w:tc>
        <w:tc>
          <w:tcPr>
            <w:tcW w:w="7440" w:type="dxa"/>
            <w:vAlign w:val="bottom"/>
            <w:tcBorders>
              <w:right w:val="single" w:sz="8" w:color="595959"/>
            </w:tcBorders>
          </w:tcPr>
          <w:p>
            <w:pPr>
              <w:ind w:left="100"/>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Representatives from Thomson Reuters and our independent auditor, PricewaterhouseCoopers LLP, will be</w:t>
            </w:r>
          </w:p>
        </w:tc>
        <w:tc>
          <w:tcPr>
            <w:tcW w:w="1740" w:type="dxa"/>
            <w:vAlign w:val="bottom"/>
            <w:tcBorders>
              <w:right w:val="single" w:sz="8" w:color="595959"/>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595959"/>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595959"/>
            </w:tcBorders>
          </w:tcPr>
          <w:p>
            <w:pPr>
              <w:spacing w:after="0"/>
              <w:rPr>
                <w:sz w:val="15"/>
                <w:szCs w:val="15"/>
                <w:color w:val="auto"/>
              </w:rPr>
            </w:pPr>
          </w:p>
        </w:tc>
        <w:tc>
          <w:tcPr>
            <w:tcW w:w="7440" w:type="dxa"/>
            <w:vAlign w:val="bottom"/>
            <w:tcBorders>
              <w:bottom w:val="single" w:sz="8" w:color="auto"/>
              <w:right w:val="single" w:sz="8" w:color="595959"/>
            </w:tcBorders>
          </w:tcPr>
          <w:p>
            <w:pPr>
              <w:ind w:left="280"/>
              <w:spacing w:after="0"/>
              <w:rPr>
                <w:sz w:val="20"/>
                <w:szCs w:val="20"/>
                <w:color w:val="auto"/>
              </w:rPr>
            </w:pPr>
            <w:r>
              <w:rPr>
                <w:rFonts w:ascii="Arial" w:cs="Arial" w:eastAsia="Arial" w:hAnsi="Arial"/>
                <w:sz w:val="14"/>
                <w:szCs w:val="14"/>
                <w:color w:val="auto"/>
              </w:rPr>
              <w:t>available to discuss any questions about our financial statements at the meeting.</w:t>
            </w:r>
          </w:p>
        </w:tc>
        <w:tc>
          <w:tcPr>
            <w:tcW w:w="1740" w:type="dxa"/>
            <w:vAlign w:val="bottom"/>
            <w:tcBorders>
              <w:bottom w:val="single" w:sz="8" w:color="auto"/>
              <w:right w:val="single" w:sz="8" w:color="595959"/>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595959"/>
            </w:tcBorders>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 xml:space="preserve">2 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Election of</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At the meeting, 13 individuals are proposed to be elected to our Board of Directors. All of these individuals are</w:t>
            </w:r>
          </w:p>
        </w:tc>
        <w:tc>
          <w:tcPr>
            <w:tcW w:w="174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 EACH DIRECTOR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595959"/>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Directors</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currently directors of our company.</w:t>
            </w:r>
          </w:p>
        </w:tc>
        <w:tc>
          <w:tcPr>
            <w:tcW w:w="174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NOMINEE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Borders>
              <w:right w:val="single" w:sz="8" w:color="595959"/>
            </w:tcBorders>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right w:val="single" w:sz="8" w:color="595959"/>
            </w:tcBorders>
          </w:tcPr>
          <w:p>
            <w:pPr>
              <w:spacing w:after="0"/>
              <w:rPr>
                <w:sz w:val="14"/>
                <w:szCs w:val="14"/>
                <w:color w:val="auto"/>
              </w:rPr>
            </w:pPr>
          </w:p>
        </w:tc>
        <w:tc>
          <w:tcPr>
            <w:tcW w:w="7440" w:type="dxa"/>
            <w:vAlign w:val="bottom"/>
            <w:tcBorders>
              <w:right w:val="single" w:sz="8" w:color="595959"/>
            </w:tcBorders>
          </w:tcPr>
          <w:p>
            <w:pPr>
              <w:ind w:left="100"/>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Arial" w:cs="Arial" w:eastAsia="Arial" w:hAnsi="Arial"/>
                <w:sz w:val="13"/>
                <w:szCs w:val="13"/>
                <w:color w:val="auto"/>
              </w:rPr>
              <w:t xml:space="preserve">    A majority of our directors are independent and three of our directors are affiliated with our principal shareholder,</w:t>
            </w:r>
          </w:p>
        </w:tc>
        <w:tc>
          <w:tcPr>
            <w:tcW w:w="1740" w:type="dxa"/>
            <w:vAlign w:val="bottom"/>
            <w:tcBorders>
              <w:right w:val="single" w:sz="8" w:color="595959"/>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595959"/>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right w:val="single" w:sz="8" w:color="595959"/>
            </w:tcBorders>
          </w:tcPr>
          <w:p>
            <w:pPr>
              <w:spacing w:after="0"/>
              <w:rPr>
                <w:sz w:val="16"/>
                <w:szCs w:val="16"/>
                <w:color w:val="auto"/>
              </w:rPr>
            </w:pPr>
          </w:p>
        </w:tc>
        <w:tc>
          <w:tcPr>
            <w:tcW w:w="7440" w:type="dxa"/>
            <w:vAlign w:val="bottom"/>
            <w:tcBorders>
              <w:right w:val="single" w:sz="8" w:color="595959"/>
            </w:tcBorders>
          </w:tcPr>
          <w:p>
            <w:pPr>
              <w:ind w:left="280"/>
              <w:spacing w:after="0"/>
              <w:rPr>
                <w:sz w:val="20"/>
                <w:szCs w:val="20"/>
                <w:color w:val="auto"/>
              </w:rPr>
            </w:pPr>
            <w:r>
              <w:rPr>
                <w:rFonts w:ascii="Arial" w:cs="Arial" w:eastAsia="Arial" w:hAnsi="Arial"/>
                <w:sz w:val="14"/>
                <w:szCs w:val="14"/>
                <w:color w:val="auto"/>
              </w:rPr>
              <w:t>Woodbridge. Only one director (our CEO) is a member of management.</w:t>
            </w:r>
          </w:p>
        </w:tc>
        <w:tc>
          <w:tcPr>
            <w:tcW w:w="1740" w:type="dxa"/>
            <w:vAlign w:val="bottom"/>
            <w:tcBorders>
              <w:right w:val="single" w:sz="8" w:color="595959"/>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Borders>
              <w:right w:val="single" w:sz="8" w:color="595959"/>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right w:val="single" w:sz="8" w:color="595959"/>
            </w:tcBorders>
          </w:tcPr>
          <w:p>
            <w:pPr>
              <w:spacing w:after="0"/>
              <w:rPr>
                <w:sz w:val="18"/>
                <w:szCs w:val="18"/>
                <w:color w:val="auto"/>
              </w:rPr>
            </w:pPr>
          </w:p>
        </w:tc>
        <w:tc>
          <w:tcPr>
            <w:tcW w:w="7440" w:type="dxa"/>
            <w:vAlign w:val="bottom"/>
            <w:tcBorders>
              <w:right w:val="single" w:sz="8" w:color="595959"/>
            </w:tcBorders>
          </w:tcPr>
          <w:p>
            <w:pPr>
              <w:ind w:left="100"/>
              <w:spacing w:after="0" w:line="208"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The roles and responsibilities of the Chairman and the CEO are separate.</w:t>
            </w:r>
          </w:p>
        </w:tc>
        <w:tc>
          <w:tcPr>
            <w:tcW w:w="1740" w:type="dxa"/>
            <w:vAlign w:val="bottom"/>
            <w:tcBorders>
              <w:right w:val="single" w:sz="8" w:color="595959"/>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0" w:type="dxa"/>
            <w:vAlign w:val="bottom"/>
            <w:tcBorders>
              <w:right w:val="single" w:sz="8" w:color="595959"/>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595959"/>
            </w:tcBorders>
          </w:tcPr>
          <w:p>
            <w:pPr>
              <w:spacing w:after="0"/>
              <w:rPr>
                <w:sz w:val="17"/>
                <w:szCs w:val="17"/>
                <w:color w:val="auto"/>
              </w:rPr>
            </w:pPr>
          </w:p>
        </w:tc>
        <w:tc>
          <w:tcPr>
            <w:tcW w:w="7440" w:type="dxa"/>
            <w:vAlign w:val="bottom"/>
            <w:tcBorders>
              <w:right w:val="single" w:sz="8" w:color="595959"/>
            </w:tcBorders>
          </w:tcPr>
          <w:p>
            <w:pPr>
              <w:ind w:left="100"/>
              <w:spacing w:after="0" w:line="200"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38% of the director nominees are women and two have self-identified as visible minorities.</w:t>
            </w:r>
          </w:p>
        </w:tc>
        <w:tc>
          <w:tcPr>
            <w:tcW w:w="1740" w:type="dxa"/>
            <w:vAlign w:val="bottom"/>
            <w:tcBorders>
              <w:right w:val="single" w:sz="8" w:color="595959"/>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595959"/>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595959"/>
            </w:tcBorders>
          </w:tcPr>
          <w:p>
            <w:pPr>
              <w:spacing w:after="0"/>
              <w:rPr>
                <w:sz w:val="17"/>
                <w:szCs w:val="17"/>
                <w:color w:val="auto"/>
              </w:rPr>
            </w:pPr>
          </w:p>
        </w:tc>
        <w:tc>
          <w:tcPr>
            <w:tcW w:w="7440" w:type="dxa"/>
            <w:vAlign w:val="bottom"/>
            <w:tcBorders>
              <w:right w:val="single" w:sz="8" w:color="595959"/>
            </w:tcBorders>
          </w:tcPr>
          <w:p>
            <w:pPr>
              <w:ind w:left="100"/>
              <w:spacing w:after="0" w:line="205" w:lineRule="exact"/>
              <w:rPr>
                <w:sz w:val="20"/>
                <w:szCs w:val="20"/>
                <w:color w:val="auto"/>
              </w:rPr>
            </w:pPr>
            <w:r>
              <w:rPr>
                <w:rFonts w:ascii="Times New Roman" w:cs="Times New Roman" w:eastAsia="Times New Roman" w:hAnsi="Times New Roman"/>
                <w:sz w:val="21"/>
                <w:szCs w:val="21"/>
                <w:color w:val="auto"/>
                <w:vertAlign w:val="superscript"/>
              </w:rPr>
              <w:t>●</w:t>
            </w:r>
            <w:r>
              <w:rPr>
                <w:rFonts w:ascii="Arial" w:cs="Arial" w:eastAsia="Arial" w:hAnsi="Arial"/>
                <w:sz w:val="14"/>
                <w:szCs w:val="14"/>
                <w:color w:val="auto"/>
              </w:rPr>
              <w:t xml:space="preserve">    Shareholders vote annually for individual directors.</w:t>
            </w:r>
          </w:p>
        </w:tc>
        <w:tc>
          <w:tcPr>
            <w:tcW w:w="1740" w:type="dxa"/>
            <w:vAlign w:val="bottom"/>
            <w:tcBorders>
              <w:right w:val="single" w:sz="8" w:color="595959"/>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595959"/>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595959"/>
            </w:tcBorders>
          </w:tcPr>
          <w:p>
            <w:pPr>
              <w:spacing w:after="0"/>
              <w:rPr>
                <w:sz w:val="15"/>
                <w:szCs w:val="15"/>
                <w:color w:val="auto"/>
              </w:rPr>
            </w:pPr>
          </w:p>
        </w:tc>
        <w:tc>
          <w:tcPr>
            <w:tcW w:w="7440" w:type="dxa"/>
            <w:vAlign w:val="bottom"/>
            <w:tcBorders>
              <w:bottom w:val="single" w:sz="8" w:color="auto"/>
              <w:right w:val="single" w:sz="8" w:color="595959"/>
            </w:tcBorders>
          </w:tcPr>
          <w:p>
            <w:pPr>
              <w:ind w:left="100"/>
              <w:spacing w:after="0"/>
              <w:rPr>
                <w:sz w:val="20"/>
                <w:szCs w:val="20"/>
                <w:color w:val="auto"/>
              </w:rPr>
            </w:pPr>
            <w:r>
              <w:rPr>
                <w:rFonts w:ascii="Arial" w:cs="Arial" w:eastAsia="Arial" w:hAnsi="Arial"/>
                <w:sz w:val="14"/>
                <w:szCs w:val="14"/>
                <w:color w:val="auto"/>
              </w:rPr>
              <w:t>Additional information may be found in the “About Our Directors” section of our management proxy circular.</w:t>
            </w:r>
          </w:p>
        </w:tc>
        <w:tc>
          <w:tcPr>
            <w:tcW w:w="1740" w:type="dxa"/>
            <w:vAlign w:val="bottom"/>
            <w:tcBorders>
              <w:bottom w:val="single" w:sz="8" w:color="auto"/>
              <w:right w:val="single" w:sz="8" w:color="595959"/>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595959"/>
            </w:tcBorders>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 xml:space="preserve">3 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Appointment of</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We are proposing to re-appoint PricewaterhouseCoopers LLP as our independent auditor for another year until the</w:t>
            </w:r>
          </w:p>
        </w:tc>
        <w:tc>
          <w:tcPr>
            <w:tcW w:w="174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595959"/>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Auditor</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2025 annual meeting of shareholders.</w:t>
            </w:r>
          </w:p>
        </w:tc>
        <w:tc>
          <w:tcPr>
            <w:tcW w:w="1740" w:type="dxa"/>
            <w:vAlign w:val="bottom"/>
            <w:tcBorders>
              <w:right w:val="single" w:sz="8" w:color="595959"/>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Borders>
              <w:right w:val="single" w:sz="8" w:color="595959"/>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right w:val="single" w:sz="8" w:color="595959"/>
            </w:tcBorders>
          </w:tcPr>
          <w:p>
            <w:pPr>
              <w:spacing w:after="0"/>
              <w:rPr>
                <w:sz w:val="18"/>
                <w:szCs w:val="18"/>
                <w:color w:val="auto"/>
              </w:rPr>
            </w:pP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Additional information may be found in the “About Our Independent Auditor” section of our management proxy</w:t>
            </w:r>
          </w:p>
        </w:tc>
        <w:tc>
          <w:tcPr>
            <w:tcW w:w="1740" w:type="dxa"/>
            <w:vAlign w:val="bottom"/>
            <w:tcBorders>
              <w:right w:val="single" w:sz="8" w:color="595959"/>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595959"/>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595959"/>
            </w:tcBorders>
          </w:tcPr>
          <w:p>
            <w:pPr>
              <w:spacing w:after="0"/>
              <w:rPr>
                <w:sz w:val="15"/>
                <w:szCs w:val="15"/>
                <w:color w:val="auto"/>
              </w:rPr>
            </w:pPr>
          </w:p>
        </w:tc>
        <w:tc>
          <w:tcPr>
            <w:tcW w:w="7440" w:type="dxa"/>
            <w:vAlign w:val="bottom"/>
            <w:tcBorders>
              <w:bottom w:val="single" w:sz="8" w:color="auto"/>
              <w:right w:val="single" w:sz="8" w:color="595959"/>
            </w:tcBorders>
          </w:tcPr>
          <w:p>
            <w:pPr>
              <w:ind w:left="100"/>
              <w:spacing w:after="0"/>
              <w:rPr>
                <w:sz w:val="20"/>
                <w:szCs w:val="20"/>
                <w:color w:val="auto"/>
              </w:rPr>
            </w:pPr>
            <w:r>
              <w:rPr>
                <w:rFonts w:ascii="Arial" w:cs="Arial" w:eastAsia="Arial" w:hAnsi="Arial"/>
                <w:sz w:val="14"/>
                <w:szCs w:val="14"/>
                <w:color w:val="auto"/>
              </w:rPr>
              <w:t>circular.</w:t>
            </w:r>
          </w:p>
        </w:tc>
        <w:tc>
          <w:tcPr>
            <w:tcW w:w="1740" w:type="dxa"/>
            <w:vAlign w:val="bottom"/>
            <w:tcBorders>
              <w:bottom w:val="single" w:sz="8" w:color="auto"/>
              <w:right w:val="single" w:sz="8" w:color="595959"/>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595959"/>
            </w:tcBorders>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 xml:space="preserve">4 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Advisory</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We will have a non-binding advisory resolution on executive compensation, which is sometimes called “say on pay”.</w:t>
            </w:r>
          </w:p>
        </w:tc>
        <w:tc>
          <w:tcPr>
            <w:tcW w:w="174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595959"/>
            </w:tcBorders>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resolution on</w:t>
            </w:r>
          </w:p>
        </w:tc>
        <w:tc>
          <w:tcPr>
            <w:tcW w:w="7440" w:type="dxa"/>
            <w:vAlign w:val="bottom"/>
            <w:tcBorders>
              <w:right w:val="single" w:sz="8" w:color="595959"/>
            </w:tcBorders>
            <w:vMerge w:val="restart"/>
          </w:tcPr>
          <w:p>
            <w:pPr>
              <w:ind w:left="100"/>
              <w:spacing w:after="0"/>
              <w:rPr>
                <w:sz w:val="20"/>
                <w:szCs w:val="20"/>
                <w:color w:val="auto"/>
              </w:rPr>
            </w:pPr>
            <w:r>
              <w:rPr>
                <w:rFonts w:ascii="Arial" w:cs="Arial" w:eastAsia="Arial" w:hAnsi="Arial"/>
                <w:sz w:val="14"/>
                <w:szCs w:val="14"/>
                <w:color w:val="auto"/>
              </w:rPr>
              <w:t>Additional information may be found in the “Advisory Resolution on Executive Compensation (Say on Pay)” section</w:t>
            </w:r>
          </w:p>
        </w:tc>
        <w:tc>
          <w:tcPr>
            <w:tcW w:w="1740" w:type="dxa"/>
            <w:vAlign w:val="bottom"/>
            <w:tcBorders>
              <w:right w:val="single" w:sz="8" w:color="595959"/>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595959"/>
            </w:tcBorders>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Borders>
              <w:right w:val="single" w:sz="8" w:color="595959"/>
            </w:tcBorders>
            <w:vMerge w:val="restart"/>
          </w:tcPr>
          <w:p>
            <w:pPr>
              <w:ind w:left="40"/>
              <w:spacing w:after="0"/>
              <w:rPr>
                <w:sz w:val="20"/>
                <w:szCs w:val="20"/>
                <w:color w:val="auto"/>
              </w:rPr>
            </w:pPr>
            <w:r>
              <w:rPr>
                <w:rFonts w:ascii="Arial" w:cs="Arial" w:eastAsia="Arial" w:hAnsi="Arial"/>
                <w:sz w:val="14"/>
                <w:szCs w:val="14"/>
                <w:color w:val="auto"/>
              </w:rPr>
              <w:t>executive</w:t>
            </w:r>
          </w:p>
        </w:tc>
        <w:tc>
          <w:tcPr>
            <w:tcW w:w="7440" w:type="dxa"/>
            <w:vAlign w:val="bottom"/>
            <w:tcBorders>
              <w:right w:val="single" w:sz="8" w:color="595959"/>
            </w:tcBorders>
            <w:vMerge w:val="continue"/>
          </w:tcPr>
          <w:p>
            <w:pPr>
              <w:spacing w:after="0"/>
              <w:rPr>
                <w:sz w:val="6"/>
                <w:szCs w:val="6"/>
                <w:color w:val="auto"/>
              </w:rPr>
            </w:pPr>
          </w:p>
        </w:tc>
        <w:tc>
          <w:tcPr>
            <w:tcW w:w="1740" w:type="dxa"/>
            <w:vAlign w:val="bottom"/>
            <w:tcBorders>
              <w:right w:val="single" w:sz="8" w:color="595959"/>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595959"/>
            </w:tcBorders>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Borders>
              <w:right w:val="single" w:sz="8" w:color="595959"/>
            </w:tcBorders>
            <w:vMerge w:val="continue"/>
          </w:tcPr>
          <w:p>
            <w:pPr>
              <w:spacing w:after="0"/>
              <w:rPr>
                <w:sz w:val="6"/>
                <w:szCs w:val="6"/>
                <w:color w:val="auto"/>
              </w:rPr>
            </w:pPr>
          </w:p>
        </w:tc>
        <w:tc>
          <w:tcPr>
            <w:tcW w:w="7440" w:type="dxa"/>
            <w:vAlign w:val="bottom"/>
            <w:tcBorders>
              <w:right w:val="single" w:sz="8" w:color="595959"/>
            </w:tcBorders>
            <w:vMerge w:val="restart"/>
          </w:tcPr>
          <w:p>
            <w:pPr>
              <w:ind w:left="100"/>
              <w:spacing w:after="0"/>
              <w:rPr>
                <w:sz w:val="20"/>
                <w:szCs w:val="20"/>
                <w:color w:val="auto"/>
              </w:rPr>
            </w:pPr>
            <w:r>
              <w:rPr>
                <w:rFonts w:ascii="Arial" w:cs="Arial" w:eastAsia="Arial" w:hAnsi="Arial"/>
                <w:sz w:val="14"/>
                <w:szCs w:val="14"/>
                <w:color w:val="auto"/>
              </w:rPr>
              <w:t>of our management proxy circular.</w:t>
            </w:r>
          </w:p>
        </w:tc>
        <w:tc>
          <w:tcPr>
            <w:tcW w:w="1740" w:type="dxa"/>
            <w:vAlign w:val="bottom"/>
            <w:tcBorders>
              <w:right w:val="single" w:sz="8" w:color="595959"/>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00" w:type="dxa"/>
            <w:vAlign w:val="bottom"/>
            <w:tcBorders>
              <w:right w:val="single" w:sz="8" w:color="595959"/>
            </w:tcBorders>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Borders>
              <w:right w:val="single" w:sz="8" w:color="595959"/>
            </w:tcBorders>
            <w:vMerge w:val="restart"/>
          </w:tcPr>
          <w:p>
            <w:pPr>
              <w:ind w:left="40"/>
              <w:spacing w:after="0"/>
              <w:rPr>
                <w:sz w:val="20"/>
                <w:szCs w:val="20"/>
                <w:color w:val="auto"/>
              </w:rPr>
            </w:pPr>
            <w:r>
              <w:rPr>
                <w:rFonts w:ascii="Arial" w:cs="Arial" w:eastAsia="Arial" w:hAnsi="Arial"/>
                <w:sz w:val="14"/>
                <w:szCs w:val="14"/>
                <w:color w:val="auto"/>
              </w:rPr>
              <w:t>compensation</w:t>
            </w:r>
          </w:p>
        </w:tc>
        <w:tc>
          <w:tcPr>
            <w:tcW w:w="7440" w:type="dxa"/>
            <w:vAlign w:val="bottom"/>
            <w:tcBorders>
              <w:right w:val="single" w:sz="8" w:color="595959"/>
            </w:tcBorders>
            <w:vMerge w:val="continue"/>
          </w:tcPr>
          <w:p>
            <w:pPr>
              <w:spacing w:after="0"/>
              <w:rPr>
                <w:sz w:val="9"/>
                <w:szCs w:val="9"/>
                <w:color w:val="auto"/>
              </w:rPr>
            </w:pPr>
          </w:p>
        </w:tc>
        <w:tc>
          <w:tcPr>
            <w:tcW w:w="1740" w:type="dxa"/>
            <w:vAlign w:val="bottom"/>
            <w:tcBorders>
              <w:right w:val="single" w:sz="8" w:color="595959"/>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0" w:type="dxa"/>
            <w:vAlign w:val="bottom"/>
            <w:tcBorders>
              <w:right w:val="single" w:sz="8" w:color="595959"/>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595959"/>
            </w:tcBorders>
            <w:vMerge w:val="continue"/>
          </w:tcPr>
          <w:p>
            <w:pPr>
              <w:spacing w:after="0"/>
              <w:rPr>
                <w:sz w:val="7"/>
                <w:szCs w:val="7"/>
                <w:color w:val="auto"/>
              </w:rPr>
            </w:pPr>
          </w:p>
        </w:tc>
        <w:tc>
          <w:tcPr>
            <w:tcW w:w="7440" w:type="dxa"/>
            <w:vAlign w:val="bottom"/>
            <w:tcBorders>
              <w:bottom w:val="single" w:sz="8" w:color="auto"/>
              <w:right w:val="single" w:sz="8" w:color="595959"/>
            </w:tcBorders>
          </w:tcPr>
          <w:p>
            <w:pPr>
              <w:spacing w:after="0"/>
              <w:rPr>
                <w:sz w:val="7"/>
                <w:szCs w:val="7"/>
                <w:color w:val="auto"/>
              </w:rPr>
            </w:pPr>
          </w:p>
        </w:tc>
        <w:tc>
          <w:tcPr>
            <w:tcW w:w="1740" w:type="dxa"/>
            <w:vAlign w:val="bottom"/>
            <w:tcBorders>
              <w:bottom w:val="single" w:sz="8" w:color="auto"/>
              <w:right w:val="single" w:sz="8" w:color="595959"/>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00" w:type="dxa"/>
            <w:vAlign w:val="bottom"/>
            <w:tcBorders>
              <w:right w:val="single" w:sz="8" w:color="595959"/>
            </w:tcBorders>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 xml:space="preserve">5 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Other business</w:t>
            </w:r>
          </w:p>
        </w:tc>
        <w:tc>
          <w:tcPr>
            <w:tcW w:w="744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If any other items of business are properly brought before the meeting (or any adjourned or postponed meeting),</w:t>
            </w:r>
          </w:p>
        </w:tc>
        <w:tc>
          <w:tcPr>
            <w:tcW w:w="174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0" w:type="dxa"/>
            <w:vAlign w:val="bottom"/>
            <w:tcBorders>
              <w:right w:val="single" w:sz="8" w:color="595959"/>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595959"/>
            </w:tcBorders>
          </w:tcPr>
          <w:p>
            <w:pPr>
              <w:spacing w:after="0"/>
              <w:rPr>
                <w:sz w:val="14"/>
                <w:szCs w:val="14"/>
                <w:color w:val="auto"/>
              </w:rPr>
            </w:pPr>
          </w:p>
        </w:tc>
        <w:tc>
          <w:tcPr>
            <w:tcW w:w="7440" w:type="dxa"/>
            <w:vAlign w:val="bottom"/>
            <w:tcBorders>
              <w:bottom w:val="single" w:sz="8" w:color="auto"/>
              <w:right w:val="single" w:sz="8" w:color="595959"/>
            </w:tcBorders>
          </w:tcPr>
          <w:p>
            <w:pPr>
              <w:ind w:left="100"/>
              <w:spacing w:after="0"/>
              <w:rPr>
                <w:sz w:val="20"/>
                <w:szCs w:val="20"/>
                <w:color w:val="auto"/>
              </w:rPr>
            </w:pPr>
            <w:r>
              <w:rPr>
                <w:rFonts w:ascii="Arial" w:cs="Arial" w:eastAsia="Arial" w:hAnsi="Arial"/>
                <w:sz w:val="14"/>
                <w:szCs w:val="14"/>
                <w:color w:val="auto"/>
              </w:rPr>
              <w:t>shareholders will be asked to vote. We are not aware of any other items of business at this time.</w:t>
            </w:r>
          </w:p>
        </w:tc>
        <w:tc>
          <w:tcPr>
            <w:tcW w:w="1740" w:type="dxa"/>
            <w:vAlign w:val="bottom"/>
            <w:tcBorders>
              <w:bottom w:val="single" w:sz="8" w:color="auto"/>
              <w:right w:val="single" w:sz="8" w:color="595959"/>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240" w:type="dxa"/>
            <w:vAlign w:val="bottom"/>
            <w:tcBorders>
              <w:bottom w:val="single" w:sz="8" w:color="7F7F7F"/>
            </w:tcBorders>
          </w:tcPr>
          <w:p>
            <w:pPr>
              <w:spacing w:after="0"/>
              <w:rPr>
                <w:sz w:val="16"/>
                <w:szCs w:val="16"/>
                <w:color w:val="auto"/>
              </w:rPr>
            </w:pPr>
          </w:p>
        </w:tc>
        <w:tc>
          <w:tcPr>
            <w:tcW w:w="7440" w:type="dxa"/>
            <w:vAlign w:val="bottom"/>
            <w:tcBorders>
              <w:bottom w:val="single" w:sz="8" w:color="7F7F7F"/>
            </w:tcBorders>
          </w:tcPr>
          <w:p>
            <w:pPr>
              <w:spacing w:after="0"/>
              <w:rPr>
                <w:sz w:val="16"/>
                <w:szCs w:val="16"/>
                <w:color w:val="auto"/>
              </w:rPr>
            </w:pPr>
          </w:p>
        </w:tc>
        <w:tc>
          <w:tcPr>
            <w:tcW w:w="1780" w:type="dxa"/>
            <w:vAlign w:val="bottom"/>
            <w:tcBorders>
              <w:bottom w:val="single" w:sz="8" w:color="7F7F7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780" w:type="dxa"/>
            <w:vAlign w:val="bottom"/>
            <w:gridSpan w:val="2"/>
          </w:tcPr>
          <w:p>
            <w:pPr>
              <w:ind w:left="1360"/>
              <w:spacing w:after="0"/>
              <w:rPr>
                <w:sz w:val="20"/>
                <w:szCs w:val="20"/>
                <w:color w:val="auto"/>
              </w:rPr>
            </w:pPr>
            <w:r>
              <w:rPr>
                <w:rFonts w:ascii="Arial" w:cs="Arial" w:eastAsia="Arial" w:hAnsi="Arial"/>
                <w:sz w:val="13"/>
                <w:szCs w:val="13"/>
                <w:color w:val="auto"/>
                <w:w w:val="96"/>
              </w:rPr>
              <w:t>Page 1</w:t>
            </w:r>
          </w:p>
        </w:tc>
        <w:tc>
          <w:tcPr>
            <w:tcW w:w="0" w:type="dxa"/>
            <w:vAlign w:val="bottom"/>
          </w:tcPr>
          <w:p>
            <w:pPr>
              <w:spacing w:after="0"/>
              <w:rPr>
                <w:sz w:val="1"/>
                <w:szCs w:val="1"/>
                <w:color w:val="auto"/>
              </w:rPr>
            </w:pPr>
          </w:p>
        </w:tc>
      </w:tr>
    </w:tbl>
    <w:p>
      <w:pPr>
        <w:sectPr>
          <w:pgSz w:w="11900" w:h="16838" w:orient="portrait"/>
          <w:cols w:equalWidth="0" w:num="1">
            <w:col w:w="10920"/>
          </w:cols>
          <w:pgMar w:left="480" w:top="121" w:right="49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B94831"/>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SHAREHOLDERS ARE REMINDED TO VIEW OUR PROXY MATERIALS PRIOR TO VOTING.</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B94831"/>
        </w:rPr>
        <w:t>WEBSITES WHERE PROXY MATERIALS ARE POSTED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You can find the management proxy circular and other proxy materials at the following websites:</w:t>
      </w:r>
    </w:p>
    <w:p>
      <w:pPr>
        <w:spacing w:after="0" w:line="106" w:lineRule="exact"/>
        <w:rPr>
          <w:sz w:val="20"/>
          <w:szCs w:val="20"/>
          <w:color w:val="auto"/>
        </w:rPr>
      </w:pPr>
    </w:p>
    <w:p>
      <w:pPr>
        <w:ind w:left="1980"/>
        <w:spacing w:after="0"/>
        <w:rPr>
          <w:sz w:val="20"/>
          <w:szCs w:val="20"/>
          <w:color w:val="auto"/>
        </w:rPr>
      </w:pPr>
      <w:r>
        <w:rPr>
          <w:rFonts w:ascii="Arial" w:cs="Arial" w:eastAsia="Arial" w:hAnsi="Arial"/>
          <w:sz w:val="18"/>
          <w:szCs w:val="18"/>
          <w:color w:val="B94831"/>
        </w:rPr>
        <w:t>www.thomsonreuters.com/AGM/            www.sedarplus.ca            www.sec.gov</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B94831"/>
        </w:rPr>
        <w:t>REGISTERED AND NON-REGISTERED/BENEFICIAL HOLDERS</w:t>
      </w:r>
    </w:p>
    <w:p>
      <w:pPr>
        <w:spacing w:after="0" w:line="110"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If you’d like to obtain paper copies of the proxy materials, you should first determine whether you are a registered or non-registered/beneficial holder of our common shares. Most of our shareholders are non-registered/beneficial holders.</w:t>
      </w:r>
    </w:p>
    <w:p>
      <w:pPr>
        <w:spacing w:after="0" w:line="67" w:lineRule="exact"/>
        <w:rPr>
          <w:sz w:val="20"/>
          <w:szCs w:val="20"/>
          <w:color w:val="auto"/>
        </w:rPr>
      </w:pPr>
    </w:p>
    <w:p>
      <w:pPr>
        <w:ind w:left="640" w:right="100" w:hanging="312"/>
        <w:spacing w:after="0" w:line="207" w:lineRule="auto"/>
        <w:tabs>
          <w:tab w:leader="none" w:pos="640" w:val="left"/>
        </w:tabs>
        <w:numPr>
          <w:ilvl w:val="0"/>
          <w:numId w:val="61"/>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You are a registered shareholder if your name appears directly on your share certificates, or if you hold your common shares in book-entry form through the direct registration system (DRS) on the records of our transfer agent, Computershare Trust Company of Canada.</w:t>
      </w:r>
    </w:p>
    <w:p>
      <w:pPr>
        <w:spacing w:after="0" w:line="98" w:lineRule="exact"/>
        <w:rPr>
          <w:rFonts w:ascii="Times New Roman" w:cs="Times New Roman" w:eastAsia="Times New Roman" w:hAnsi="Times New Roman"/>
          <w:sz w:val="24"/>
          <w:szCs w:val="24"/>
          <w:color w:val="auto"/>
          <w:vertAlign w:val="superscript"/>
        </w:rPr>
      </w:pPr>
    </w:p>
    <w:p>
      <w:pPr>
        <w:ind w:left="640" w:right="280" w:hanging="312"/>
        <w:spacing w:after="0" w:line="207" w:lineRule="auto"/>
        <w:tabs>
          <w:tab w:leader="none" w:pos="640" w:val="left"/>
        </w:tabs>
        <w:numPr>
          <w:ilvl w:val="0"/>
          <w:numId w:val="61"/>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You are a non-registered shareholder if you own shares indirectly and the shares are registered in the name of an intermediary. For example, you are a non-registered shareholder if:</w:t>
      </w:r>
    </w:p>
    <w:p>
      <w:pPr>
        <w:spacing w:after="0" w:line="98" w:lineRule="exact"/>
        <w:rPr>
          <w:rFonts w:ascii="Times New Roman" w:cs="Times New Roman" w:eastAsia="Times New Roman" w:hAnsi="Times New Roman"/>
          <w:sz w:val="24"/>
          <w:szCs w:val="24"/>
          <w:color w:val="auto"/>
          <w:vertAlign w:val="superscript"/>
        </w:rPr>
      </w:pPr>
    </w:p>
    <w:p>
      <w:pPr>
        <w:ind w:left="1300" w:hanging="316"/>
        <w:spacing w:after="0"/>
        <w:tabs>
          <w:tab w:leader="none" w:pos="1300" w:val="left"/>
        </w:tabs>
        <w:numPr>
          <w:ilvl w:val="1"/>
          <w:numId w:val="61"/>
        </w:numPr>
        <w:rPr>
          <w:rFonts w:ascii="Wingdings" w:cs="Wingdings" w:eastAsia="Wingdings" w:hAnsi="Wingdings"/>
          <w:sz w:val="12"/>
          <w:szCs w:val="12"/>
          <w:b w:val="1"/>
          <w:bCs w:val="1"/>
          <w:color w:val="auto"/>
        </w:rPr>
      </w:pPr>
      <w:r>
        <w:rPr>
          <w:rFonts w:ascii="Arial" w:cs="Arial" w:eastAsia="Arial" w:hAnsi="Arial"/>
          <w:sz w:val="16"/>
          <w:szCs w:val="16"/>
          <w:color w:val="auto"/>
        </w:rPr>
        <w:t>your common shares are held in the name of a bank, trust company, securities broker, trustee or custodian; or</w:t>
      </w:r>
    </w:p>
    <w:p>
      <w:pPr>
        <w:spacing w:after="0" w:line="123" w:lineRule="exact"/>
        <w:rPr>
          <w:rFonts w:ascii="Wingdings" w:cs="Wingdings" w:eastAsia="Wingdings" w:hAnsi="Wingdings"/>
          <w:sz w:val="12"/>
          <w:szCs w:val="12"/>
          <w:b w:val="1"/>
          <w:bCs w:val="1"/>
          <w:color w:val="auto"/>
        </w:rPr>
      </w:pPr>
    </w:p>
    <w:p>
      <w:pPr>
        <w:ind w:left="1300" w:right="340" w:hanging="316"/>
        <w:spacing w:after="0" w:line="279" w:lineRule="auto"/>
        <w:tabs>
          <w:tab w:leader="none" w:pos="1300" w:val="left"/>
        </w:tabs>
        <w:numPr>
          <w:ilvl w:val="1"/>
          <w:numId w:val="61"/>
        </w:numPr>
        <w:rPr>
          <w:rFonts w:ascii="Wingdings" w:cs="Wingdings" w:eastAsia="Wingdings" w:hAnsi="Wingdings"/>
          <w:sz w:val="12"/>
          <w:szCs w:val="12"/>
          <w:b w:val="1"/>
          <w:bCs w:val="1"/>
          <w:color w:val="auto"/>
        </w:rPr>
      </w:pPr>
      <w:r>
        <w:rPr>
          <w:rFonts w:ascii="Arial" w:cs="Arial" w:eastAsia="Arial" w:hAnsi="Arial"/>
          <w:sz w:val="16"/>
          <w:szCs w:val="16"/>
          <w:color w:val="auto"/>
        </w:rPr>
        <w:t>you hold Depositary Interests representing our common shares which are held in the name of Computershare Company Nominees Limited as nominee and custodian.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B94831"/>
        </w:rPr>
        <w:t>HOW TO OBTAIN PAPER COPIES OF THE PROXY MATERIALS</w:t>
      </w:r>
    </w:p>
    <w:p>
      <w:pPr>
        <w:spacing w:after="0" w:line="11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u w:val="single" w:color="auto"/>
          <w:color w:val="auto"/>
        </w:rPr>
        <w:t>Non-registered/beneficial shareholders</w:t>
      </w:r>
      <w:r>
        <w:rPr>
          <w:rFonts w:ascii="Arial" w:cs="Arial" w:eastAsia="Arial" w:hAnsi="Arial"/>
          <w:sz w:val="16"/>
          <w:szCs w:val="16"/>
          <w:color w:val="auto"/>
        </w:rPr>
        <w:t xml:space="preserve"> may request that paper copies of the proxy materials be sent to them by mail at no cost. Requests may be made up to one year from the date that our management proxy circular was filed on SEDAR+ by going to </w:t>
      </w:r>
      <w:r>
        <w:rPr>
          <w:rFonts w:ascii="Arial" w:cs="Arial" w:eastAsia="Arial" w:hAnsi="Arial"/>
          <w:sz w:val="16"/>
          <w:szCs w:val="16"/>
          <w:color w:val="B94831"/>
        </w:rPr>
        <w:t>www.proxyvote.com</w:t>
      </w:r>
      <w:r>
        <w:rPr>
          <w:rFonts w:ascii="Arial" w:cs="Arial" w:eastAsia="Arial" w:hAnsi="Arial"/>
          <w:sz w:val="16"/>
          <w:szCs w:val="16"/>
          <w:color w:val="auto"/>
        </w:rPr>
        <w:t xml:space="preserve"> and entering the Control Number located on your voting instruction form and following the instructions provided. Alternatively, at any time prior to the meeting, you may submit a request by phone by calling 1.877.907.7643, 1.303.562.9305 (English) or 1.303.562.9306 (French) and then entering your Control Number. Requests should be received at least five business days in advance of the date and time set out in your voting instruction form as a voting deadline if you’d like to receive the proxy materials in advance of the proxy voting deadline and the meeting date.</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6"/>
          <w:szCs w:val="16"/>
          <w:u w:val="single" w:color="auto"/>
          <w:color w:val="auto"/>
        </w:rPr>
        <w:t>Registered shareholders</w:t>
      </w:r>
      <w:r>
        <w:rPr>
          <w:rFonts w:ascii="Arial" w:cs="Arial" w:eastAsia="Arial" w:hAnsi="Arial"/>
          <w:sz w:val="16"/>
          <w:szCs w:val="16"/>
          <w:color w:val="auto"/>
        </w:rPr>
        <w:t xml:space="preserve"> may request that paper copies of the proxy materials be sent to them by mail at no cost. At any time prior to the meeting, you may submit a request by phone by calling 1.866.962.0498 or 1.514.982.8716 (Depositary Interest holders can call +44 (0) 370.707.1804) and entering the Control Number reflected on your proxy form. Requests should be received at least five business days in advance of the date and time set out in your proxy form as a voting deadline if you’d like to receive the proxy materials in advance of the proxy voting deadline and the meeting date. Following the meeting, requests may also be made up to one year from the date that our management proxy circular was filed on SEDAR+ by contacting our Investor Relations department by e-mail at </w:t>
      </w:r>
      <w:r>
        <w:rPr>
          <w:rFonts w:ascii="Arial" w:cs="Arial" w:eastAsia="Arial" w:hAnsi="Arial"/>
          <w:sz w:val="16"/>
          <w:szCs w:val="16"/>
          <w:color w:val="B94831"/>
        </w:rPr>
        <w:t>investor.relations@thomsonreuters.com</w:t>
      </w:r>
      <w:r>
        <w:rPr>
          <w:rFonts w:ascii="Arial" w:cs="Arial" w:eastAsia="Arial" w:hAnsi="Arial"/>
          <w:sz w:val="16"/>
          <w:szCs w:val="16"/>
          <w:color w:val="auto"/>
        </w:rPr>
        <w:t xml:space="preserve"> or by phone at 1.332.219.1046.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B94831"/>
        </w:rPr>
        <w:t>VOTING</w:t>
      </w:r>
    </w:p>
    <w:p>
      <w:pPr>
        <w:spacing w:after="0" w:line="110"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u w:val="single" w:color="auto"/>
          <w:color w:val="auto"/>
        </w:rPr>
        <w:t>Non-registered/beneficial shareholders</w:t>
      </w:r>
      <w:r>
        <w:rPr>
          <w:rFonts w:ascii="Arial" w:cs="Arial" w:eastAsia="Arial" w:hAnsi="Arial"/>
          <w:sz w:val="16"/>
          <w:szCs w:val="16"/>
          <w:color w:val="auto"/>
        </w:rPr>
        <w:t xml:space="preserve"> should vote using the methods reflected on your voting instruction form. Your proxy or vote must be received by the proxy deadline noted on your voting instruction form.</w:t>
      </w:r>
    </w:p>
    <w:p>
      <w:pPr>
        <w:spacing w:after="0" w:line="54"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u w:val="single" w:color="auto"/>
          <w:color w:val="auto"/>
        </w:rPr>
        <w:t>Registered shareholders</w:t>
      </w:r>
      <w:r>
        <w:rPr>
          <w:rFonts w:ascii="Arial" w:cs="Arial" w:eastAsia="Arial" w:hAnsi="Arial"/>
          <w:sz w:val="16"/>
          <w:szCs w:val="16"/>
          <w:color w:val="auto"/>
        </w:rPr>
        <w:t xml:space="preserve"> should vote using the methods reflected on your proxy form. Our transfer agent, Computershare Trust Company of Canada, must receive your proxy or voting instructions by 5:00 p.m. (Eastern Daylight Time) on June 3, 2024.</w:t>
      </w:r>
    </w:p>
    <w:p>
      <w:pPr>
        <w:spacing w:after="0" w:line="5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For more information on how to attend, participate or vote at the meeting, how to deposit a proxy and how to appoint and register a proxyholder, please refer to the “Voting Information and How to Attend” section of the management proxy circular.</w:t>
      </w:r>
    </w:p>
    <w:p>
      <w:pPr>
        <w:spacing w:after="0" w:line="5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Shareholders with questions about notice-and-access may call Computershare Trust Company of Canada at 1.866.964.0492 (toll free in Canada and the United States) or 1.514.982.8714.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9297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ectPr>
          <w:pgSz w:w="11900" w:h="16838" w:orient="portrait"/>
          <w:cols w:equalWidth="0" w:num="1">
            <w:col w:w="10920"/>
          </w:cols>
          <w:pgMar w:left="480" w:top="272" w:right="4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THOMSON REUTERS</w:t>
      </w:r>
    </w:p>
    <w:p>
      <w:pPr>
        <w:spacing w:after="0" w:line="20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31"/>
          <w:szCs w:val="31"/>
          <w:b w:val="1"/>
          <w:bCs w:val="1"/>
          <w:color w:val="auto"/>
        </w:rPr>
        <w:t>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EFFECTIVE</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18"/>
          <w:szCs w:val="18"/>
          <w:b w:val="1"/>
          <w:bCs w:val="1"/>
          <w:color w:val="auto"/>
        </w:rPr>
        <w:t xml:space="preserve"> 6, 2024</w:t>
      </w:r>
    </w:p>
    <w:p>
      <w:pPr>
        <w:sectPr>
          <w:pgSz w:w="11900" w:h="16838" w:orient="portrait"/>
          <w:cols w:equalWidth="0" w:num="1">
            <w:col w:w="9960"/>
          </w:cols>
          <w:pgMar w:left="1440" w:top="117" w:right="4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828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r>
      <w:tr>
        <w:trPr>
          <w:trHeight w:val="43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COMPOSITION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RESPONSIBILITIES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SHAREHOLDER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DEPUTY CHAIRMAN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SECRETARY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COMMITTEES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AND COMMITTEE MEETINGS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COMPENSATION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 OF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OWNERSHIP GUIDELINES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ORIENTATION AND CONTINUING EDUCATION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ACCESS TO MANAGEMENT AND ADVISORS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ASSESSMENTS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PROHIBITION ON PERSONAL LOANS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CONFLICTS OF INTEREST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CONTACT THE BOARD AND ITS COMMITTEES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jc w:val="right"/>
        <w:spacing w:after="0"/>
        <w:rPr>
          <w:sz w:val="20"/>
          <w:szCs w:val="20"/>
          <w:color w:val="auto"/>
        </w:rPr>
        <w:sectPr>
          <w:pgSz w:w="11900" w:h="16838" w:orient="portrait"/>
          <w:cols w:equalWidth="0" w:num="1">
            <w:col w:w="10860"/>
          </w:cols>
          <w:pgMar w:left="480" w:top="264"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126" w:name="page127"/>
    <w:bookmarkEnd w:id="126"/>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THOMSON REUTERS</w:t>
      </w:r>
    </w:p>
    <w:p>
      <w:pPr>
        <w:spacing w:after="0" w:line="22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48" w:lineRule="exact"/>
        <w:rPr>
          <w:sz w:val="20"/>
          <w:szCs w:val="20"/>
          <w:color w:val="auto"/>
        </w:rPr>
      </w:pPr>
    </w:p>
    <w:p>
      <w:pPr>
        <w:ind w:left="433" w:hanging="433"/>
        <w:spacing w:after="0"/>
        <w:tabs>
          <w:tab w:leader="none" w:pos="43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b w:val="1"/>
          <w:bCs w:val="1"/>
          <w:color w:val="auto"/>
        </w:rPr>
      </w:pPr>
    </w:p>
    <w:p>
      <w:pPr>
        <w:ind w:left="43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(the “Board”) of Thomson Reuters Corporation (the “Corporation”) believes that sound corporate governance practices are essential to the well-being of the Corporation and its subsidiaries (collectively, “Thomson Reuters”) and the promotion and protection of its shareholders’ interests. The Board oversees the functioning of Thomson Reuters governance system, in part, through the work of the Corporate Governance Committee.</w:t>
      </w:r>
    </w:p>
    <w:p>
      <w:pPr>
        <w:spacing w:after="0" w:line="72" w:lineRule="exact"/>
        <w:rPr>
          <w:rFonts w:ascii="Times New Roman" w:cs="Times New Roman" w:eastAsia="Times New Roman" w:hAnsi="Times New Roman"/>
          <w:sz w:val="18"/>
          <w:szCs w:val="18"/>
          <w:b w:val="1"/>
          <w:bCs w:val="1"/>
          <w:color w:val="auto"/>
        </w:rPr>
      </w:pPr>
    </w:p>
    <w:p>
      <w:pPr>
        <w:ind w:left="433" w:right="1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adopted these guidelines, which reflect Thomson Reuters commitment to high standards of corporate governance, to assist the Board in supervising the management of the business and affairs of Thomson Reuters as required under applicable law and stock exchange rules and requirements.</w:t>
      </w:r>
    </w:p>
    <w:p>
      <w:pPr>
        <w:spacing w:after="0" w:line="68" w:lineRule="exact"/>
        <w:rPr>
          <w:rFonts w:ascii="Times New Roman" w:cs="Times New Roman" w:eastAsia="Times New Roman" w:hAnsi="Times New Roman"/>
          <w:sz w:val="18"/>
          <w:szCs w:val="18"/>
          <w:b w:val="1"/>
          <w:bCs w:val="1"/>
          <w:color w:val="auto"/>
        </w:rPr>
      </w:pPr>
    </w:p>
    <w:p>
      <w:pPr>
        <w:ind w:left="433" w:right="4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fundamental responsibility of the Board is to supervise the management of the business and affairs of Thomson Reuters with a view to sustainable value creation for all shareholders. The Board seeks to ensure fair reporting, including financial reporting, to shareholders of the Corporation and other interested persons as well as ethical and legal corporate conduct by maintaining an appropriate system of corporate governance, internal control over financial reporting and disclosure controls and procedures.</w:t>
      </w:r>
    </w:p>
    <w:p>
      <w:pPr>
        <w:spacing w:after="0" w:line="72" w:lineRule="exact"/>
        <w:rPr>
          <w:rFonts w:ascii="Times New Roman" w:cs="Times New Roman" w:eastAsia="Times New Roman" w:hAnsi="Times New Roman"/>
          <w:sz w:val="18"/>
          <w:szCs w:val="18"/>
          <w:b w:val="1"/>
          <w:bCs w:val="1"/>
          <w:color w:val="auto"/>
        </w:rPr>
      </w:pPr>
    </w:p>
    <w:p>
      <w:pPr>
        <w:jc w:val="both"/>
        <w:ind w:left="433" w:right="100"/>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Board believes that Thomson Reuters is best served by a board of directors that functions independently of management and that is informed and engaged. The Board also values the benefits that diversity can bring to the boardroom and throughout Thomson Reuters. Diversity promotes the inclusion of different perspectives and ideas, mitigates against group think and improves oversight, decision-making and governance.</w:t>
      </w:r>
    </w:p>
    <w:p>
      <w:pPr>
        <w:spacing w:after="0" w:line="52" w:lineRule="exact"/>
        <w:rPr>
          <w:rFonts w:ascii="Times New Roman" w:cs="Times New Roman" w:eastAsia="Times New Roman" w:hAnsi="Times New Roman"/>
          <w:sz w:val="18"/>
          <w:szCs w:val="18"/>
          <w:b w:val="1"/>
          <w:bCs w:val="1"/>
          <w:color w:val="auto"/>
        </w:rPr>
      </w:pPr>
    </w:p>
    <w:p>
      <w:pPr>
        <w:ind w:left="433" w:right="5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Corporate Governance Committee will review these guidelines annually, or more often if warranted, and recommend to the Board such changes as it determines necessary and appropriate in light of Thomson Reuters needs and legal, regulatory and other developments.</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COMPOSITION</w:t>
      </w:r>
    </w:p>
    <w:p>
      <w:pPr>
        <w:spacing w:after="0" w:line="127"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Membership Criteria and Diversity Policy</w:t>
      </w:r>
    </w:p>
    <w:p>
      <w:pPr>
        <w:spacing w:after="0" w:line="117" w:lineRule="exact"/>
        <w:rPr>
          <w:rFonts w:ascii="Times New Roman" w:cs="Times New Roman" w:eastAsia="Times New Roman" w:hAnsi="Times New Roman"/>
          <w:sz w:val="18"/>
          <w:szCs w:val="18"/>
          <w:color w:val="auto"/>
        </w:rPr>
      </w:pPr>
    </w:p>
    <w:p>
      <w:pPr>
        <w:jc w:val="both"/>
        <w:ind w:left="973" w:right="1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Corporate Governance Committee is responsible for assessing the need for new directors, the preferred experience and qualifications for new directors, and the skills and competencies that the Board, its committees, individual directors and candidates should possess. The Corporate Governance Committee recommends candidates for initial Board membership and Board members for renomination.</w:t>
      </w:r>
    </w:p>
    <w:p>
      <w:pPr>
        <w:spacing w:after="0" w:line="1" w:lineRule="exact"/>
        <w:rPr>
          <w:rFonts w:ascii="Times New Roman" w:cs="Times New Roman" w:eastAsia="Times New Roman" w:hAnsi="Times New Roman"/>
          <w:sz w:val="18"/>
          <w:szCs w:val="18"/>
          <w:color w:val="auto"/>
        </w:rPr>
      </w:pPr>
    </w:p>
    <w:p>
      <w:pPr>
        <w:ind w:left="973"/>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are based on character, integrity, judgment, skills, competencies, business experience, specific areas of expertise, record of achievement and any other attributes which would enhance the Board and overall</w:t>
      </w:r>
    </w:p>
    <w:p>
      <w:pPr>
        <w:sectPr>
          <w:pgSz w:w="11900" w:h="16838" w:orient="portrait"/>
          <w:cols w:equalWidth="0" w:num="1">
            <w:col w:w="10893"/>
          </w:cols>
          <w:pgMar w:left="487" w:top="264" w:right="519" w:bottom="1440" w:gutter="0" w:footer="0" w:header="0"/>
        </w:sectPr>
      </w:pPr>
    </w:p>
    <w:bookmarkStart w:id="127" w:name="page128"/>
    <w:bookmarkEnd w:id="127"/>
    <w:p>
      <w:pPr>
        <w:ind w:left="545"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management of the business and affairs of Thomson Reuters. Diversity is among these other attributes as the Corporate Governance Committee believes that having a diverse Board enhances Board operations. While the Corporate Governance Committee focuses on finding the best qualified candidates for the Board, a nominee’s diversity may be considered favorably in his or her assessment. For purposes of these guidelines, diversity includes business experience, thought, style, culture, gender, geographic background, race, visible minorities, national origin, Indigenous persons, religion, gender identity and expression, sexual orientation, disability, age and other personal characteristics.</w:t>
      </w:r>
    </w:p>
    <w:p>
      <w:pPr>
        <w:spacing w:after="0" w:line="77" w:lineRule="exact"/>
        <w:rPr>
          <w:sz w:val="20"/>
          <w:szCs w:val="20"/>
          <w:color w:val="auto"/>
        </w:rPr>
      </w:pPr>
    </w:p>
    <w:p>
      <w:pPr>
        <w:ind w:left="545" w:right="40"/>
        <w:spacing w:after="0" w:line="278" w:lineRule="auto"/>
        <w:rPr>
          <w:sz w:val="20"/>
          <w:szCs w:val="20"/>
          <w:color w:val="auto"/>
        </w:rPr>
      </w:pPr>
      <w:r>
        <w:rPr>
          <w:rFonts w:ascii="Times New Roman" w:cs="Times New Roman" w:eastAsia="Times New Roman" w:hAnsi="Times New Roman"/>
          <w:sz w:val="18"/>
          <w:szCs w:val="18"/>
          <w:color w:val="auto"/>
        </w:rPr>
        <w:t>In identifying candidates for election or re-election, the Board and the Corporate Governance Committee specifically consider the level of representation of women on the Board. The Board has a goal that women represent at least 30% of the Board’s directors.</w:t>
      </w:r>
    </w:p>
    <w:p>
      <w:pPr>
        <w:spacing w:after="0" w:line="55" w:lineRule="exact"/>
        <w:rPr>
          <w:sz w:val="20"/>
          <w:szCs w:val="20"/>
          <w:color w:val="auto"/>
        </w:rPr>
      </w:pPr>
    </w:p>
    <w:p>
      <w:pPr>
        <w:ind w:left="545" w:right="600"/>
        <w:spacing w:after="0" w:line="278" w:lineRule="auto"/>
        <w:rPr>
          <w:sz w:val="20"/>
          <w:szCs w:val="20"/>
          <w:color w:val="auto"/>
        </w:rPr>
      </w:pPr>
      <w:r>
        <w:rPr>
          <w:rFonts w:ascii="Times New Roman" w:cs="Times New Roman" w:eastAsia="Times New Roman" w:hAnsi="Times New Roman"/>
          <w:sz w:val="18"/>
          <w:szCs w:val="18"/>
          <w:color w:val="auto"/>
        </w:rPr>
        <w:t>Each director must have an understanding of Thomson Reuters principal operational and financial objectives, plans and strategies, financial position and performance and the performance of Thomson Reuters relative to its principal competitors.</w:t>
      </w:r>
    </w:p>
    <w:p>
      <w:pPr>
        <w:spacing w:after="0" w:line="55" w:lineRule="exact"/>
        <w:rPr>
          <w:sz w:val="20"/>
          <w:szCs w:val="20"/>
          <w:color w:val="auto"/>
        </w:rPr>
      </w:pPr>
    </w:p>
    <w:p>
      <w:pPr>
        <w:jc w:val="both"/>
        <w:ind w:left="545" w:right="200"/>
        <w:spacing w:after="0" w:line="263" w:lineRule="auto"/>
        <w:rPr>
          <w:sz w:val="20"/>
          <w:szCs w:val="20"/>
          <w:color w:val="auto"/>
        </w:rPr>
      </w:pPr>
      <w:r>
        <w:rPr>
          <w:rFonts w:ascii="Times New Roman" w:cs="Times New Roman" w:eastAsia="Times New Roman" w:hAnsi="Times New Roman"/>
          <w:sz w:val="18"/>
          <w:szCs w:val="18"/>
          <w:color w:val="auto"/>
        </w:rPr>
        <w:t>Directors must be able to dedicate sufficient time to carry out their duties and not assume responsibilities that would materially interfere with or be incompatible with Board membership. Directors who change their principal occupation are expected to advise the Corporate Governance Committee and, if determined appropriate by the Corporate Governance Committee, resign from the Board.</w:t>
      </w:r>
    </w:p>
    <w:p>
      <w:pPr>
        <w:spacing w:after="0" w:line="319" w:lineRule="exact"/>
        <w:rPr>
          <w:sz w:val="20"/>
          <w:szCs w:val="20"/>
          <w:color w:val="auto"/>
        </w:rPr>
      </w:pPr>
    </w:p>
    <w:p>
      <w:pPr>
        <w:ind w:left="545" w:hanging="545"/>
        <w:spacing w:after="0"/>
        <w:tabs>
          <w:tab w:leader="none" w:pos="5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 Independence</w:t>
      </w:r>
    </w:p>
    <w:p>
      <w:pPr>
        <w:spacing w:after="0" w:line="117" w:lineRule="exact"/>
        <w:rPr>
          <w:rFonts w:ascii="Times New Roman" w:cs="Times New Roman" w:eastAsia="Times New Roman" w:hAnsi="Times New Roman"/>
          <w:sz w:val="18"/>
          <w:szCs w:val="18"/>
          <w:color w:val="auto"/>
        </w:rPr>
      </w:pPr>
    </w:p>
    <w:p>
      <w:pPr>
        <w:ind w:left="545"/>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composition and procedures are designed to permit it to function independently from management and to promote and protect the interests of all shareholders. The Board believes that, except during periods of temporary vacancies, at least a majority of its members should be independent.</w:t>
      </w:r>
    </w:p>
    <w:p>
      <w:pPr>
        <w:spacing w:after="0" w:line="68" w:lineRule="exact"/>
        <w:rPr>
          <w:rFonts w:ascii="Times New Roman" w:cs="Times New Roman" w:eastAsia="Times New Roman" w:hAnsi="Times New Roman"/>
          <w:sz w:val="18"/>
          <w:szCs w:val="18"/>
          <w:color w:val="auto"/>
        </w:rPr>
      </w:pPr>
    </w:p>
    <w:p>
      <w:pPr>
        <w:ind w:left="545"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determines whether a director is independent. In determining independence, the Board relies on the applicable definitions in National Instrument 58-101 — </w:t>
      </w:r>
      <w:r>
        <w:rPr>
          <w:rFonts w:ascii="Times New Roman" w:cs="Times New Roman" w:eastAsia="Times New Roman" w:hAnsi="Times New Roman"/>
          <w:sz w:val="18"/>
          <w:szCs w:val="18"/>
          <w:i w:val="1"/>
          <w:iCs w:val="1"/>
          <w:color w:val="auto"/>
        </w:rPr>
        <w:t>Disclosure of Corporate Governance Practices</w:t>
      </w:r>
      <w:r>
        <w:rPr>
          <w:rFonts w:ascii="Times New Roman" w:cs="Times New Roman" w:eastAsia="Times New Roman" w:hAnsi="Times New Roman"/>
          <w:sz w:val="18"/>
          <w:szCs w:val="18"/>
          <w:color w:val="auto"/>
        </w:rPr>
        <w:t xml:space="preserve"> and the New York Stock Exchange (“NYSE”) listing standards. Generally, an independent director means a director who has been affirmatively determined by the Board to have no “material relationship” with Thomson Reuters. In determining the independence of directors, the Board considers all relevant facts and circumstances, including that in the normal course of business, Thomson Reuters provides services to, and receives services from, companies that some of the independent directors are affiliated with.</w:t>
      </w:r>
    </w:p>
    <w:p>
      <w:pPr>
        <w:spacing w:after="0" w:line="76" w:lineRule="exact"/>
        <w:rPr>
          <w:rFonts w:ascii="Times New Roman" w:cs="Times New Roman" w:eastAsia="Times New Roman" w:hAnsi="Times New Roman"/>
          <w:sz w:val="18"/>
          <w:szCs w:val="18"/>
          <w:color w:val="auto"/>
        </w:rPr>
      </w:pPr>
    </w:p>
    <w:p>
      <w:pPr>
        <w:ind w:left="545" w:right="5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independence of all directors on an annual basis and publicly discloses its determinations. Directors have an ongoing obligation to inform the Board of any material changes in their circumstances or relationships that may affect the Board’s determination as to their independence.</w:t>
      </w:r>
    </w:p>
    <w:p>
      <w:pPr>
        <w:spacing w:after="0" w:line="109"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445"/>
          </w:cols>
          <w:pgMar w:left="915" w:top="268" w:right="539" w:bottom="1440" w:gutter="0" w:footer="0" w:header="0"/>
        </w:sectPr>
      </w:pPr>
    </w:p>
    <w:bookmarkStart w:id="128" w:name="page129"/>
    <w:bookmarkEnd w:id="128"/>
    <w:p>
      <w:pPr>
        <w:ind w:left="545" w:hanging="545"/>
        <w:spacing w:after="0"/>
        <w:tabs>
          <w:tab w:leader="none" w:pos="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Board Size</w:t>
      </w:r>
    </w:p>
    <w:p>
      <w:pPr>
        <w:spacing w:after="0" w:line="117" w:lineRule="exact"/>
        <w:rPr>
          <w:rFonts w:ascii="Times New Roman" w:cs="Times New Roman" w:eastAsia="Times New Roman" w:hAnsi="Times New Roman"/>
          <w:sz w:val="18"/>
          <w:szCs w:val="18"/>
          <w:color w:val="auto"/>
        </w:rPr>
      </w:pPr>
    </w:p>
    <w:p>
      <w:pPr>
        <w:ind w:left="545"/>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Articles provide that the Board shall consist of no less than five members and no more than 20 members. The size of the Board for effective decision-making and committee work may vary from time to time as appropriate, including because of or in anticipation of retirements from the Board. The Corporate Governance Committee will make recommendations to the Board periodically regarding the size of the Board.</w:t>
      </w:r>
    </w:p>
    <w:p>
      <w:pPr>
        <w:spacing w:after="0" w:line="322"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117" w:lineRule="exact"/>
        <w:rPr>
          <w:rFonts w:ascii="Times New Roman" w:cs="Times New Roman" w:eastAsia="Times New Roman" w:hAnsi="Times New Roman"/>
          <w:sz w:val="18"/>
          <w:szCs w:val="18"/>
          <w:color w:val="auto"/>
        </w:rPr>
      </w:pPr>
    </w:p>
    <w:p>
      <w:pPr>
        <w:ind w:left="545" w:right="4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are elected or appointed until the next annual meeting of shareholders or until they resign or their successor is elected or appointed.</w:t>
      </w:r>
    </w:p>
    <w:p>
      <w:pPr>
        <w:spacing w:after="0" w:line="55" w:lineRule="exact"/>
        <w:rPr>
          <w:rFonts w:ascii="Times New Roman" w:cs="Times New Roman" w:eastAsia="Times New Roman" w:hAnsi="Times New Roman"/>
          <w:sz w:val="18"/>
          <w:szCs w:val="18"/>
          <w:color w:val="auto"/>
        </w:rPr>
      </w:pPr>
    </w:p>
    <w:p>
      <w:pPr>
        <w:ind w:left="545" w:right="2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does not believe it should establish term limits or mandatory retirement ages for its members as such limits may deprive Thomson Reuters and its shareholders of the contributions of members who have been able to develop, over time, valuable insights into Thomson Reuters, its strategy and business operations.</w:t>
      </w:r>
    </w:p>
    <w:p>
      <w:pPr>
        <w:spacing w:after="0" w:line="318"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Majority Voting Policy</w:t>
      </w:r>
    </w:p>
    <w:p>
      <w:pPr>
        <w:spacing w:after="0" w:line="117" w:lineRule="exact"/>
        <w:rPr>
          <w:rFonts w:ascii="Times New Roman" w:cs="Times New Roman" w:eastAsia="Times New Roman" w:hAnsi="Times New Roman"/>
          <w:sz w:val="18"/>
          <w:szCs w:val="18"/>
          <w:color w:val="auto"/>
        </w:rPr>
      </w:pPr>
    </w:p>
    <w:p>
      <w:pPr>
        <w:ind w:left="545"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does not receive the support of a majority of votes cast at a meeting of shareholders (other than at contested meetings), the director must immediately tender his or her resignation, to be effective when accepted by the Board. The Corporate Governance Committee will consider the director’s offer to resign and make a recommendation to the Board as to whether to accept it. The Board will accept resignations, absent exceptional circumstances, and in any case, must make its decision within 90 days of the relevant meeting of shareholders. A director who tenders a resignation will not participate in any meeting of the Corporate Governance Committee or the Board at which the resignation is considered. The Corporation will provide disclosure of any determinations under this policy, including by way of a news release and notification to the Toronto Stock Exchange.</w:t>
      </w:r>
    </w:p>
    <w:p>
      <w:pPr>
        <w:spacing w:after="0" w:line="327"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Succession</w:t>
      </w:r>
    </w:p>
    <w:p>
      <w:pPr>
        <w:spacing w:after="0" w:line="117" w:lineRule="exact"/>
        <w:rPr>
          <w:rFonts w:ascii="Times New Roman" w:cs="Times New Roman" w:eastAsia="Times New Roman" w:hAnsi="Times New Roman"/>
          <w:sz w:val="18"/>
          <w:szCs w:val="18"/>
          <w:color w:val="auto"/>
        </w:rPr>
      </w:pPr>
    </w:p>
    <w:p>
      <w:pPr>
        <w:ind w:left="545" w:right="5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 is responsible for maintaining a succession plan for the Board that is responsive to Thomson Reuters needs and the interests of its shareholders.</w:t>
      </w:r>
    </w:p>
    <w:p>
      <w:pPr>
        <w:spacing w:after="0" w:line="305"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on Other Boards and Audit Committees</w:t>
      </w:r>
    </w:p>
    <w:p>
      <w:pPr>
        <w:spacing w:after="0" w:line="117" w:lineRule="exact"/>
        <w:rPr>
          <w:rFonts w:ascii="Times New Roman" w:cs="Times New Roman" w:eastAsia="Times New Roman" w:hAnsi="Times New Roman"/>
          <w:sz w:val="18"/>
          <w:szCs w:val="18"/>
          <w:color w:val="auto"/>
        </w:rPr>
      </w:pPr>
    </w:p>
    <w:p>
      <w:pPr>
        <w:ind w:left="545" w:right="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does not believe that its members should be prohibited from serving on the boards of other public or private companies so long as these commitments do not materially interfere with and are not incompatible with their ability to fulfill their duties as a member of the Board.</w:t>
      </w:r>
    </w:p>
    <w:p>
      <w:pPr>
        <w:spacing w:after="0" w:line="108"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485"/>
          </w:cols>
          <w:pgMar w:left="915" w:top="264" w:right="499" w:bottom="1440" w:gutter="0" w:footer="0" w:header="0"/>
        </w:sectPr>
      </w:pPr>
    </w:p>
    <w:bookmarkStart w:id="129" w:name="page130"/>
    <w:bookmarkEnd w:id="129"/>
    <w:p>
      <w:pPr>
        <w:ind w:left="973"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Directors must receive approval from the Chair of the Corporate Governance Committee in advance of accepting an invitation to serve, or being publicly reflected as a nominee to serve, on the board of another public company. Directors must notify the Chair of the Corporate Governance Committee in advance of accepting an invitation to serve, or being publicly reflected as a nominee to serve, on the board of a for-profit, private company that is not a family business. In either case, the director must indicate whether another director of the Corporation is also a member of the board of the other company.</w:t>
      </w:r>
    </w:p>
    <w:p>
      <w:pPr>
        <w:spacing w:after="0" w:line="77" w:lineRule="exact"/>
        <w:rPr>
          <w:sz w:val="20"/>
          <w:szCs w:val="20"/>
          <w:color w:val="auto"/>
        </w:rPr>
      </w:pPr>
    </w:p>
    <w:p>
      <w:pPr>
        <w:ind w:left="973" w:right="600"/>
        <w:spacing w:after="0" w:line="278" w:lineRule="auto"/>
        <w:rPr>
          <w:sz w:val="20"/>
          <w:szCs w:val="20"/>
          <w:color w:val="auto"/>
        </w:rPr>
      </w:pPr>
      <w:r>
        <w:rPr>
          <w:rFonts w:ascii="Times New Roman" w:cs="Times New Roman" w:eastAsia="Times New Roman" w:hAnsi="Times New Roman"/>
          <w:sz w:val="18"/>
          <w:szCs w:val="18"/>
          <w:color w:val="auto"/>
        </w:rPr>
        <w:t>As a general rule, directors are not allowed to join a board of another public company on which two or more other directors of the Corporation serve (unless otherwise approved by the Corporate Governance Committee or its Chair).</w:t>
      </w:r>
    </w:p>
    <w:p>
      <w:pPr>
        <w:spacing w:after="0" w:line="55" w:lineRule="exact"/>
        <w:rPr>
          <w:sz w:val="20"/>
          <w:szCs w:val="20"/>
          <w:color w:val="auto"/>
        </w:rPr>
      </w:pPr>
    </w:p>
    <w:p>
      <w:pPr>
        <w:ind w:left="973" w:right="440"/>
        <w:spacing w:after="0" w:line="278" w:lineRule="auto"/>
        <w:rPr>
          <w:sz w:val="20"/>
          <w:szCs w:val="20"/>
          <w:color w:val="auto"/>
        </w:rPr>
      </w:pPr>
      <w:r>
        <w:rPr>
          <w:rFonts w:ascii="Times New Roman" w:cs="Times New Roman" w:eastAsia="Times New Roman" w:hAnsi="Times New Roman"/>
          <w:sz w:val="18"/>
          <w:szCs w:val="18"/>
          <w:color w:val="auto"/>
        </w:rPr>
        <w:t>Members of the Audit Committee may not serve on the audit committees of more than two other public companies without the prior approval of the Board.</w:t>
      </w:r>
    </w:p>
    <w:p>
      <w:pPr>
        <w:spacing w:after="0" w:line="306" w:lineRule="exact"/>
        <w:rPr>
          <w:sz w:val="20"/>
          <w:szCs w:val="20"/>
          <w:color w:val="auto"/>
        </w:rPr>
      </w:pPr>
    </w:p>
    <w:p>
      <w:pPr>
        <w:ind w:left="433" w:hanging="433"/>
        <w:spacing w:after="0"/>
        <w:tabs>
          <w:tab w:leader="none" w:pos="433"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RESPONSIBILITIES</w:t>
      </w:r>
    </w:p>
    <w:p>
      <w:pPr>
        <w:spacing w:after="0" w:line="117" w:lineRule="exact"/>
        <w:rPr>
          <w:rFonts w:ascii="Times New Roman" w:cs="Times New Roman" w:eastAsia="Times New Roman" w:hAnsi="Times New Roman"/>
          <w:sz w:val="18"/>
          <w:szCs w:val="18"/>
          <w:b w:val="1"/>
          <w:bCs w:val="1"/>
          <w:color w:val="auto"/>
        </w:rPr>
      </w:pPr>
    </w:p>
    <w:p>
      <w:pPr>
        <w:ind w:left="433" w:right="2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have a duty to act honestly and in good faith with a view to the best interests of Thomson Reuters. In fulfilling its responsibilities, the Board is responsible for the following matters:</w:t>
      </w:r>
    </w:p>
    <w:p>
      <w:pPr>
        <w:spacing w:after="0" w:line="64"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and Supervision of the Chief Executive Officer and Senior Management</w:t>
      </w:r>
    </w:p>
    <w:p>
      <w:pPr>
        <w:spacing w:after="0" w:line="117" w:lineRule="exact"/>
        <w:rPr>
          <w:rFonts w:ascii="Times New Roman" w:cs="Times New Roman" w:eastAsia="Times New Roman" w:hAnsi="Times New Roman"/>
          <w:sz w:val="18"/>
          <w:szCs w:val="18"/>
          <w:color w:val="auto"/>
        </w:rPr>
      </w:pPr>
    </w:p>
    <w:p>
      <w:pPr>
        <w:jc w:val="both"/>
        <w:ind w:left="973" w:right="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appoints and supervises the Chief Executive Officer and other members of Thomson Reuters senior management, approves their compensation and, as permitted by applicable law, delegates to senior management responsibility for the day-to-day operations of Thomson Reuters.</w:t>
      </w:r>
    </w:p>
    <w:p>
      <w:pPr>
        <w:spacing w:after="0" w:line="68" w:lineRule="exact"/>
        <w:rPr>
          <w:rFonts w:ascii="Times New Roman" w:cs="Times New Roman" w:eastAsia="Times New Roman" w:hAnsi="Times New Roman"/>
          <w:sz w:val="18"/>
          <w:szCs w:val="18"/>
          <w:color w:val="auto"/>
        </w:rPr>
      </w:pPr>
    </w:p>
    <w:p>
      <w:pPr>
        <w:ind w:left="973" w:right="26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Board will satisfy itself that a process is in place to provide for the development, evaluation and succession of the Chief Executive Officer and other members of senior management. The Board maintains a position description for the Chief Executive Officer.</w:t>
      </w:r>
    </w:p>
    <w:p>
      <w:pPr>
        <w:spacing w:after="0" w:line="33" w:lineRule="exact"/>
        <w:rPr>
          <w:rFonts w:ascii="Times New Roman" w:cs="Times New Roman" w:eastAsia="Times New Roman" w:hAnsi="Times New Roman"/>
          <w:sz w:val="18"/>
          <w:szCs w:val="18"/>
          <w:color w:val="auto"/>
        </w:rPr>
      </w:pPr>
    </w:p>
    <w:p>
      <w:pPr>
        <w:ind w:left="973"/>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satisfy itself as to the integrity of the Chief Executive Officer and other members of senior management, including confirming that the Chief Executive Officer and other members of senior management maintain a culture of integrity throughout Thomson Reuters.</w:t>
      </w:r>
    </w:p>
    <w:p>
      <w:pPr>
        <w:spacing w:after="0" w:line="68" w:lineRule="exact"/>
        <w:rPr>
          <w:rFonts w:ascii="Times New Roman" w:cs="Times New Roman" w:eastAsia="Times New Roman" w:hAnsi="Times New Roman"/>
          <w:sz w:val="18"/>
          <w:szCs w:val="18"/>
          <w:color w:val="auto"/>
        </w:rPr>
      </w:pPr>
    </w:p>
    <w:p>
      <w:pPr>
        <w:ind w:left="973" w:right="46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component of Thomson Reuters’ diversity and inclusion approach is identification, development and advancement of women globally for leadership and executive officer positions.</w:t>
      </w:r>
    </w:p>
    <w:p>
      <w:pPr>
        <w:spacing w:after="0" w:line="95" w:lineRule="exact"/>
        <w:rPr>
          <w:rFonts w:ascii="Times New Roman" w:cs="Times New Roman" w:eastAsia="Times New Roman" w:hAnsi="Times New Roman"/>
          <w:sz w:val="18"/>
          <w:szCs w:val="18"/>
          <w:color w:val="auto"/>
        </w:rPr>
      </w:pPr>
    </w:p>
    <w:p>
      <w:pPr>
        <w:ind w:left="5413" w:hanging="105"/>
        <w:spacing w:after="0"/>
        <w:tabs>
          <w:tab w:leader="none" w:pos="5413"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853"/>
          </w:cols>
          <w:pgMar w:left="487" w:top="268" w:right="559" w:bottom="1440" w:gutter="0" w:footer="0" w:header="0"/>
        </w:sectPr>
      </w:pPr>
    </w:p>
    <w:bookmarkStart w:id="130" w:name="page131"/>
    <w:bookmarkEnd w:id="130"/>
    <w:p>
      <w:pPr>
        <w:ind w:left="545" w:hanging="545"/>
        <w:spacing w:after="0"/>
        <w:tabs>
          <w:tab w:leader="none" w:pos="5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Strategic Planning and Risk Management</w:t>
      </w:r>
    </w:p>
    <w:p>
      <w:pPr>
        <w:spacing w:after="0" w:line="117" w:lineRule="exact"/>
        <w:rPr>
          <w:rFonts w:ascii="Times New Roman" w:cs="Times New Roman" w:eastAsia="Times New Roman" w:hAnsi="Times New Roman"/>
          <w:sz w:val="18"/>
          <w:szCs w:val="18"/>
          <w:color w:val="auto"/>
        </w:rPr>
      </w:pPr>
    </w:p>
    <w:p>
      <w:pPr>
        <w:ind w:left="545" w:right="80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establish and maintain Thomson Reuters mission, values, long-term strategic goals, performance objectives and operational policies. In this regard, the Board will:</w:t>
      </w:r>
    </w:p>
    <w:p>
      <w:pPr>
        <w:spacing w:after="0" w:line="68" w:lineRule="exact"/>
        <w:rPr>
          <w:rFonts w:ascii="Times New Roman" w:cs="Times New Roman" w:eastAsia="Times New Roman" w:hAnsi="Times New Roman"/>
          <w:sz w:val="18"/>
          <w:szCs w:val="18"/>
          <w:color w:val="auto"/>
        </w:rPr>
      </w:pPr>
    </w:p>
    <w:p>
      <w:pPr>
        <w:ind w:left="985" w:right="340" w:hanging="329"/>
        <w:spacing w:after="0" w:line="278" w:lineRule="auto"/>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strategic planning process and review and approve, on an annual basis, a strategic plan which takes into account, among other things, the opportunities and risks of the business;</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on an annual basis a business plan developed with management which includes rigorous but realistic goals;</w:t>
      </w:r>
    </w:p>
    <w:p>
      <w:pPr>
        <w:spacing w:after="0" w:line="127" w:lineRule="exact"/>
        <w:rPr>
          <w:rFonts w:ascii="Times New Roman" w:cs="Times New Roman" w:eastAsia="Times New Roman" w:hAnsi="Times New Roman"/>
          <w:sz w:val="18"/>
          <w:szCs w:val="18"/>
          <w:color w:val="auto"/>
        </w:rPr>
      </w:pPr>
    </w:p>
    <w:p>
      <w:pPr>
        <w:ind w:left="985" w:hanging="329"/>
        <w:spacing w:after="0" w:line="263" w:lineRule="auto"/>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strategic and operational policies within which management will operate in relation to capital expenditures, acquisitions and dispositions, disclosure and communications, finance and investment, risk management, human resources, internal control over financial reporting, disclosure controls and procedures and management information systems;</w:t>
      </w:r>
    </w:p>
    <w:p>
      <w:pPr>
        <w:spacing w:after="0" w:line="81"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annual corporate and management performance targets;</w:t>
      </w:r>
    </w:p>
    <w:p>
      <w:pPr>
        <w:spacing w:after="0" w:line="127" w:lineRule="exact"/>
        <w:rPr>
          <w:rFonts w:ascii="Times New Roman" w:cs="Times New Roman" w:eastAsia="Times New Roman" w:hAnsi="Times New Roman"/>
          <w:sz w:val="18"/>
          <w:szCs w:val="18"/>
          <w:color w:val="auto"/>
        </w:rPr>
      </w:pPr>
    </w:p>
    <w:p>
      <w:pPr>
        <w:ind w:left="985" w:right="480" w:hanging="329"/>
        <w:spacing w:after="0" w:line="278" w:lineRule="auto"/>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a system is in place to identify the principal risks facing Thomson Reuters and its businesses and that appropriate procedures and systems are in place to monitor, mitigate and manage such risks; and</w:t>
      </w:r>
    </w:p>
    <w:p>
      <w:pPr>
        <w:spacing w:after="0" w:line="68" w:lineRule="exact"/>
        <w:rPr>
          <w:rFonts w:ascii="Times New Roman" w:cs="Times New Roman" w:eastAsia="Times New Roman" w:hAnsi="Times New Roman"/>
          <w:sz w:val="18"/>
          <w:szCs w:val="18"/>
          <w:color w:val="auto"/>
        </w:rPr>
      </w:pPr>
    </w:p>
    <w:p>
      <w:pPr>
        <w:ind w:left="985" w:right="100" w:hanging="329"/>
        <w:spacing w:after="0" w:line="278" w:lineRule="auto"/>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processes are in place for Thomson Reuters and its businesses to address and comply with applicable legal, regulatory, corporate, securities and other compliance matters.</w:t>
      </w:r>
    </w:p>
    <w:p>
      <w:pPr>
        <w:spacing w:after="0" w:line="305" w:lineRule="exact"/>
        <w:rPr>
          <w:rFonts w:ascii="Times New Roman" w:cs="Times New Roman" w:eastAsia="Times New Roman" w:hAnsi="Times New Roman"/>
          <w:sz w:val="18"/>
          <w:szCs w:val="18"/>
          <w:color w:val="auto"/>
        </w:rPr>
      </w:pPr>
    </w:p>
    <w:p>
      <w:pPr>
        <w:ind w:left="545" w:right="7000" w:hanging="545"/>
        <w:spacing w:after="0" w:line="382" w:lineRule="auto"/>
        <w:tabs>
          <w:tab w:leader="none" w:pos="5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Reporting and Management </w:t>
      </w:r>
      <w:r>
        <w:rPr>
          <w:rFonts w:ascii="Times New Roman" w:cs="Times New Roman" w:eastAsia="Times New Roman" w:hAnsi="Times New Roman"/>
          <w:sz w:val="18"/>
          <w:szCs w:val="18"/>
          <w:color w:val="auto"/>
        </w:rPr>
        <w:t>The Board will:</w:t>
      </w:r>
    </w:p>
    <w:p>
      <w:pPr>
        <w:ind w:left="985" w:right="180" w:hanging="329"/>
        <w:spacing w:after="0" w:line="278" w:lineRule="auto"/>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the integrity of Thomson Reuters with regard to its compliance with applicable audit, accounting and financial reporting requirements;</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annual financial statements and related management’s discussion and analysis;</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annual operating plan;</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integrity of Thomson Reuters internal controls and management information systems;</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Thomson Reuters dividend policy; and</w:t>
      </w:r>
    </w:p>
    <w:p>
      <w:pPr>
        <w:spacing w:after="0" w:line="154"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445"/>
          </w:cols>
          <w:pgMar w:left="915" w:top="264" w:right="539" w:bottom="1440" w:gutter="0" w:footer="0" w:header="0"/>
        </w:sectPr>
      </w:pPr>
    </w:p>
    <w:bookmarkStart w:id="131" w:name="page132"/>
    <w:bookmarkEnd w:id="131"/>
    <w:p>
      <w:pPr>
        <w:ind w:left="985" w:hanging="329"/>
        <w:spacing w:after="0"/>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review operating and financial performance results relative to established strategies, plans, budgets and objectives.</w:t>
      </w:r>
    </w:p>
    <w:p>
      <w:pPr>
        <w:spacing w:after="0" w:line="364"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and Communications</w:t>
      </w:r>
    </w:p>
    <w:p>
      <w:pPr>
        <w:spacing w:after="0" w:line="117" w:lineRule="exact"/>
        <w:rPr>
          <w:rFonts w:ascii="Times New Roman" w:cs="Times New Roman" w:eastAsia="Times New Roman" w:hAnsi="Times New Roman"/>
          <w:sz w:val="18"/>
          <w:szCs w:val="18"/>
          <w:color w:val="auto"/>
        </w:rPr>
      </w:pPr>
    </w:p>
    <w:p>
      <w:pPr>
        <w:ind w:left="545"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satisfy itself that appropriate policies and procedures are in place regarding public disclosure and restricted trading by insiders. In this regard, the Board will periodically review Thomson Reuters corporate disclosure policy and will confirm that a process is in place to disclose all material information in compliance with Thomson Reuters timely disclosure obligations and to prevent market abuse, whether by way of selective disclosure of material information to analysts, institutional investors, market professionals and others or otherwise.</w:t>
      </w:r>
    </w:p>
    <w:p>
      <w:pPr>
        <w:spacing w:after="0" w:line="327" w:lineRule="exact"/>
        <w:rPr>
          <w:rFonts w:ascii="Times New Roman" w:cs="Times New Roman" w:eastAsia="Times New Roman" w:hAnsi="Times New Roman"/>
          <w:sz w:val="18"/>
          <w:szCs w:val="18"/>
          <w:color w:val="auto"/>
        </w:rPr>
      </w:pPr>
    </w:p>
    <w:p>
      <w:pPr>
        <w:ind w:left="545" w:right="4140" w:hanging="545"/>
        <w:spacing w:after="0" w:line="382" w:lineRule="auto"/>
        <w:tabs>
          <w:tab w:leader="none" w:pos="5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Governance and Environmental, Social and Governance (“ESG”) </w:t>
      </w:r>
      <w:r>
        <w:rPr>
          <w:rFonts w:ascii="Times New Roman" w:cs="Times New Roman" w:eastAsia="Times New Roman" w:hAnsi="Times New Roman"/>
          <w:sz w:val="18"/>
          <w:szCs w:val="18"/>
          <w:color w:val="auto"/>
        </w:rPr>
        <w:t>The Board will:</w:t>
      </w:r>
    </w:p>
    <w:p>
      <w:pPr>
        <w:ind w:left="985" w:hanging="329"/>
        <w:spacing w:after="0" w:line="278" w:lineRule="auto"/>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Thomson Reuters’ approach to corporate governance, including establishing appropriate principles and guidelines relating to corporate governance that are specifically applicable to Thomson Reuters and practices to facilitate the Board’s independence;</w:t>
      </w:r>
    </w:p>
    <w:p>
      <w:pPr>
        <w:spacing w:after="0" w:line="68" w:lineRule="exact"/>
        <w:rPr>
          <w:rFonts w:ascii="Times New Roman" w:cs="Times New Roman" w:eastAsia="Times New Roman" w:hAnsi="Times New Roman"/>
          <w:sz w:val="18"/>
          <w:szCs w:val="18"/>
          <w:color w:val="auto"/>
        </w:rPr>
      </w:pPr>
    </w:p>
    <w:p>
      <w:pPr>
        <w:ind w:left="985" w:right="640" w:hanging="329"/>
        <w:spacing w:after="0" w:line="278" w:lineRule="auto"/>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Thomson Reuters’ overall approach to ESG and its alignment with the Corporation’s long-term business strategy;</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itself that Thomson Reuters communicates effectively with its shareholders, other interested stakeholders and the public;</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committees and approve their respective charters and the limits of authority delegated to each committee;</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appropriate processes for the regular evaluation of the effectiveness of the Board and its committees;</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nomination of directors;</w:t>
      </w:r>
    </w:p>
    <w:p>
      <w:pPr>
        <w:spacing w:after="0" w:line="127" w:lineRule="exact"/>
        <w:rPr>
          <w:rFonts w:ascii="Times New Roman" w:cs="Times New Roman" w:eastAsia="Times New Roman" w:hAnsi="Times New Roman"/>
          <w:sz w:val="18"/>
          <w:szCs w:val="18"/>
          <w:color w:val="auto"/>
        </w:rPr>
      </w:pPr>
    </w:p>
    <w:p>
      <w:pPr>
        <w:jc w:val="both"/>
        <w:ind w:left="985" w:right="180" w:hanging="329"/>
        <w:spacing w:after="0" w:line="263" w:lineRule="auto"/>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form of directors’ compensation to confirm that it is competitive and appropriately compensates directors for the responsibilities, time commitment and risks involved in being a director or a member of one or more Board committees, as applicable;</w:t>
      </w:r>
    </w:p>
    <w:p>
      <w:pPr>
        <w:spacing w:after="0" w:line="81" w:lineRule="exact"/>
        <w:rPr>
          <w:rFonts w:ascii="Times New Roman" w:cs="Times New Roman" w:eastAsia="Times New Roman" w:hAnsi="Times New Roman"/>
          <w:sz w:val="18"/>
          <w:szCs w:val="18"/>
          <w:color w:val="auto"/>
        </w:rPr>
      </w:pPr>
    </w:p>
    <w:p>
      <w:pPr>
        <w:ind w:left="985" w:right="140" w:hanging="329"/>
        <w:spacing w:after="0" w:line="278" w:lineRule="auto"/>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non-management directors to meet at least quarterly without management present and for independent directors to meet at least annually; and</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sufficient funds are available for its effective operation and that of its committees.</w:t>
      </w:r>
    </w:p>
    <w:p>
      <w:pPr>
        <w:spacing w:after="0" w:line="154"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85"/>
          </w:cols>
          <w:pgMar w:left="915" w:top="268" w:right="499" w:bottom="1440" w:gutter="0" w:footer="0" w:header="0"/>
        </w:sectPr>
      </w:pPr>
    </w:p>
    <w:bookmarkStart w:id="132" w:name="page133"/>
    <w:bookmarkEnd w:id="132"/>
    <w:p>
      <w:pPr>
        <w:ind w:left="973" w:hanging="545"/>
        <w:spacing w:after="0"/>
        <w:tabs>
          <w:tab w:leader="none" w:pos="97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Observance of Thomson Reuters Trust Principles</w:t>
      </w:r>
    </w:p>
    <w:p>
      <w:pPr>
        <w:spacing w:after="0" w:line="117" w:lineRule="exact"/>
        <w:rPr>
          <w:rFonts w:ascii="Times New Roman" w:cs="Times New Roman" w:eastAsia="Times New Roman" w:hAnsi="Times New Roman"/>
          <w:sz w:val="18"/>
          <w:szCs w:val="18"/>
          <w:color w:val="auto"/>
        </w:rPr>
      </w:pPr>
    </w:p>
    <w:p>
      <w:pPr>
        <w:ind w:left="9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satisfy itself that Thomson Reuters observes and upholds the Thomson Reuters Trust Principles.</w:t>
      </w:r>
    </w:p>
    <w:p>
      <w:pPr>
        <w:spacing w:after="0" w:line="364"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of Certain Other Matters</w:t>
      </w:r>
    </w:p>
    <w:p>
      <w:pPr>
        <w:spacing w:after="0" w:line="117" w:lineRule="exact"/>
        <w:rPr>
          <w:rFonts w:ascii="Times New Roman" w:cs="Times New Roman" w:eastAsia="Times New Roman" w:hAnsi="Times New Roman"/>
          <w:sz w:val="18"/>
          <w:szCs w:val="18"/>
          <w:color w:val="auto"/>
        </w:rPr>
      </w:pPr>
    </w:p>
    <w:p>
      <w:pPr>
        <w:ind w:left="973"/>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itself approve those matters which may not be delegated by the Board under applicable corporate law including, among others, the issuance of securities (except in the manner and on terms authorized by the Board), the declaration of dividends, the repurchase or redemption of shares and matters relating to the adoption, repeal or amendment of the by-laws of the Corporation. The Board may also reserve to itself the right to approve certain matters notwithstanding the delegation to senior management of the authority to manage the business of Thomson Reuters.</w:t>
      </w:r>
    </w:p>
    <w:p>
      <w:pPr>
        <w:spacing w:after="0" w:line="327"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SHAREHOLDER</w:t>
      </w:r>
    </w:p>
    <w:p>
      <w:pPr>
        <w:spacing w:after="0" w:line="117" w:lineRule="exact"/>
        <w:rPr>
          <w:rFonts w:ascii="Times New Roman" w:cs="Times New Roman" w:eastAsia="Times New Roman" w:hAnsi="Times New Roman"/>
          <w:sz w:val="18"/>
          <w:szCs w:val="18"/>
          <w:b w:val="1"/>
          <w:bCs w:val="1"/>
          <w:color w:val="auto"/>
        </w:rPr>
      </w:pPr>
    </w:p>
    <w:p>
      <w:pPr>
        <w:ind w:left="43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The Woodbridge Company Limited (“Woodbridge”), a private company that is the primary investment vehicle for members of the family of the late First Lord Thomson of Fleet, is the principal shareholder of the Corporation. Woodbridge’s primary investment is its investment in the Corporation. It actively monitors Thomson Reuters as a principal shareholder. In its involvement with Thomson Reuters, Woodbridge focuses principally on the following matters:</w:t>
      </w:r>
    </w:p>
    <w:p>
      <w:pPr>
        <w:spacing w:after="0" w:line="86" w:lineRule="exact"/>
        <w:rPr>
          <w:rFonts w:ascii="Times New Roman" w:cs="Times New Roman" w:eastAsia="Times New Roman" w:hAnsi="Times New Roman"/>
          <w:sz w:val="18"/>
          <w:szCs w:val="18"/>
          <w:b w:val="1"/>
          <w:bCs w:val="1"/>
          <w:color w:val="auto"/>
        </w:rPr>
      </w:pPr>
    </w:p>
    <w:p>
      <w:pPr>
        <w:ind w:left="973" w:hanging="438"/>
        <w:spacing w:after="0"/>
        <w:tabs>
          <w:tab w:leader="none" w:pos="97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including the effectiveness of the Board;</w:t>
      </w:r>
    </w:p>
    <w:p>
      <w:pPr>
        <w:spacing w:after="0" w:line="127" w:lineRule="exact"/>
        <w:rPr>
          <w:rFonts w:ascii="Times New Roman" w:cs="Times New Roman" w:eastAsia="Times New Roman" w:hAnsi="Times New Roman"/>
          <w:sz w:val="18"/>
          <w:szCs w:val="18"/>
          <w:color w:val="auto"/>
        </w:rPr>
      </w:pPr>
    </w:p>
    <w:p>
      <w:pPr>
        <w:ind w:left="973" w:hanging="438"/>
        <w:spacing w:after="0"/>
        <w:tabs>
          <w:tab w:leader="none" w:pos="97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Chief Executive Officer and other members of senior management and related succession planning;</w:t>
      </w:r>
    </w:p>
    <w:p>
      <w:pPr>
        <w:spacing w:after="0" w:line="127" w:lineRule="exact"/>
        <w:rPr>
          <w:rFonts w:ascii="Times New Roman" w:cs="Times New Roman" w:eastAsia="Times New Roman" w:hAnsi="Times New Roman"/>
          <w:sz w:val="18"/>
          <w:szCs w:val="18"/>
          <w:color w:val="auto"/>
        </w:rPr>
      </w:pPr>
    </w:p>
    <w:p>
      <w:pPr>
        <w:ind w:left="973" w:hanging="438"/>
        <w:spacing w:after="0"/>
        <w:tabs>
          <w:tab w:leader="none" w:pos="97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long-term business strategy of Thomson Reuters and assessment of its implementation; and</w:t>
      </w:r>
    </w:p>
    <w:p>
      <w:pPr>
        <w:spacing w:after="0" w:line="127" w:lineRule="exact"/>
        <w:rPr>
          <w:rFonts w:ascii="Times New Roman" w:cs="Times New Roman" w:eastAsia="Times New Roman" w:hAnsi="Times New Roman"/>
          <w:sz w:val="18"/>
          <w:szCs w:val="18"/>
          <w:color w:val="auto"/>
        </w:rPr>
      </w:pPr>
    </w:p>
    <w:p>
      <w:pPr>
        <w:ind w:left="973" w:hanging="438"/>
        <w:spacing w:after="0"/>
        <w:tabs>
          <w:tab w:leader="none" w:pos="97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strategy.</w:t>
      </w:r>
    </w:p>
    <w:p>
      <w:pPr>
        <w:spacing w:after="0" w:line="114" w:lineRule="exact"/>
        <w:rPr>
          <w:sz w:val="20"/>
          <w:szCs w:val="20"/>
          <w:color w:val="auto"/>
        </w:rPr>
      </w:pPr>
    </w:p>
    <w:p>
      <w:pPr>
        <w:ind w:left="433" w:right="300"/>
        <w:spacing w:after="0" w:line="278" w:lineRule="auto"/>
        <w:rPr>
          <w:sz w:val="20"/>
          <w:szCs w:val="20"/>
          <w:color w:val="auto"/>
        </w:rPr>
      </w:pPr>
      <w:r>
        <w:rPr>
          <w:rFonts w:ascii="Times New Roman" w:cs="Times New Roman" w:eastAsia="Times New Roman" w:hAnsi="Times New Roman"/>
          <w:sz w:val="18"/>
          <w:szCs w:val="18"/>
          <w:color w:val="auto"/>
        </w:rPr>
        <w:t>With its substantial equity investment in the Corporation, Woodbridge considers that its interests as a shareholder are aligned with those of all other shareholders.</w:t>
      </w:r>
    </w:p>
    <w:p>
      <w:pPr>
        <w:spacing w:after="0" w:line="306" w:lineRule="exact"/>
        <w:rPr>
          <w:sz w:val="20"/>
          <w:szCs w:val="20"/>
          <w:color w:val="auto"/>
        </w:rPr>
      </w:pPr>
    </w:p>
    <w:p>
      <w:pPr>
        <w:ind w:left="433" w:hanging="433"/>
        <w:spacing w:after="0"/>
        <w:tabs>
          <w:tab w:leader="none" w:pos="43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CHAIRMAN</w:t>
      </w:r>
    </w:p>
    <w:p>
      <w:pPr>
        <w:spacing w:after="0" w:line="117" w:lineRule="exact"/>
        <w:rPr>
          <w:rFonts w:ascii="Times New Roman" w:cs="Times New Roman" w:eastAsia="Times New Roman" w:hAnsi="Times New Roman"/>
          <w:sz w:val="18"/>
          <w:szCs w:val="18"/>
          <w:b w:val="1"/>
          <w:bCs w:val="1"/>
          <w:color w:val="auto"/>
        </w:rPr>
      </w:pPr>
    </w:p>
    <w:p>
      <w:pPr>
        <w:ind w:left="433" w:right="1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in each year elect from among its members a Chairman who is not the Chief Executive Officer or otherwise a member of senior management.</w:t>
      </w:r>
    </w:p>
    <w:p>
      <w:pPr>
        <w:spacing w:after="0" w:line="55" w:lineRule="exact"/>
        <w:rPr>
          <w:rFonts w:ascii="Times New Roman" w:cs="Times New Roman" w:eastAsia="Times New Roman" w:hAnsi="Times New Roman"/>
          <w:sz w:val="18"/>
          <w:szCs w:val="18"/>
          <w:b w:val="1"/>
          <w:bCs w:val="1"/>
          <w:color w:val="auto"/>
        </w:rPr>
      </w:pPr>
    </w:p>
    <w:p>
      <w:pPr>
        <w:ind w:left="433" w:right="2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Chairman is principally responsible for overseeing the operations and affairs of the Board. The Board maintains a position description for the Chairman.</w:t>
      </w:r>
    </w:p>
    <w:p>
      <w:pPr>
        <w:spacing w:after="0" w:line="95" w:lineRule="exact"/>
        <w:rPr>
          <w:rFonts w:ascii="Times New Roman" w:cs="Times New Roman" w:eastAsia="Times New Roman" w:hAnsi="Times New Roman"/>
          <w:sz w:val="18"/>
          <w:szCs w:val="18"/>
          <w:b w:val="1"/>
          <w:bCs w:val="1"/>
          <w:color w:val="auto"/>
        </w:rPr>
      </w:pPr>
    </w:p>
    <w:p>
      <w:pPr>
        <w:ind w:left="5413" w:hanging="105"/>
        <w:spacing w:after="0"/>
        <w:tabs>
          <w:tab w:leader="none" w:pos="541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853"/>
          </w:cols>
          <w:pgMar w:left="487" w:top="264" w:right="559" w:bottom="1440" w:gutter="0" w:footer="0" w:header="0"/>
        </w:sectPr>
      </w:pPr>
    </w:p>
    <w:bookmarkStart w:id="133" w:name="page134"/>
    <w:bookmarkEnd w:id="133"/>
    <w:p>
      <w:pPr>
        <w:ind w:left="433" w:hanging="433"/>
        <w:spacing w:after="0"/>
        <w:tabs>
          <w:tab w:leader="none" w:pos="43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DEPUTY CHAIRMAN</w:t>
      </w:r>
    </w:p>
    <w:p>
      <w:pPr>
        <w:spacing w:after="0" w:line="117" w:lineRule="exact"/>
        <w:rPr>
          <w:rFonts w:ascii="Times New Roman" w:cs="Times New Roman" w:eastAsia="Times New Roman" w:hAnsi="Times New Roman"/>
          <w:sz w:val="18"/>
          <w:szCs w:val="18"/>
          <w:b w:val="1"/>
          <w:bCs w:val="1"/>
          <w:color w:val="auto"/>
        </w:rPr>
      </w:pPr>
    </w:p>
    <w:p>
      <w:pPr>
        <w:ind w:left="433" w:right="1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in each year elect from among its members one or more Deputy Chairmen who are not the Chief Executive Officer or otherwise members of senior management.</w:t>
      </w:r>
    </w:p>
    <w:p>
      <w:pPr>
        <w:spacing w:after="0" w:line="55" w:lineRule="exact"/>
        <w:rPr>
          <w:rFonts w:ascii="Times New Roman" w:cs="Times New Roman" w:eastAsia="Times New Roman" w:hAnsi="Times New Roman"/>
          <w:sz w:val="18"/>
          <w:szCs w:val="18"/>
          <w:b w:val="1"/>
          <w:bCs w:val="1"/>
          <w:color w:val="auto"/>
        </w:rPr>
      </w:pPr>
    </w:p>
    <w:p>
      <w:pPr>
        <w:ind w:left="433" w:right="42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Deputy Chairman is responsible for assisting the Chairman in fulfilling his duties and for performing additional duties requested by the Board.</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LEAD INDEPENDENT DIRECTOR</w:t>
      </w:r>
    </w:p>
    <w:p>
      <w:pPr>
        <w:spacing w:after="0" w:line="117" w:lineRule="exact"/>
        <w:rPr>
          <w:rFonts w:ascii="Times New Roman" w:cs="Times New Roman" w:eastAsia="Times New Roman" w:hAnsi="Times New Roman"/>
          <w:sz w:val="18"/>
          <w:szCs w:val="18"/>
          <w:b w:val="1"/>
          <w:bCs w:val="1"/>
          <w:color w:val="auto"/>
        </w:rPr>
      </w:pPr>
    </w:p>
    <w:p>
      <w:pPr>
        <w:ind w:left="43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in each year elect a Lead Independent Director from among its members who have been determined to be independent.</w:t>
      </w:r>
    </w:p>
    <w:p>
      <w:pPr>
        <w:spacing w:after="0" w:line="364"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SECRETARY</w:t>
      </w:r>
    </w:p>
    <w:p>
      <w:pPr>
        <w:spacing w:after="0" w:line="117" w:lineRule="exact"/>
        <w:rPr>
          <w:rFonts w:ascii="Times New Roman" w:cs="Times New Roman" w:eastAsia="Times New Roman" w:hAnsi="Times New Roman"/>
          <w:sz w:val="18"/>
          <w:szCs w:val="18"/>
          <w:b w:val="1"/>
          <w:bCs w:val="1"/>
          <w:color w:val="auto"/>
        </w:rPr>
      </w:pPr>
    </w:p>
    <w:p>
      <w:pPr>
        <w:ind w:left="43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appoint an individual to act as the Company Secretary.</w:t>
      </w:r>
    </w:p>
    <w:p>
      <w:pPr>
        <w:spacing w:after="0" w:line="113" w:lineRule="exact"/>
        <w:rPr>
          <w:rFonts w:ascii="Times New Roman" w:cs="Times New Roman" w:eastAsia="Times New Roman" w:hAnsi="Times New Roman"/>
          <w:sz w:val="18"/>
          <w:szCs w:val="18"/>
          <w:b w:val="1"/>
          <w:bCs w:val="1"/>
          <w:color w:val="auto"/>
        </w:rPr>
      </w:pPr>
    </w:p>
    <w:p>
      <w:pPr>
        <w:ind w:left="433" w:right="60"/>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Secretary is responsible for assisting the Chairman, any Deputy Chairman and the Lead Independent Director in managing the operations and affairs of the Board and for performing additional duties requested by the Chairman, any Deputy Chairman, the Lead Independent Director or the Board or any of its committees. The Company Secretary reports directly to the Chairman and any Deputy Chairman.</w:t>
      </w:r>
    </w:p>
    <w:p>
      <w:pPr>
        <w:spacing w:after="0" w:line="302"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COMMITTEES</w:t>
      </w:r>
    </w:p>
    <w:p>
      <w:pPr>
        <w:spacing w:after="0" w:line="127"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color w:val="auto"/>
        </w:rPr>
      </w:pPr>
    </w:p>
    <w:p>
      <w:pPr>
        <w:ind w:left="973" w:right="3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carries out its responsibilities directly and through the following committees and such other committees as it may establish from time to time: the Audit Committee, the Corporate Governance Committee, the Human Resources Committee and the Risk Committee.</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Composition</w:t>
      </w:r>
    </w:p>
    <w:p>
      <w:pPr>
        <w:spacing w:after="0" w:line="117" w:lineRule="exact"/>
        <w:rPr>
          <w:rFonts w:ascii="Times New Roman" w:cs="Times New Roman" w:eastAsia="Times New Roman" w:hAnsi="Times New Roman"/>
          <w:sz w:val="18"/>
          <w:szCs w:val="18"/>
          <w:color w:val="auto"/>
        </w:rPr>
      </w:pPr>
    </w:p>
    <w:p>
      <w:pPr>
        <w:ind w:left="973"/>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committees are comprised solely of directors who are not members of management and who are selected by the Board on the recommendation of the Corporate Governance Committee. Thomson Reuters believes it is appropriate for directors who are affiliated with Woodbridge to serve on committees apart from the Audit Committee and the Board has approved the Corporation’s reliance on the “controlled company” exemption in the NYSE listing standards to do so.</w:t>
      </w:r>
    </w:p>
    <w:p>
      <w:pPr>
        <w:spacing w:after="0" w:line="72" w:lineRule="exact"/>
        <w:rPr>
          <w:rFonts w:ascii="Times New Roman" w:cs="Times New Roman" w:eastAsia="Times New Roman" w:hAnsi="Times New Roman"/>
          <w:sz w:val="18"/>
          <w:szCs w:val="18"/>
          <w:color w:val="auto"/>
        </w:rPr>
      </w:pPr>
    </w:p>
    <w:p>
      <w:pPr>
        <w:ind w:left="973" w:right="20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also seeks to maintain diversity in membership of its committees and in Board leadership roles and considers diversity when assigning chair roles for the Board and its committees.</w:t>
      </w:r>
    </w:p>
    <w:p>
      <w:pPr>
        <w:spacing w:after="0" w:line="55" w:lineRule="exact"/>
        <w:rPr>
          <w:rFonts w:ascii="Times New Roman" w:cs="Times New Roman" w:eastAsia="Times New Roman" w:hAnsi="Times New Roman"/>
          <w:sz w:val="18"/>
          <w:szCs w:val="18"/>
          <w:color w:val="auto"/>
        </w:rPr>
      </w:pPr>
    </w:p>
    <w:p>
      <w:pPr>
        <w:ind w:left="973" w:right="6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Audit Committee must be independent and are subject to the additional requirements that they may not (i) accept directly or indirectly any consulting, advisory, or other compensatory fee from Thomson Reuters, other than</w:t>
      </w:r>
    </w:p>
    <w:p>
      <w:pPr>
        <w:spacing w:after="0" w:line="95" w:lineRule="exact"/>
        <w:rPr>
          <w:rFonts w:ascii="Times New Roman" w:cs="Times New Roman" w:eastAsia="Times New Roman" w:hAnsi="Times New Roman"/>
          <w:sz w:val="18"/>
          <w:szCs w:val="18"/>
          <w:color w:val="auto"/>
        </w:rPr>
      </w:pPr>
    </w:p>
    <w:p>
      <w:pPr>
        <w:ind w:left="5413" w:hanging="105"/>
        <w:spacing w:after="0"/>
        <w:tabs>
          <w:tab w:leader="none" w:pos="5413"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853"/>
          </w:cols>
          <w:pgMar w:left="487" w:top="264" w:right="559" w:bottom="1440" w:gutter="0" w:footer="0" w:header="0"/>
        </w:sectPr>
      </w:pPr>
    </w:p>
    <w:bookmarkStart w:id="134" w:name="page135"/>
    <w:bookmarkEnd w:id="134"/>
    <w:p>
      <w:pPr>
        <w:ind w:left="973" w:right="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 and committee fees and pension or other forms of deferred compensation for prior service (provided such compensation is not contingent in any way on continued service), or (ii) be an “affiliated person” of Thomson Reuters (within the meaning of applicable law). Each member of the Audit Committee must be “financially literate” (within the meaning of applicable law).</w:t>
      </w:r>
    </w:p>
    <w:p>
      <w:pPr>
        <w:spacing w:after="0" w:line="68" w:lineRule="exact"/>
        <w:rPr>
          <w:sz w:val="20"/>
          <w:szCs w:val="20"/>
          <w:color w:val="auto"/>
        </w:rPr>
      </w:pPr>
    </w:p>
    <w:p>
      <w:pPr>
        <w:ind w:left="973"/>
        <w:spacing w:after="0" w:line="277" w:lineRule="auto"/>
        <w:rPr>
          <w:sz w:val="20"/>
          <w:szCs w:val="20"/>
          <w:color w:val="auto"/>
        </w:rPr>
      </w:pPr>
      <w:r>
        <w:rPr>
          <w:rFonts w:ascii="Times New Roman" w:cs="Times New Roman" w:eastAsia="Times New Roman" w:hAnsi="Times New Roman"/>
          <w:sz w:val="17"/>
          <w:szCs w:val="17"/>
          <w:color w:val="auto"/>
        </w:rPr>
        <w:t>In determining the independence of members of the Human Resources Committee who are not affiliated with Woodbridge, the Board shall also consider all factors specifically relevant to determining whether the director has a relationship to the Corporation that is material to that director’s ability to be independent from management in connection with the duties of a Human Resources Committee member, including, but not limited to, the source of the director’s compensation and whether the director is affiliated with the Corporation.</w:t>
      </w:r>
    </w:p>
    <w:p>
      <w:pPr>
        <w:spacing w:after="0" w:line="311" w:lineRule="exact"/>
        <w:rPr>
          <w:sz w:val="20"/>
          <w:szCs w:val="20"/>
          <w:color w:val="auto"/>
        </w:rPr>
      </w:pPr>
    </w:p>
    <w:p>
      <w:pPr>
        <w:ind w:left="973" w:hanging="545"/>
        <w:spacing w:after="0"/>
        <w:tabs>
          <w:tab w:leader="none" w:pos="97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Chair</w:t>
      </w:r>
    </w:p>
    <w:p>
      <w:pPr>
        <w:spacing w:after="0" w:line="117" w:lineRule="exact"/>
        <w:rPr>
          <w:rFonts w:ascii="Times New Roman" w:cs="Times New Roman" w:eastAsia="Times New Roman" w:hAnsi="Times New Roman"/>
          <w:sz w:val="18"/>
          <w:szCs w:val="18"/>
          <w:color w:val="auto"/>
        </w:rPr>
      </w:pPr>
    </w:p>
    <w:p>
      <w:pPr>
        <w:ind w:left="973"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Corporate Governance Committee, Human Resources Committee and Risk Committee are each chaired by a director who is selected by the Board on the recommendation of the Corporate Governance Committee. The chair of each committee is responsible for determining the agenda, frequency and conduct of committee meetings. The Board maintains a position description for the committee chairs.</w:t>
      </w:r>
    </w:p>
    <w:p>
      <w:pPr>
        <w:spacing w:after="0" w:line="322"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Charters</w:t>
      </w:r>
    </w:p>
    <w:p>
      <w:pPr>
        <w:spacing w:after="0" w:line="117" w:lineRule="exact"/>
        <w:rPr>
          <w:rFonts w:ascii="Times New Roman" w:cs="Times New Roman" w:eastAsia="Times New Roman" w:hAnsi="Times New Roman"/>
          <w:sz w:val="18"/>
          <w:szCs w:val="18"/>
          <w:color w:val="auto"/>
        </w:rPr>
      </w:pPr>
    </w:p>
    <w:p>
      <w:pPr>
        <w:ind w:left="973"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committee has its own charter that sets out its responsibilities and duties, qualifications for membership, procedures for committee member removal and appointment and reporting to the Board. On an annual basis, each committee’s charter is reviewed by both the committee itself and the Corporate Governance Committee and an update regarding the annual review is provided to the Board. Copies of each charter are posted on the Thomson Reuters website.</w:t>
      </w:r>
    </w:p>
    <w:p>
      <w:pPr>
        <w:spacing w:after="0" w:line="322"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AND COMMITTEE MEETINGS</w:t>
      </w:r>
    </w:p>
    <w:p>
      <w:pPr>
        <w:spacing w:after="0" w:line="127"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Scheduling</w:t>
      </w:r>
    </w:p>
    <w:p>
      <w:pPr>
        <w:spacing w:after="0" w:line="117" w:lineRule="exact"/>
        <w:rPr>
          <w:rFonts w:ascii="Times New Roman" w:cs="Times New Roman" w:eastAsia="Times New Roman" w:hAnsi="Times New Roman"/>
          <w:sz w:val="18"/>
          <w:szCs w:val="18"/>
          <w:color w:val="auto"/>
        </w:rPr>
      </w:pPr>
    </w:p>
    <w:p>
      <w:pPr>
        <w:ind w:left="973"/>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meetings are scheduled in advance at appropriate intervals throughout the year. In addition to regularly scheduled Board meetings, additional Board meetings may be called upon proper notice at any time to address specific needs of Thomson Reuters. The Board may also take action from time to time by unanimous written consent. A Board meeting may be called by the Chairman, any Deputy Chairman, the Lead Independent Director, the Chief Executive Officer or any two directors.</w:t>
      </w:r>
    </w:p>
    <w:p>
      <w:pPr>
        <w:spacing w:after="0" w:line="72" w:lineRule="exact"/>
        <w:rPr>
          <w:rFonts w:ascii="Times New Roman" w:cs="Times New Roman" w:eastAsia="Times New Roman" w:hAnsi="Times New Roman"/>
          <w:sz w:val="18"/>
          <w:szCs w:val="18"/>
          <w:color w:val="auto"/>
        </w:rPr>
      </w:pPr>
    </w:p>
    <w:p>
      <w:pPr>
        <w:jc w:val="both"/>
        <w:ind w:left="973"/>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Each committee meets as often as it determines is necessary to fulfill its responsibilities. A meeting of any committee may be called by the chair or any other member of the committee, the Chairman, any Deputy Chairman, the Chief Executive Officer or the Company Secretary.</w:t>
      </w:r>
    </w:p>
    <w:p>
      <w:pPr>
        <w:spacing w:after="0" w:line="73" w:lineRule="exact"/>
        <w:rPr>
          <w:rFonts w:ascii="Times New Roman" w:cs="Times New Roman" w:eastAsia="Times New Roman" w:hAnsi="Times New Roman"/>
          <w:sz w:val="18"/>
          <w:szCs w:val="18"/>
          <w:color w:val="auto"/>
        </w:rPr>
      </w:pPr>
    </w:p>
    <w:p>
      <w:pPr>
        <w:ind w:left="5413" w:hanging="105"/>
        <w:spacing w:after="0"/>
        <w:tabs>
          <w:tab w:leader="none" w:pos="5413"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873"/>
          </w:cols>
          <w:pgMar w:left="487" w:top="268" w:right="539" w:bottom="1440" w:gutter="0" w:footer="0" w:header="0"/>
        </w:sectPr>
      </w:pPr>
    </w:p>
    <w:bookmarkStart w:id="135" w:name="page136"/>
    <w:bookmarkEnd w:id="135"/>
    <w:p>
      <w:pPr>
        <w:ind w:left="545"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Board meetings are held in a manner and at a location or virtually, as determined by the Chairman, and meetings of each committee are held in a manner and at a location or virtually, as determined by the committee chair. The Board generally meets at least once a year at the offices of one of Thomson Reuters businesses so that directors may meet operating management and develop a deeper understanding of a particular business group.</w:t>
      </w:r>
    </w:p>
    <w:p>
      <w:pPr>
        <w:spacing w:after="0" w:line="323" w:lineRule="exact"/>
        <w:rPr>
          <w:sz w:val="20"/>
          <w:szCs w:val="20"/>
          <w:color w:val="auto"/>
        </w:rPr>
      </w:pPr>
    </w:p>
    <w:p>
      <w:pPr>
        <w:ind w:left="545" w:hanging="545"/>
        <w:spacing w:after="0"/>
        <w:tabs>
          <w:tab w:leader="none" w:pos="5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Agenda</w:t>
      </w:r>
    </w:p>
    <w:p>
      <w:pPr>
        <w:spacing w:after="0" w:line="117" w:lineRule="exact"/>
        <w:rPr>
          <w:rFonts w:ascii="Times New Roman" w:cs="Times New Roman" w:eastAsia="Times New Roman" w:hAnsi="Times New Roman"/>
          <w:sz w:val="18"/>
          <w:szCs w:val="18"/>
          <w:color w:val="auto"/>
        </w:rPr>
      </w:pPr>
    </w:p>
    <w:p>
      <w:pPr>
        <w:ind w:left="545" w:right="1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establishes the agenda for each Board meeting in consultation with any Deputy Chairman, the Lead Independent Director, the other directors, the Company Secretary and the Chief Executive Officer. Any director may propose the inclusion of items on the agenda or at any Board meeting raise subjects that are not on the agenda for that meeting.</w:t>
      </w:r>
    </w:p>
    <w:p>
      <w:pPr>
        <w:spacing w:after="0" w:line="68" w:lineRule="exact"/>
        <w:rPr>
          <w:rFonts w:ascii="Times New Roman" w:cs="Times New Roman" w:eastAsia="Times New Roman" w:hAnsi="Times New Roman"/>
          <w:sz w:val="18"/>
          <w:szCs w:val="18"/>
          <w:color w:val="auto"/>
        </w:rPr>
      </w:pPr>
    </w:p>
    <w:p>
      <w:pPr>
        <w:ind w:left="545" w:right="28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chairs establish the agenda for each committee meeting. Any committee member may propose the inclusion of items on the agenda or at any committee meeting raise subjects that are not on the agenda for the meeting.</w:t>
      </w:r>
    </w:p>
    <w:p>
      <w:pPr>
        <w:spacing w:after="0" w:line="305"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Meetings of Non-Management and Independent Directors</w:t>
      </w:r>
    </w:p>
    <w:p>
      <w:pPr>
        <w:spacing w:after="0" w:line="117" w:lineRule="exact"/>
        <w:rPr>
          <w:rFonts w:ascii="Times New Roman" w:cs="Times New Roman" w:eastAsia="Times New Roman" w:hAnsi="Times New Roman"/>
          <w:sz w:val="18"/>
          <w:szCs w:val="18"/>
          <w:color w:val="auto"/>
        </w:rPr>
      </w:pPr>
    </w:p>
    <w:p>
      <w:pPr>
        <w:ind w:left="545"/>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Board’s independence, non-management directors meet as a group during each regularly scheduled Board meeting without management present. Non-management directors may also meet without management present at such other times as appropriate. Any Deputy Chairman, the Lead Independent Director or the Chair of the Corporate Governance Committee will chair these meetings and inform management of their substance to the extent that action is appropriate or required. The independent directors meet separately as a group as part of each regularly scheduled Board meeting without management or non-independent directors present. Any Lead Independent Director (or if none has been elected, the Chair of the Corporate Governance Committee, or in their absence, a committee chair that is an independent director) chairs these meetings and informs the Chairman of the substance of these meetings to the extent that action is appropriate or required.</w:t>
      </w:r>
    </w:p>
    <w:p>
      <w:pPr>
        <w:spacing w:after="0" w:line="330"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 of Information</w:t>
      </w:r>
    </w:p>
    <w:p>
      <w:pPr>
        <w:spacing w:after="0" w:line="117" w:lineRule="exact"/>
        <w:rPr>
          <w:rFonts w:ascii="Times New Roman" w:cs="Times New Roman" w:eastAsia="Times New Roman" w:hAnsi="Times New Roman"/>
          <w:sz w:val="18"/>
          <w:szCs w:val="18"/>
          <w:color w:val="auto"/>
        </w:rPr>
      </w:pPr>
    </w:p>
    <w:p>
      <w:pPr>
        <w:ind w:left="545" w:right="2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is important to the Board’s understanding of the business and its meeting agenda is distributed to the Board before it meets. Sensitive subject matters may be discussed at a meeting without written materials being distributed in advance or at the meeting. The Board periodically receives reports on the operating activities of Thomson Reuters, as well as reports on certain functional matters, including corporate governance, tax, information security, pensions and treasury matters. Thomson Reuters utilizes a board portal for directors, which is used to distribute information and to foster communication among directors and between directors and Thomson Reuters senior management.</w:t>
      </w:r>
    </w:p>
    <w:p>
      <w:pPr>
        <w:spacing w:after="0" w:line="116" w:lineRule="exact"/>
        <w:rPr>
          <w:rFonts w:ascii="Times New Roman" w:cs="Times New Roman" w:eastAsia="Times New Roman" w:hAnsi="Times New Roman"/>
          <w:sz w:val="18"/>
          <w:szCs w:val="18"/>
          <w:color w:val="auto"/>
        </w:rPr>
      </w:pPr>
    </w:p>
    <w:p>
      <w:pPr>
        <w:ind w:left="4945" w:hanging="109"/>
        <w:spacing w:after="0"/>
        <w:tabs>
          <w:tab w:leader="none" w:pos="494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465"/>
          </w:cols>
          <w:pgMar w:left="915" w:top="268" w:right="519" w:bottom="1440" w:gutter="0" w:footer="0" w:header="0"/>
        </w:sectPr>
      </w:pPr>
    </w:p>
    <w:bookmarkStart w:id="136" w:name="page137"/>
    <w:bookmarkEnd w:id="136"/>
    <w:p>
      <w:pPr>
        <w:ind w:left="973" w:hanging="545"/>
        <w:spacing w:after="0"/>
        <w:tabs>
          <w:tab w:leader="none" w:pos="9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Preparation, Attendance and Participation</w:t>
      </w:r>
    </w:p>
    <w:p>
      <w:pPr>
        <w:spacing w:after="0" w:line="117" w:lineRule="exact"/>
        <w:rPr>
          <w:rFonts w:ascii="Times New Roman" w:cs="Times New Roman" w:eastAsia="Times New Roman" w:hAnsi="Times New Roman"/>
          <w:sz w:val="18"/>
          <w:szCs w:val="18"/>
          <w:color w:val="auto"/>
        </w:rPr>
      </w:pPr>
    </w:p>
    <w:p>
      <w:pPr>
        <w:jc w:val="both"/>
        <w:ind w:left="973" w:right="5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is expected to prepare adequately for and attend all meetings of the Board and any committee of which he or she is a member. A director who is unable to attend a Board or committee meeting in person may participate by telephone, teleconference, videoconference or telepresence.</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w:t>
      </w:r>
    </w:p>
    <w:p>
      <w:pPr>
        <w:spacing w:after="0" w:line="117" w:lineRule="exact"/>
        <w:rPr>
          <w:rFonts w:ascii="Times New Roman" w:cs="Times New Roman" w:eastAsia="Times New Roman" w:hAnsi="Times New Roman"/>
          <w:sz w:val="18"/>
          <w:szCs w:val="18"/>
          <w:color w:val="auto"/>
        </w:rPr>
      </w:pPr>
    </w:p>
    <w:p>
      <w:pPr>
        <w:ind w:left="973" w:right="48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Board meetings are determined by the Chairman unless otherwise determined by the by-laws of the Corporation or a resolution of the Board.</w:t>
      </w:r>
    </w:p>
    <w:p>
      <w:pPr>
        <w:spacing w:after="0" w:line="55" w:lineRule="exact"/>
        <w:rPr>
          <w:rFonts w:ascii="Times New Roman" w:cs="Times New Roman" w:eastAsia="Times New Roman" w:hAnsi="Times New Roman"/>
          <w:sz w:val="18"/>
          <w:szCs w:val="18"/>
          <w:color w:val="auto"/>
        </w:rPr>
      </w:pPr>
    </w:p>
    <w:p>
      <w:pPr>
        <w:ind w:left="973" w:right="48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committee meetings are determined by the chair of the committee unless otherwise determined by the by-laws of the Corporation or a resolution of the committee or the Board.</w:t>
      </w:r>
    </w:p>
    <w:p>
      <w:pPr>
        <w:spacing w:after="0" w:line="305"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rFonts w:ascii="Times New Roman" w:cs="Times New Roman" w:eastAsia="Times New Roman" w:hAnsi="Times New Roman"/>
          <w:sz w:val="18"/>
          <w:szCs w:val="18"/>
          <w:b w:val="1"/>
          <w:bCs w:val="1"/>
          <w:color w:val="auto"/>
        </w:rPr>
      </w:pPr>
    </w:p>
    <w:p>
      <w:pPr>
        <w:ind w:left="433"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for directors of the Corporation is designed to attract and retain highly talented, committed and experienced directors. The Board believes that directors must be competitively compensated, taking into account the size and complexity of Thomson Reuters. The Corporate Governance Committee is responsible for reviewing directors’ compensation to ensure that it is competitive and consistent with the responsibilities, time commitment and risks associated with being an effective director and, to this end, periodically reviews directors’ compensation in the marketplace.</w:t>
      </w:r>
    </w:p>
    <w:p>
      <w:pPr>
        <w:spacing w:after="0" w:line="77" w:lineRule="exact"/>
        <w:rPr>
          <w:rFonts w:ascii="Times New Roman" w:cs="Times New Roman" w:eastAsia="Times New Roman" w:hAnsi="Times New Roman"/>
          <w:sz w:val="18"/>
          <w:szCs w:val="18"/>
          <w:b w:val="1"/>
          <w:bCs w:val="1"/>
          <w:color w:val="auto"/>
        </w:rPr>
      </w:pPr>
    </w:p>
    <w:p>
      <w:pPr>
        <w:ind w:left="433" w:right="10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Non-management directors (other than the Chairman) are required to receive a specified portion of their annual retainer paid in deferred share units and they have the option to receive the remaining portion of their annual retainer in the form of deferred share units, common shares of the Corporation or cash (or a mix thereof). The mandatory equity component will be established by the Corporate Governance Committee. If a director elects to receive any portion of his or her annual retainer or other compensation in the form of common shares, the amount (net of withholding taxes) is used to buy common shares on the open market. If a director elects to receive deferred share units, units representing the value of the common shares are credited to the director’s account based on the market value of a share. Deferred share units are paid to the director following termination of Board service. Payment will be made in common shares or cash (net of withholding taxes) based on the market value of the common shares. Deferred share units also accumulate additional units based on notional equivalents of dividends paid on the Corporation’s common shares. The Board believes that the Corporation’s director compensation arrangements further align the interests of directors with the interests of other shareholders.</w:t>
      </w:r>
    </w:p>
    <w:p>
      <w:pPr>
        <w:spacing w:after="0" w:line="82" w:lineRule="exact"/>
        <w:rPr>
          <w:rFonts w:ascii="Times New Roman" w:cs="Times New Roman" w:eastAsia="Times New Roman" w:hAnsi="Times New Roman"/>
          <w:sz w:val="18"/>
          <w:szCs w:val="18"/>
          <w:b w:val="1"/>
          <w:bCs w:val="1"/>
          <w:color w:val="auto"/>
        </w:rPr>
      </w:pPr>
    </w:p>
    <w:p>
      <w:pPr>
        <w:ind w:left="433"/>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Chairman, any Deputy Chairman and the Lead Independent Director receive an annual retainer. The Chief Executive Officer does not receive additional compensation for serving as a director.</w:t>
      </w:r>
    </w:p>
    <w:p>
      <w:pPr>
        <w:spacing w:after="0" w:line="95" w:lineRule="exact"/>
        <w:rPr>
          <w:rFonts w:ascii="Times New Roman" w:cs="Times New Roman" w:eastAsia="Times New Roman" w:hAnsi="Times New Roman"/>
          <w:sz w:val="18"/>
          <w:szCs w:val="18"/>
          <w:b w:val="1"/>
          <w:bCs w:val="1"/>
          <w:color w:val="auto"/>
        </w:rPr>
      </w:pPr>
    </w:p>
    <w:p>
      <w:pPr>
        <w:ind w:left="5373" w:hanging="106"/>
        <w:spacing w:after="0"/>
        <w:tabs>
          <w:tab w:leader="none" w:pos="537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853"/>
          </w:cols>
          <w:pgMar w:left="487" w:top="264" w:right="559" w:bottom="1440" w:gutter="0" w:footer="0" w:header="0"/>
        </w:sectPr>
      </w:pPr>
    </w:p>
    <w:bookmarkStart w:id="137" w:name="page138"/>
    <w:bookmarkEnd w:id="137"/>
    <w:p>
      <w:pPr>
        <w:ind w:left="433" w:hanging="433"/>
        <w:spacing w:after="0"/>
        <w:tabs>
          <w:tab w:leader="none" w:pos="43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REIMBURSEMENT OF EXPENSES</w:t>
      </w:r>
    </w:p>
    <w:p>
      <w:pPr>
        <w:spacing w:after="0" w:line="117" w:lineRule="exact"/>
        <w:rPr>
          <w:rFonts w:ascii="Times New Roman" w:cs="Times New Roman" w:eastAsia="Times New Roman" w:hAnsi="Times New Roman"/>
          <w:sz w:val="18"/>
          <w:szCs w:val="18"/>
          <w:b w:val="1"/>
          <w:bCs w:val="1"/>
          <w:color w:val="auto"/>
        </w:rPr>
      </w:pPr>
    </w:p>
    <w:p>
      <w:pPr>
        <w:ind w:left="433" w:right="6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are reimbursed by Thomson Reuters for reasonable travel and out-of-pocket expenses incurred in connection with their duties as directors. The Corporate Governance Committee periodically reviews expenses submitted for reimbursement.</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 GUIDELINES</w:t>
      </w:r>
    </w:p>
    <w:p>
      <w:pPr>
        <w:spacing w:after="0" w:line="117" w:lineRule="exact"/>
        <w:rPr>
          <w:rFonts w:ascii="Times New Roman" w:cs="Times New Roman" w:eastAsia="Times New Roman" w:hAnsi="Times New Roman"/>
          <w:sz w:val="18"/>
          <w:szCs w:val="18"/>
          <w:b w:val="1"/>
          <w:bCs w:val="1"/>
          <w:color w:val="auto"/>
        </w:rPr>
      </w:pPr>
    </w:p>
    <w:p>
      <w:pPr>
        <w:ind w:left="433" w:right="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believes that meaningful share ownership by directors and senior executive officers is in the best interest of Thomson Reuters because it further aligns the interests of directors and senior executive officers with those of its shareholders.</w:t>
      </w:r>
    </w:p>
    <w:p>
      <w:pPr>
        <w:spacing w:after="0" w:line="64"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w:t>
      </w:r>
    </w:p>
    <w:p>
      <w:pPr>
        <w:spacing w:after="0" w:line="117" w:lineRule="exact"/>
        <w:rPr>
          <w:rFonts w:ascii="Times New Roman" w:cs="Times New Roman" w:eastAsia="Times New Roman" w:hAnsi="Times New Roman"/>
          <w:sz w:val="18"/>
          <w:szCs w:val="18"/>
          <w:color w:val="auto"/>
        </w:rPr>
      </w:pPr>
    </w:p>
    <w:p>
      <w:pPr>
        <w:jc w:val="both"/>
        <w:ind w:left="973" w:right="1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Non-management directors are required to hold common shares of the Corporation and/or deferred share units having a value equal to at least three times the amount of the annual directors’ retainer within five years from the date of their initial election or appointment to the Board.</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Senior Executive Officers</w:t>
      </w:r>
    </w:p>
    <w:p>
      <w:pPr>
        <w:spacing w:after="0" w:line="117" w:lineRule="exact"/>
        <w:rPr>
          <w:rFonts w:ascii="Times New Roman" w:cs="Times New Roman" w:eastAsia="Times New Roman" w:hAnsi="Times New Roman"/>
          <w:sz w:val="18"/>
          <w:szCs w:val="18"/>
          <w:color w:val="auto"/>
        </w:rPr>
      </w:pPr>
    </w:p>
    <w:p>
      <w:pPr>
        <w:ind w:left="973"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is required to hold common shares of the Corporation and/or deferred share units having a value equal to at least six times his or her annual base salary. The other senior executive officers of the Corporation are required to hold common shares of the Corporation and/or deferred share units having a value equal to a multiple of their annual base salary depending on their position with the Corporation.</w:t>
      </w:r>
    </w:p>
    <w:p>
      <w:pPr>
        <w:spacing w:after="0" w:line="72" w:lineRule="exact"/>
        <w:rPr>
          <w:rFonts w:ascii="Times New Roman" w:cs="Times New Roman" w:eastAsia="Times New Roman" w:hAnsi="Times New Roman"/>
          <w:sz w:val="18"/>
          <w:szCs w:val="18"/>
          <w:color w:val="auto"/>
        </w:rPr>
      </w:pPr>
    </w:p>
    <w:p>
      <w:pPr>
        <w:ind w:left="973"/>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and the other executive officers of the Corporation do not have a deadline by which to meet the share ownership guidelines. They are, however, required to retain a specified percentage of the common shares of the Corporation that they acquire (after applicable tax withholdings) through option exercises and the vesting of restricted share units until they have met the share ownership guidelines. The Chief Executive Officer is currently required to retain 100% of the common shares of the Corporation that he or she acquires and the other executive officers of the Corporation are required to retain 50% of the common shares of the Corporation that they acquire, until they meet the share ownership guidelines.</w:t>
      </w:r>
    </w:p>
    <w:p>
      <w:pPr>
        <w:spacing w:after="0" w:line="326"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17" w:lineRule="exact"/>
        <w:rPr>
          <w:rFonts w:ascii="Times New Roman" w:cs="Times New Roman" w:eastAsia="Times New Roman" w:hAnsi="Times New Roman"/>
          <w:sz w:val="18"/>
          <w:szCs w:val="18"/>
          <w:b w:val="1"/>
          <w:bCs w:val="1"/>
          <w:color w:val="auto"/>
        </w:rPr>
      </w:pPr>
    </w:p>
    <w:p>
      <w:pPr>
        <w:ind w:left="433"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directors receive orientation materials describing the Thomson Reuters business, its corporate governance structure and related policies and information. New directors also have meetings with the Chairman, any Deputy Chairman, the Lead Independent Director, Chief Executive Officer and Chief Financial Officer and other executive officers, including the heads of Thomson Reuters major businesses. Early in their tenure, new directors are provided with the opportunity to visit major facilities and meet with operating management.</w:t>
      </w:r>
    </w:p>
    <w:p>
      <w:pPr>
        <w:spacing w:after="0" w:line="113" w:lineRule="exact"/>
        <w:rPr>
          <w:rFonts w:ascii="Times New Roman" w:cs="Times New Roman" w:eastAsia="Times New Roman" w:hAnsi="Times New Roman"/>
          <w:sz w:val="18"/>
          <w:szCs w:val="18"/>
          <w:b w:val="1"/>
          <w:bCs w:val="1"/>
          <w:color w:val="auto"/>
        </w:rPr>
      </w:pPr>
    </w:p>
    <w:p>
      <w:pPr>
        <w:ind w:left="5373" w:hanging="109"/>
        <w:spacing w:after="0"/>
        <w:tabs>
          <w:tab w:leader="none" w:pos="5373"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893"/>
          </w:cols>
          <w:pgMar w:left="487" w:top="264" w:right="519" w:bottom="1440" w:gutter="0" w:footer="0" w:header="0"/>
        </w:sectPr>
      </w:pPr>
    </w:p>
    <w:bookmarkStart w:id="138" w:name="page139"/>
    <w:bookmarkEnd w:id="138"/>
    <w:p>
      <w:pPr>
        <w:ind w:left="433" w:right="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Corporate Governance Committee is responsible for confirming that procedures are in place and resources are made available to provide directors with appropriate continuing education opportunities. Directors may attend continuing education programs at Thomson Reuters expense.</w:t>
      </w:r>
    </w:p>
    <w:p>
      <w:pPr>
        <w:spacing w:after="0" w:line="283" w:lineRule="exact"/>
        <w:rPr>
          <w:sz w:val="20"/>
          <w:szCs w:val="20"/>
          <w:color w:val="auto"/>
        </w:rPr>
      </w:pPr>
    </w:p>
    <w:p>
      <w:pPr>
        <w:ind w:left="433" w:hanging="433"/>
        <w:spacing w:after="0"/>
        <w:tabs>
          <w:tab w:leader="none" w:pos="43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ACCESS TO MANAGEMENT AND ADVISORS</w:t>
      </w:r>
    </w:p>
    <w:p>
      <w:pPr>
        <w:spacing w:after="0" w:line="117" w:lineRule="exact"/>
        <w:rPr>
          <w:rFonts w:ascii="Times New Roman" w:cs="Times New Roman" w:eastAsia="Times New Roman" w:hAnsi="Times New Roman"/>
          <w:sz w:val="18"/>
          <w:szCs w:val="18"/>
          <w:b w:val="1"/>
          <w:bCs w:val="1"/>
          <w:color w:val="auto"/>
        </w:rPr>
      </w:pPr>
    </w:p>
    <w:p>
      <w:pPr>
        <w:ind w:left="433" w:right="2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complete access to members of Thomson Reuters management and directors are encouraged to raise any questions or concerns directly with management. The Board and its committees may invite any member of senior management, employee, outside advisor or other person to attend or report at any of their meetings.</w:t>
      </w:r>
    </w:p>
    <w:p>
      <w:pPr>
        <w:spacing w:after="0" w:line="68" w:lineRule="exact"/>
        <w:rPr>
          <w:rFonts w:ascii="Times New Roman" w:cs="Times New Roman" w:eastAsia="Times New Roman" w:hAnsi="Times New Roman"/>
          <w:sz w:val="18"/>
          <w:szCs w:val="18"/>
          <w:b w:val="1"/>
          <w:bCs w:val="1"/>
          <w:color w:val="auto"/>
        </w:rPr>
      </w:pPr>
    </w:p>
    <w:p>
      <w:pPr>
        <w:ind w:left="433"/>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carrying out their duties, the Board and any of its committees may at any time retain an outside advisor at the expense of Thomson Reuters and have the authority to determine the advisor’s fees and other retention terms. Individual directors may retain an outside advisor at the expense of Thomson Reuters subject to notifying the Corporate Governance Committee in advance.</w:t>
      </w:r>
    </w:p>
    <w:p>
      <w:pPr>
        <w:spacing w:after="0" w:line="318"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EFFECTIVENESS REVIEW</w:t>
      </w:r>
    </w:p>
    <w:p>
      <w:pPr>
        <w:spacing w:after="0" w:line="117" w:lineRule="exact"/>
        <w:rPr>
          <w:rFonts w:ascii="Times New Roman" w:cs="Times New Roman" w:eastAsia="Times New Roman" w:hAnsi="Times New Roman"/>
          <w:sz w:val="18"/>
          <w:szCs w:val="18"/>
          <w:b w:val="1"/>
          <w:bCs w:val="1"/>
          <w:color w:val="auto"/>
        </w:rPr>
      </w:pPr>
    </w:p>
    <w:p>
      <w:pPr>
        <w:ind w:left="433"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acting through the Corporate Governance Committee, annually reviews the effectiveness of the Board and each Board committee in fulfilling their responsibilities and duties. The form of the Corporate Governance Committee’s annual review and assessment may vary from year to year, but is designed to assess the effectiveness of the Board and its committees and solicit constructive feedback on the performance of the Chairman, any Deputy Chairman, the Lead Independent Director, the chair of each of the Board committees and individual directors.</w:t>
      </w:r>
    </w:p>
    <w:p>
      <w:pPr>
        <w:spacing w:after="0" w:line="322"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BUSINESS CONDUCT AND ETHICS</w:t>
      </w:r>
    </w:p>
    <w:p>
      <w:pPr>
        <w:spacing w:after="0" w:line="117" w:lineRule="exact"/>
        <w:rPr>
          <w:rFonts w:ascii="Times New Roman" w:cs="Times New Roman" w:eastAsia="Times New Roman" w:hAnsi="Times New Roman"/>
          <w:sz w:val="18"/>
          <w:szCs w:val="18"/>
          <w:b w:val="1"/>
          <w:bCs w:val="1"/>
          <w:color w:val="auto"/>
        </w:rPr>
      </w:pPr>
    </w:p>
    <w:p>
      <w:pPr>
        <w:ind w:left="433"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adopted a Code of Business Conduct and Ethics. The Board expects all directors, officers and employees of Thomson Reuters to conduct themselves in accordance with the highest ethical standards and to adhere to the Code. Any waiver of the Code for directors or executive officers may only be made by the Board or one of its committees and will be disclosed by Thomson Reuters to the extent required by law, regulation or stock exchange rules and requirements.</w:t>
      </w:r>
    </w:p>
    <w:p>
      <w:pPr>
        <w:spacing w:after="0" w:line="322"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PERSONAL LOANS</w:t>
      </w:r>
    </w:p>
    <w:p>
      <w:pPr>
        <w:spacing w:after="0" w:line="117" w:lineRule="exact"/>
        <w:rPr>
          <w:rFonts w:ascii="Times New Roman" w:cs="Times New Roman" w:eastAsia="Times New Roman" w:hAnsi="Times New Roman"/>
          <w:sz w:val="18"/>
          <w:szCs w:val="18"/>
          <w:b w:val="1"/>
          <w:bCs w:val="1"/>
          <w:color w:val="auto"/>
        </w:rPr>
      </w:pPr>
    </w:p>
    <w:p>
      <w:pPr>
        <w:ind w:left="433"/>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Reuters does not extend or maintain credit, arrange for the extension of credit, or renew an extension of credit, in the form of a personal loan to or for any director or executive officer.</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AND INSURANCE</w:t>
      </w:r>
    </w:p>
    <w:p>
      <w:pPr>
        <w:spacing w:after="0" w:line="117" w:lineRule="exact"/>
        <w:rPr>
          <w:rFonts w:ascii="Times New Roman" w:cs="Times New Roman" w:eastAsia="Times New Roman" w:hAnsi="Times New Roman"/>
          <w:sz w:val="18"/>
          <w:szCs w:val="18"/>
          <w:b w:val="1"/>
          <w:bCs w:val="1"/>
          <w:color w:val="auto"/>
        </w:rPr>
      </w:pPr>
    </w:p>
    <w:p>
      <w:pPr>
        <w:ind w:left="43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are indemnified by the Corporation to the extent permitted by applicable laws and regulations.</w:t>
      </w:r>
    </w:p>
    <w:p>
      <w:pPr>
        <w:spacing w:after="0" w:line="154" w:lineRule="exact"/>
        <w:rPr>
          <w:rFonts w:ascii="Times New Roman" w:cs="Times New Roman" w:eastAsia="Times New Roman" w:hAnsi="Times New Roman"/>
          <w:sz w:val="18"/>
          <w:szCs w:val="18"/>
          <w:b w:val="1"/>
          <w:bCs w:val="1"/>
          <w:color w:val="auto"/>
        </w:rPr>
      </w:pPr>
    </w:p>
    <w:p>
      <w:pPr>
        <w:ind w:left="5373" w:hanging="109"/>
        <w:spacing w:after="0"/>
        <w:tabs>
          <w:tab w:leader="none" w:pos="537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833"/>
          </w:cols>
          <w:pgMar w:left="487" w:top="268" w:right="579" w:bottom="1440" w:gutter="0" w:footer="0" w:header="0"/>
        </w:sectPr>
      </w:pPr>
    </w:p>
    <w:bookmarkStart w:id="139" w:name="page140"/>
    <w:bookmarkEnd w:id="139"/>
    <w:p>
      <w:pPr>
        <w:jc w:val="both"/>
        <w:ind w:left="433" w:right="1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Corporation maintains insurance for the benefit of its directors and officers against any liability incurred by them. The amount and terms of the insurance coverage are dependent upon prevailing market conditions and practices with the objective of adequately protecting directors and officers from such liability.</w:t>
      </w:r>
    </w:p>
    <w:p>
      <w:pPr>
        <w:spacing w:after="0" w:line="319" w:lineRule="exact"/>
        <w:rPr>
          <w:sz w:val="20"/>
          <w:szCs w:val="20"/>
          <w:color w:val="auto"/>
        </w:rPr>
      </w:pPr>
    </w:p>
    <w:p>
      <w:pPr>
        <w:ind w:left="433" w:hanging="433"/>
        <w:spacing w:after="0"/>
        <w:tabs>
          <w:tab w:leader="none" w:pos="43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117" w:lineRule="exact"/>
        <w:rPr>
          <w:rFonts w:ascii="Times New Roman" w:cs="Times New Roman" w:eastAsia="Times New Roman" w:hAnsi="Times New Roman"/>
          <w:sz w:val="18"/>
          <w:szCs w:val="18"/>
          <w:b w:val="1"/>
          <w:bCs w:val="1"/>
          <w:color w:val="auto"/>
        </w:rPr>
      </w:pPr>
    </w:p>
    <w:p>
      <w:pPr>
        <w:ind w:left="433"/>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director is required to inform the Board of any potential or actual conflict of interest he or she may have with Thomson Reuters. Thomson Reuters’ policies on conflicts of interest are reflected in the Code, these guidelines and supplemental guidance provided to the Board. A director who has a conflict of interest in a matter before the Board or a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 If a director has a significant, ongoing and irreconcilable conflict, voluntary resignation from the Board or the conflicting interest may be appropriate or required.</w:t>
      </w:r>
    </w:p>
    <w:p>
      <w:pPr>
        <w:spacing w:after="0" w:line="76" w:lineRule="exact"/>
        <w:rPr>
          <w:rFonts w:ascii="Times New Roman" w:cs="Times New Roman" w:eastAsia="Times New Roman" w:hAnsi="Times New Roman"/>
          <w:sz w:val="18"/>
          <w:szCs w:val="18"/>
          <w:b w:val="1"/>
          <w:bCs w:val="1"/>
          <w:color w:val="auto"/>
        </w:rPr>
      </w:pPr>
    </w:p>
    <w:p>
      <w:pPr>
        <w:ind w:left="433" w:right="6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avoid potential conflicts of interest, a member of senior management of the Corporation may not serve on the board or as a trustee of a company or institution that employs a director of the Corporation.</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CONTACT THE BOARD AND ITS COMMITTEES</w:t>
      </w:r>
    </w:p>
    <w:p>
      <w:pPr>
        <w:spacing w:after="0" w:line="117" w:lineRule="exact"/>
        <w:rPr>
          <w:rFonts w:ascii="Times New Roman" w:cs="Times New Roman" w:eastAsia="Times New Roman" w:hAnsi="Times New Roman"/>
          <w:sz w:val="18"/>
          <w:szCs w:val="18"/>
          <w:b w:val="1"/>
          <w:bCs w:val="1"/>
          <w:color w:val="auto"/>
        </w:rPr>
      </w:pPr>
    </w:p>
    <w:p>
      <w:pPr>
        <w:ind w:left="433" w:right="5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welcomes input and comments from shareholders of the Corporation. You may contact one or more members of the Board or its committees by writing to the Company Secretary at:</w:t>
      </w:r>
    </w:p>
    <w:p>
      <w:pPr>
        <w:spacing w:after="0" w:line="162"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Board of Directors of Thomson Reuters Corporation</w:t>
      </w:r>
    </w:p>
    <w:p>
      <w:pPr>
        <w:spacing w:after="0" w:line="26"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c/o Norie Campbell, Chief Legal Officer and Company Secretary</w:t>
      </w:r>
    </w:p>
    <w:p>
      <w:pPr>
        <w:spacing w:after="0" w:line="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Thomson Reuters Corporation</w:t>
      </w:r>
    </w:p>
    <w:p>
      <w:pPr>
        <w:spacing w:after="0" w:line="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19 Duncan Street</w:t>
      </w:r>
    </w:p>
    <w:p>
      <w:pPr>
        <w:spacing w:after="0" w:line="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Toronto, Ontario M5H 3H1</w:t>
      </w:r>
    </w:p>
    <w:p>
      <w:pPr>
        <w:spacing w:after="0" w:line="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Canada</w:t>
      </w:r>
    </w:p>
    <w:p>
      <w:pPr>
        <w:spacing w:after="0" w:line="135"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- 14 -</w:t>
      </w:r>
    </w:p>
    <w:sectPr>
      <w:pgSz w:w="11900" w:h="16838" w:orient="portrait"/>
      <w:cols w:equalWidth="0" w:num="1">
        <w:col w:w="10873"/>
      </w:cols>
      <w:pgMar w:left="487" w:top="2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endash "/>
      <w:numFmt w:val="bullet"/>
      <w:start w:val="1"/>
    </w:lvl>
  </w:abstractNum>
  <w:abstractNum w:abstractNumId="5">
    <w:nsid w:val="6A2342EC"/>
    <w:multiLevelType w:val="hybridMultilevel"/>
    <w:lvl w:ilvl="0">
      <w:lvlJc w:val="left"/>
      <w:lvlText w:val="·"/>
      <w:numFmt w:val="bullet"/>
      <w:start w:val="1"/>
    </w:lvl>
    <w:lvl w:ilvl="1">
      <w:lvlJc w:val="left"/>
      <w:lvlText w:val="\emdash "/>
      <w:numFmt w:val="bullet"/>
      <w:start w:val="1"/>
    </w:lvl>
  </w:abstractNum>
  <w:abstractNum w:abstractNumId="6">
    <w:nsid w:val="2A487CB0"/>
    <w:multiLevelType w:val="hybridMultilevel"/>
    <w:lvl w:ilvl="0">
      <w:lvlJc w:val="left"/>
      <w:lvlText w:val="\emdash "/>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bullet"/>
      <w:start w:val="1"/>
    </w:lvl>
  </w:abstractNum>
  <w:abstractNum w:abstractNumId="11">
    <w:nsid w:val="7A6D8D3C"/>
    <w:multiLevelType w:val="hybridMultilevel"/>
    <w:lvl w:ilvl="0">
      <w:lvlJc w:val="left"/>
      <w:lvlText w:val="2"/>
      <w:numFmt w:val="bullet"/>
      <w:start w:val="1"/>
    </w:lvl>
  </w:abstractNum>
  <w:abstractNum w:abstractNumId="12">
    <w:nsid w:val="4B588F54"/>
    <w:multiLevelType w:val="hybridMultilevel"/>
    <w:lvl w:ilvl="0">
      <w:lvlJc w:val="left"/>
      <w:lvlText w:val="2"/>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X"/>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bullet"/>
      <w:start w:val="1"/>
    </w:lvl>
  </w:abstractNum>
  <w:abstractNum w:abstractNumId="45">
    <w:nsid w:val="7E0C57B1"/>
    <w:multiLevelType w:val="hybridMultilevel"/>
    <w:lvl w:ilvl="0">
      <w:lvlJc w:val="left"/>
      <w:lvlText w:val="2"/>
      <w:numFmt w:val="bullet"/>
      <w:start w:val="1"/>
    </w:lvl>
  </w:abstractNum>
  <w:abstractNum w:abstractNumId="46">
    <w:nsid w:val="77AE35EB"/>
    <w:multiLevelType w:val="hybridMultilevel"/>
    <w:lvl w:ilvl="0">
      <w:lvlJc w:val="left"/>
      <w:lvlText w:val="3"/>
      <w:numFmt w:val="bullet"/>
      <w:start w:val="1"/>
    </w:lvl>
  </w:abstractNum>
  <w:abstractNum w:abstractNumId="47">
    <w:nsid w:val="579BE4F1"/>
    <w:multiLevelType w:val="hybridMultilevel"/>
    <w:lvl w:ilvl="0">
      <w:lvlJc w:val="left"/>
      <w:lvlText w:val="4"/>
      <w:numFmt w:val="bullet"/>
      <w:start w:val="1"/>
    </w:lvl>
  </w:abstractNum>
  <w:abstractNum w:abstractNumId="48">
    <w:nsid w:val="310C50B3"/>
    <w:multiLevelType w:val="hybridMultilevel"/>
    <w:lvl w:ilvl="0">
      <w:lvlJc w:val="left"/>
      <w:lvlText w:val="5"/>
      <w:numFmt w:val="bullet"/>
      <w:start w:val="1"/>
    </w:lvl>
  </w:abstractNum>
  <w:abstractNum w:abstractNumId="49">
    <w:nsid w:val="5FF87E05"/>
    <w:multiLevelType w:val="hybridMultilevel"/>
    <w:lvl w:ilvl="0">
      <w:lvlJc w:val="left"/>
      <w:lvlText w:val="6"/>
      <w:numFmt w:val="bullet"/>
      <w:start w:val="1"/>
    </w:lvl>
    <w:lvl w:ilvl="1">
      <w:lvlJc w:val="left"/>
      <w:lvlText w:val="●"/>
      <w:numFmt w:val="bullet"/>
      <w:start w:val="1"/>
    </w:lvl>
  </w:abstractNum>
  <w:abstractNum w:abstractNumId="50">
    <w:nsid w:val="2F305DEF"/>
    <w:multiLevelType w:val="hybridMultilevel"/>
    <w:lvl w:ilvl="0">
      <w:lvlJc w:val="left"/>
      <w:lvlText w:val="%1."/>
      <w:numFmt w:val="decimal"/>
      <w:start w:val="140"/>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2"/>
      <w:numFmt w:val="bullet"/>
      <w:start w:val="1"/>
    </w:lvl>
  </w:abstractNum>
  <w:abstractNum w:abstractNumId="53">
    <w:nsid w:val="4AD084E9"/>
    <w:multiLevelType w:val="hybridMultilevel"/>
    <w:lvl w:ilvl="0">
      <w:lvlJc w:val="left"/>
      <w:lvlText w:val="3"/>
      <w:numFmt w:val="bullet"/>
      <w:start w:val="1"/>
    </w:lvl>
  </w:abstractNum>
  <w:abstractNum w:abstractNumId="54">
    <w:nsid w:val="1F48EAA1"/>
    <w:multiLevelType w:val="hybridMultilevel"/>
    <w:lvl w:ilvl="0">
      <w:lvlJc w:val="left"/>
      <w:lvlText w:val="4"/>
      <w:numFmt w:val="bullet"/>
      <w:start w:val="1"/>
    </w:lvl>
  </w:abstractNum>
  <w:abstractNum w:abstractNumId="55">
    <w:nsid w:val="1381823A"/>
    <w:multiLevelType w:val="hybridMultilevel"/>
    <w:lvl w:ilvl="0">
      <w:lvlJc w:val="left"/>
      <w:lvlText w:val="5"/>
      <w:numFmt w:val="bullet"/>
      <w:start w:val="1"/>
    </w:lvl>
  </w:abstractNum>
  <w:abstractNum w:abstractNumId="56">
    <w:nsid w:val="5DB70AE5"/>
    <w:multiLevelType w:val="hybridMultilevel"/>
    <w:lvl w:ilvl="0">
      <w:lvlJc w:val="left"/>
      <w:lvlText w:val="6"/>
      <w:numFmt w:val="bullet"/>
      <w:start w:val="1"/>
    </w:lvl>
  </w:abstractNum>
  <w:abstractNum w:abstractNumId="57">
    <w:nsid w:val="100F8FCA"/>
    <w:multiLevelType w:val="hybridMultilevel"/>
    <w:lvl w:ilvl="0">
      <w:lvlJc w:val="left"/>
      <w:lvlText w:val="(%1)"/>
      <w:numFmt w:val="lowerRoman"/>
      <w:start w:val="3"/>
    </w:lvl>
  </w:abstractNum>
  <w:abstractNum w:abstractNumId="58">
    <w:nsid w:val="6590700B"/>
    <w:multiLevelType w:val="hybridMultilevel"/>
    <w:lvl w:ilvl="0">
      <w:lvlJc w:val="left"/>
      <w:lvlText w:val="2"/>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
      <w:numFmt w:val="bullet"/>
      <w:start w:val="1"/>
    </w:lvl>
    <w:lvl w:ilvl="1">
      <w:lvlJc w:val="left"/>
      <w:lvlText w:val="¡"/>
      <w:numFmt w:val="bullet"/>
      <w:start w:val="1"/>
    </w:lvl>
  </w:abstractNum>
  <w:abstractNum w:abstractNumId="61">
    <w:nsid w:val="98A3148"/>
    <w:multiLevelType w:val="hybridMultilevel"/>
    <w:lvl w:ilvl="0">
      <w:lvlJc w:val="left"/>
      <w:lvlText w:val="%1."/>
      <w:numFmt w:val="decimal"/>
      <w:start w:val="1"/>
    </w:lvl>
    <w:lvl w:ilvl="1">
      <w:lvlJc w:val="left"/>
      <w:lvlText w:val="(%2)"/>
      <w:numFmt w:val="lowerLetter"/>
      <w:start w:val="1"/>
    </w:lvl>
  </w:abstractNum>
  <w:abstractNum w:abstractNumId="62">
    <w:nsid w:val="799D0247"/>
    <w:multiLevelType w:val="hybridMultilevel"/>
    <w:lvl w:ilvl="0">
      <w:lvlJc w:val="left"/>
      <w:lvlText w:val="(%1)"/>
      <w:numFmt w:val="lowerLetter"/>
      <w:start w:val="2"/>
    </w:lvl>
  </w:abstractNum>
  <w:abstractNum w:abstractNumId="63">
    <w:nsid w:val="6B94764"/>
    <w:multiLevelType w:val="hybridMultilevel"/>
    <w:lvl w:ilvl="0">
      <w:lvlJc w:val="left"/>
      <w:lvlText w:val="(%1)"/>
      <w:numFmt w:val="lowerLetter"/>
      <w:start w:val="3"/>
    </w:lvl>
    <w:lvl w:ilvl="1">
      <w:lvlJc w:val="left"/>
      <w:lvlText w:val="-"/>
      <w:numFmt w:val="bullet"/>
      <w:start w:val="1"/>
    </w:lvl>
  </w:abstractNum>
  <w:abstractNum w:abstractNumId="64">
    <w:nsid w:val="42C296B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5">
    <w:nsid w:val="168E121F"/>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66">
    <w:nsid w:val="1EBA5D23"/>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67">
    <w:nsid w:val="661E3F1E"/>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68">
    <w:nsid w:val="5DC79EA8"/>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9">
    <w:nsid w:val="540A471C"/>
    <w:multiLevelType w:val="hybridMultilevel"/>
    <w:lvl w:ilvl="0">
      <w:lvlJc w:val="left"/>
      <w:lvlText w:val="%1."/>
      <w:numFmt w:val="decimal"/>
      <w:start w:val="5"/>
    </w:lvl>
    <w:lvl w:ilvl="1">
      <w:lvlJc w:val="left"/>
      <w:lvlText w:val="-"/>
      <w:numFmt w:val="bullet"/>
      <w:start w:val="1"/>
    </w:lvl>
  </w:abstractNum>
  <w:abstractNum w:abstractNumId="70">
    <w:nsid w:val="7BD3EE7B"/>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71">
    <w:nsid w:val="51D9C56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72">
    <w:nsid w:val="613EFDC5"/>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73">
    <w:nsid w:val="BF72B14"/>
    <w:multiLevelType w:val="hybridMultilevel"/>
    <w:lvl w:ilvl="0">
      <w:lvlJc w:val="left"/>
      <w:lvlText w:val="(%1)"/>
      <w:numFmt w:val="lowerLetter"/>
      <w:start w:val="2"/>
    </w:lvl>
    <w:lvl w:ilvl="1">
      <w:lvlJc w:val="left"/>
      <w:lvlText w:val="-"/>
      <w:numFmt w:val="bullet"/>
      <w:start w:val="1"/>
    </w:lvl>
  </w:abstractNum>
  <w:abstractNum w:abstractNumId="74">
    <w:nsid w:val="11447B73"/>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75">
    <w:nsid w:val="42963E5A"/>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76">
    <w:nsid w:val="A0382C5"/>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77">
    <w:nsid w:val="8F2B15E"/>
    <w:multiLevelType w:val="hybridMultilevel"/>
    <w:lvl w:ilvl="0">
      <w:lvlJc w:val="left"/>
      <w:lvlText w:val="%1."/>
      <w:numFmt w:val="decimal"/>
      <w:start w:val="15"/>
    </w:lvl>
    <w:lvl w:ilvl="1">
      <w:lvlJc w:val="left"/>
      <w:lvlText w:val="-"/>
      <w:numFmt w:val="bullet"/>
      <w:start w:val="1"/>
    </w:lvl>
  </w:abstractNum>
  <w:abstractNum w:abstractNumId="78">
    <w:nsid w:val="1A32234B"/>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2024-04-22T06:48:33Z</dcterms:created>
  <dcterms:modified xsi:type="dcterms:W3CDTF">2024-04-22T06:48:33Z</dcterms:modified>
</cp:coreProperties>
</file>