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222250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246380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REPORT OF FOREIGN PRIVATE ISSUER</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UNDER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247650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THOMSON REUTERS CORPORATION</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224155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19 Duncan Street, Toronto</w:t>
      </w:r>
    </w:p>
    <w:p>
      <w:pPr>
        <w:spacing w:after="0" w:line="3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Ontario M5H 3H1, Canada</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216535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0" w:lineRule="exact"/>
        <w:rPr>
          <w:sz w:val="24"/>
          <w:szCs w:val="24"/>
          <w:color w:val="auto"/>
        </w:rPr>
      </w:pPr>
    </w:p>
    <w:p>
      <w:pPr>
        <w:jc w:val="center"/>
        <w:spacing w:after="0" w:line="207" w:lineRule="exact"/>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62" w:lineRule="exact"/>
        <w:rPr>
          <w:sz w:val="24"/>
          <w:szCs w:val="24"/>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The information contained in Exhibit 99.1 and Exhibit 99.2 of this Form 6-K is incorporated by reference into, or as additional exhibits to, as applicable, the registrant’s outstanding registration statements.</w:t>
      </w:r>
    </w:p>
    <w:p>
      <w:pPr>
        <w:spacing w:after="0" w:line="162"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Thomson Reuters Corporation is voluntarily furnishing certifications by its Chief Executive Officer and Chief Financial Officer pursuant to Sections 302 and 906 of the Sarbanes-Oxley Act of 2002 as Exhibits 99.3-99.6 of this 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692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173990</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373" w:right="499" w:bottom="1440" w:gutter="0" w:footer="0" w:header="0"/>
        </w:sectPr>
      </w:pPr>
    </w:p>
    <w:bookmarkStart w:id="1" w:name="page2"/>
    <w:bookmarkEnd w:id="1"/>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(Registrant)</w:t>
      </w:r>
    </w:p>
    <w:p>
      <w:pPr>
        <w:spacing w:after="0" w:line="21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 /s/ Jennifer Ruddick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15875</wp:posOffset>
            </wp:positionV>
            <wp:extent cx="25730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Name: Jennifer Ruddick</w:t>
      </w:r>
    </w:p>
    <w:p>
      <w:pPr>
        <w:spacing w:after="0" w:line="2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 Deputy Company Secretary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ectPr>
          <w:pgSz w:w="11900" w:h="16838" w:orient="portrait"/>
          <w:cols w:equalWidth="0" w:num="1">
            <w:col w:w="10180"/>
          </w:cols>
          <w:pgMar w:left="480" w:top="264" w:right="1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8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0" w:type="dxa"/>
            <w:vAlign w:val="bottom"/>
          </w:tcPr>
          <w:p>
            <w:pPr>
              <w:spacing w:after="0"/>
              <w:rPr>
                <w:sz w:val="24"/>
                <w:szCs w:val="24"/>
                <w:color w:val="auto"/>
              </w:rPr>
            </w:pPr>
          </w:p>
        </w:tc>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4"/>
                <w:szCs w:val="14"/>
                <w:color w:val="auto"/>
              </w:rPr>
            </w:pPr>
          </w:p>
        </w:tc>
        <w:tc>
          <w:tcPr>
            <w:tcW w:w="7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0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Discussion and Analysis</w:t>
            </w:r>
          </w:p>
        </w:tc>
        <w:tc>
          <w:tcPr>
            <w:tcW w:w="0" w:type="dxa"/>
            <w:vAlign w:val="bottom"/>
          </w:tcPr>
          <w:p>
            <w:pPr>
              <w:spacing w:after="0"/>
              <w:rPr>
                <w:sz w:val="1"/>
                <w:szCs w:val="1"/>
                <w:color w:val="auto"/>
              </w:rPr>
            </w:pPr>
          </w:p>
        </w:tc>
      </w:tr>
      <w:tr>
        <w:trPr>
          <w:trHeight w:val="32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80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c>
          <w:tcPr>
            <w:tcW w:w="0" w:type="dxa"/>
            <w:vAlign w:val="bottom"/>
          </w:tcPr>
          <w:p>
            <w:pPr>
              <w:spacing w:after="0"/>
              <w:rPr>
                <w:sz w:val="1"/>
                <w:szCs w:val="1"/>
                <w:color w:val="auto"/>
              </w:rPr>
            </w:pPr>
          </w:p>
        </w:tc>
      </w:tr>
      <w:tr>
        <w:trPr>
          <w:trHeight w:val="32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80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2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80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32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80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Certification of the Chief Executive Officer pursuant to Section 906 of the Sarbanes-Oxley Act of 2002</w:t>
            </w:r>
          </w:p>
        </w:tc>
        <w:tc>
          <w:tcPr>
            <w:tcW w:w="0" w:type="dxa"/>
            <w:vAlign w:val="bottom"/>
          </w:tcPr>
          <w:p>
            <w:pPr>
              <w:spacing w:after="0"/>
              <w:rPr>
                <w:sz w:val="1"/>
                <w:szCs w:val="1"/>
                <w:color w:val="auto"/>
              </w:rPr>
            </w:pPr>
          </w:p>
        </w:tc>
      </w:tr>
      <w:tr>
        <w:trPr>
          <w:trHeight w:val="32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80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Certification of the Chief Financial Officer pursuant to Section 906 of the Sarbanes-Oxley Act of 2002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979"/>
          </w:cols>
          <w:pgMar w:left="480" w:top="264" w:right="1440"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5565A"/>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094855" cy="509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Arial" w:cs="Arial" w:eastAsia="Arial" w:hAnsi="Arial"/>
          <w:sz w:val="39"/>
          <w:szCs w:val="39"/>
          <w:color w:val="55565A"/>
        </w:rPr>
        <w:t>Management’s Discussion and Analysis</w:t>
      </w:r>
    </w:p>
    <w:p>
      <w:pPr>
        <w:spacing w:after="0" w:line="240" w:lineRule="exact"/>
        <w:rPr>
          <w:sz w:val="20"/>
          <w:szCs w:val="20"/>
          <w:color w:val="auto"/>
        </w:rPr>
      </w:pPr>
    </w:p>
    <w:p>
      <w:pPr>
        <w:ind w:left="160" w:right="80"/>
        <w:spacing w:after="0" w:line="247" w:lineRule="auto"/>
        <w:rPr>
          <w:sz w:val="20"/>
          <w:szCs w:val="20"/>
          <w:color w:val="auto"/>
        </w:rPr>
      </w:pPr>
      <w:r>
        <w:rPr>
          <w:rFonts w:ascii="Arial" w:cs="Arial" w:eastAsia="Arial" w:hAnsi="Arial"/>
          <w:sz w:val="16"/>
          <w:szCs w:val="16"/>
          <w:i w:val="1"/>
          <w:iCs w:val="1"/>
          <w:color w:val="55565A"/>
        </w:rPr>
        <w:t>This management’s discussion and analysis is designed to provide you with a narrative explanation through the eyes of our management of how we performed, as well as information about our financial condition and future prospects. As this management’s discussion and analysis is intended to supplement and complement our financial statements, we recommend that you read this in conjunction with our consolidated interim financial statements for the three months ended March 31, 2024, our 2023 annual consolidated financial statements and our 2023 annual management’s discussion and analysis. This management’s discussion and analysis contains forward-looking statements, which are subject to risks and uncertainties that could cause our actual results to differ materially from the forward-looking statements. Forward-looking statements include, but are not limited to, our 2024 outlook, and our expectations related to general economic conditions and market trends and their anticipated effects on our business segments. For additional information related to forward-looking statements, material assumptions and material risks associated with them, please see the “Outlook,” and “Additional Information - Cautionary Note Concerning Factors That May Affect Future Results” sections of this management’s discussion and analysis. This management’s discussion and analysis is dated as of May 1, 2024.</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10540" w:type="dxa"/>
            <w:vAlign w:val="bottom"/>
            <w:gridSpan w:val="7"/>
          </w:tcPr>
          <w:p>
            <w:pPr>
              <w:spacing w:after="0"/>
              <w:rPr>
                <w:sz w:val="20"/>
                <w:szCs w:val="20"/>
                <w:color w:val="auto"/>
              </w:rPr>
            </w:pPr>
            <w:r>
              <w:rPr>
                <w:rFonts w:ascii="Arial" w:cs="Arial" w:eastAsia="Arial" w:hAnsi="Arial"/>
                <w:sz w:val="16"/>
                <w:szCs w:val="16"/>
                <w:b w:val="1"/>
                <w:bCs w:val="1"/>
                <w:color w:val="55565A"/>
              </w:rPr>
              <w:t>We have organized our management’s discussion and analysis in the following key sections:</w:t>
            </w:r>
          </w:p>
        </w:tc>
        <w:tc>
          <w:tcPr>
            <w:tcW w:w="320" w:type="dxa"/>
            <w:vAlign w:val="bottom"/>
          </w:tcPr>
          <w:p>
            <w:pPr>
              <w:spacing w:after="0"/>
              <w:rPr>
                <w:sz w:val="19"/>
                <w:szCs w:val="19"/>
                <w:color w:val="auto"/>
              </w:rPr>
            </w:pPr>
          </w:p>
        </w:tc>
      </w:tr>
      <w:tr>
        <w:trPr>
          <w:trHeight w:val="261"/>
        </w:trPr>
        <w:tc>
          <w:tcPr>
            <w:tcW w:w="10540" w:type="dxa"/>
            <w:vAlign w:val="bottom"/>
            <w:gridSpan w:val="7"/>
          </w:tcPr>
          <w:p>
            <w:pPr>
              <w:ind w:left="40"/>
              <w:spacing w:after="0"/>
              <w:rPr>
                <w:sz w:val="20"/>
                <w:szCs w:val="20"/>
                <w:color w:val="auto"/>
              </w:rPr>
            </w:pPr>
            <w:r>
              <w:rPr>
                <w:rFonts w:ascii="Arial" w:cs="Arial" w:eastAsia="Arial" w:hAnsi="Arial"/>
                <w:sz w:val="16"/>
                <w:szCs w:val="16"/>
                <w:color w:val="909193"/>
              </w:rPr>
              <w:t xml:space="preserve">• </w:t>
            </w:r>
            <w:r>
              <w:rPr>
                <w:rFonts w:ascii="Arial" w:cs="Arial" w:eastAsia="Arial" w:hAnsi="Arial"/>
                <w:sz w:val="16"/>
                <w:szCs w:val="16"/>
                <w:b w:val="1"/>
                <w:bCs w:val="1"/>
                <w:color w:val="0000EE"/>
              </w:rPr>
              <w:t>Executive Summary</w:t>
            </w:r>
            <w:r>
              <w:rPr>
                <w:rFonts w:ascii="Arial" w:cs="Arial" w:eastAsia="Arial" w:hAnsi="Arial"/>
                <w:sz w:val="16"/>
                <w:szCs w:val="16"/>
                <w:color w:val="909193"/>
              </w:rPr>
              <w:t xml:space="preserve"> </w:t>
            </w:r>
            <w:r>
              <w:rPr>
                <w:rFonts w:ascii="Arial" w:cs="Arial" w:eastAsia="Arial" w:hAnsi="Arial"/>
                <w:sz w:val="16"/>
                <w:szCs w:val="16"/>
                <w:color w:val="55565A"/>
              </w:rPr>
              <w:t>– an overview of our business and key financial highlights</w:t>
            </w:r>
          </w:p>
        </w:tc>
        <w:tc>
          <w:tcPr>
            <w:tcW w:w="320" w:type="dxa"/>
            <w:vAlign w:val="bottom"/>
          </w:tcPr>
          <w:p>
            <w:pPr>
              <w:jc w:val="right"/>
              <w:spacing w:after="0"/>
              <w:rPr>
                <w:sz w:val="20"/>
                <w:szCs w:val="20"/>
                <w:color w:val="auto"/>
              </w:rPr>
            </w:pPr>
            <w:r>
              <w:rPr>
                <w:rFonts w:ascii="Arial" w:cs="Arial" w:eastAsia="Arial" w:hAnsi="Arial"/>
                <w:sz w:val="16"/>
                <w:szCs w:val="16"/>
                <w:color w:val="55565A"/>
              </w:rPr>
              <w:t>3</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4"/>
        </w:trPr>
        <w:tc>
          <w:tcPr>
            <w:tcW w:w="10540" w:type="dxa"/>
            <w:vAlign w:val="bottom"/>
            <w:gridSpan w:val="7"/>
          </w:tcPr>
          <w:p>
            <w:pPr>
              <w:ind w:left="40"/>
              <w:spacing w:after="0"/>
              <w:rPr>
                <w:sz w:val="20"/>
                <w:szCs w:val="20"/>
                <w:color w:val="auto"/>
              </w:rPr>
            </w:pPr>
            <w:r>
              <w:rPr>
                <w:rFonts w:ascii="Arial" w:cs="Arial" w:eastAsia="Arial" w:hAnsi="Arial"/>
                <w:sz w:val="16"/>
                <w:szCs w:val="16"/>
                <w:color w:val="909193"/>
              </w:rPr>
              <w:t xml:space="preserve">• </w:t>
            </w:r>
            <w:r>
              <w:rPr>
                <w:rFonts w:ascii="Arial" w:cs="Arial" w:eastAsia="Arial" w:hAnsi="Arial"/>
                <w:sz w:val="16"/>
                <w:szCs w:val="16"/>
                <w:b w:val="1"/>
                <w:bCs w:val="1"/>
                <w:color w:val="0000EE"/>
              </w:rPr>
              <w:t>Results of Operations</w:t>
            </w:r>
            <w:r>
              <w:rPr>
                <w:rFonts w:ascii="Arial" w:cs="Arial" w:eastAsia="Arial" w:hAnsi="Arial"/>
                <w:sz w:val="16"/>
                <w:szCs w:val="16"/>
                <w:color w:val="909193"/>
              </w:rPr>
              <w:t xml:space="preserve"> </w:t>
            </w:r>
            <w:r>
              <w:rPr>
                <w:rFonts w:ascii="Arial" w:cs="Arial" w:eastAsia="Arial" w:hAnsi="Arial"/>
                <w:sz w:val="16"/>
                <w:szCs w:val="16"/>
                <w:color w:val="55565A"/>
              </w:rPr>
              <w:t>– a comparison of our current and prior-year period results</w:t>
            </w:r>
          </w:p>
        </w:tc>
        <w:tc>
          <w:tcPr>
            <w:tcW w:w="320" w:type="dxa"/>
            <w:vAlign w:val="bottom"/>
          </w:tcPr>
          <w:p>
            <w:pPr>
              <w:jc w:val="right"/>
              <w:spacing w:after="0"/>
              <w:rPr>
                <w:sz w:val="20"/>
                <w:szCs w:val="20"/>
                <w:color w:val="auto"/>
              </w:rPr>
            </w:pPr>
            <w:r>
              <w:rPr>
                <w:rFonts w:ascii="Arial" w:cs="Arial" w:eastAsia="Arial" w:hAnsi="Arial"/>
                <w:sz w:val="16"/>
                <w:szCs w:val="16"/>
                <w:color w:val="55565A"/>
              </w:rPr>
              <w:t>4</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4"/>
        </w:trPr>
        <w:tc>
          <w:tcPr>
            <w:tcW w:w="10540" w:type="dxa"/>
            <w:vAlign w:val="bottom"/>
            <w:gridSpan w:val="7"/>
          </w:tcPr>
          <w:p>
            <w:pPr>
              <w:ind w:left="40"/>
              <w:spacing w:after="0"/>
              <w:rPr>
                <w:sz w:val="20"/>
                <w:szCs w:val="20"/>
                <w:color w:val="auto"/>
              </w:rPr>
            </w:pPr>
            <w:r>
              <w:rPr>
                <w:rFonts w:ascii="Arial" w:cs="Arial" w:eastAsia="Arial" w:hAnsi="Arial"/>
                <w:sz w:val="16"/>
                <w:szCs w:val="16"/>
                <w:color w:val="909193"/>
              </w:rPr>
              <w:t xml:space="preserve">• </w:t>
            </w:r>
            <w:r>
              <w:rPr>
                <w:rFonts w:ascii="Arial" w:cs="Arial" w:eastAsia="Arial" w:hAnsi="Arial"/>
                <w:sz w:val="16"/>
                <w:szCs w:val="16"/>
                <w:b w:val="1"/>
                <w:bCs w:val="1"/>
                <w:color w:val="0000EE"/>
              </w:rPr>
              <w:t>Investment in LSEG</w:t>
            </w:r>
            <w:r>
              <w:rPr>
                <w:rFonts w:ascii="Arial" w:cs="Arial" w:eastAsia="Arial" w:hAnsi="Arial"/>
                <w:sz w:val="16"/>
                <w:szCs w:val="16"/>
                <w:color w:val="909193"/>
              </w:rPr>
              <w:t xml:space="preserve"> </w:t>
            </w:r>
            <w:r>
              <w:rPr>
                <w:rFonts w:ascii="Arial" w:cs="Arial" w:eastAsia="Arial" w:hAnsi="Arial"/>
                <w:sz w:val="16"/>
                <w:szCs w:val="16"/>
                <w:color w:val="55565A"/>
              </w:rPr>
              <w:t>– a discussion of our current ownership interest in LSEG</w:t>
            </w:r>
          </w:p>
        </w:tc>
        <w:tc>
          <w:tcPr>
            <w:tcW w:w="320" w:type="dxa"/>
            <w:vAlign w:val="bottom"/>
          </w:tcPr>
          <w:p>
            <w:pPr>
              <w:jc w:val="right"/>
              <w:spacing w:after="0"/>
              <w:rPr>
                <w:sz w:val="20"/>
                <w:szCs w:val="20"/>
                <w:color w:val="auto"/>
              </w:rPr>
            </w:pPr>
            <w:r>
              <w:rPr>
                <w:rFonts w:ascii="Arial" w:cs="Arial" w:eastAsia="Arial" w:hAnsi="Arial"/>
                <w:sz w:val="16"/>
                <w:szCs w:val="16"/>
                <w:color w:val="55565A"/>
              </w:rPr>
              <w:t>11</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4"/>
        </w:trPr>
        <w:tc>
          <w:tcPr>
            <w:tcW w:w="10540" w:type="dxa"/>
            <w:vAlign w:val="bottom"/>
            <w:gridSpan w:val="7"/>
          </w:tcPr>
          <w:p>
            <w:pPr>
              <w:ind w:left="40"/>
              <w:spacing w:after="0"/>
              <w:rPr>
                <w:sz w:val="20"/>
                <w:szCs w:val="20"/>
                <w:color w:val="auto"/>
              </w:rPr>
            </w:pPr>
            <w:r>
              <w:rPr>
                <w:rFonts w:ascii="Arial" w:cs="Arial" w:eastAsia="Arial" w:hAnsi="Arial"/>
                <w:sz w:val="16"/>
                <w:szCs w:val="16"/>
                <w:color w:val="909193"/>
              </w:rPr>
              <w:t xml:space="preserve">• </w:t>
            </w:r>
            <w:r>
              <w:rPr>
                <w:rFonts w:ascii="Arial" w:cs="Arial" w:eastAsia="Arial" w:hAnsi="Arial"/>
                <w:sz w:val="16"/>
                <w:szCs w:val="16"/>
                <w:b w:val="1"/>
                <w:bCs w:val="1"/>
                <w:color w:val="0000EE"/>
              </w:rPr>
              <w:t>Liquidity and Capital Resources</w:t>
            </w:r>
            <w:r>
              <w:rPr>
                <w:rFonts w:ascii="Arial" w:cs="Arial" w:eastAsia="Arial" w:hAnsi="Arial"/>
                <w:sz w:val="16"/>
                <w:szCs w:val="16"/>
                <w:color w:val="909193"/>
              </w:rPr>
              <w:t xml:space="preserve"> </w:t>
            </w:r>
            <w:r>
              <w:rPr>
                <w:rFonts w:ascii="Arial" w:cs="Arial" w:eastAsia="Arial" w:hAnsi="Arial"/>
                <w:sz w:val="16"/>
                <w:szCs w:val="16"/>
                <w:b w:val="1"/>
                <w:bCs w:val="1"/>
                <w:color w:val="55565A"/>
              </w:rPr>
              <w:t>–</w:t>
            </w:r>
            <w:r>
              <w:rPr>
                <w:rFonts w:ascii="Arial" w:cs="Arial" w:eastAsia="Arial" w:hAnsi="Arial"/>
                <w:sz w:val="16"/>
                <w:szCs w:val="16"/>
                <w:color w:val="909193"/>
              </w:rPr>
              <w:t xml:space="preserve"> </w:t>
            </w:r>
            <w:r>
              <w:rPr>
                <w:rFonts w:ascii="Arial" w:cs="Arial" w:eastAsia="Arial" w:hAnsi="Arial"/>
                <w:sz w:val="16"/>
                <w:szCs w:val="16"/>
                <w:color w:val="55565A"/>
              </w:rPr>
              <w:t>a discussion of our cash flow and debt</w:t>
            </w:r>
          </w:p>
        </w:tc>
        <w:tc>
          <w:tcPr>
            <w:tcW w:w="320" w:type="dxa"/>
            <w:vAlign w:val="bottom"/>
          </w:tcPr>
          <w:p>
            <w:pPr>
              <w:jc w:val="right"/>
              <w:spacing w:after="0"/>
              <w:rPr>
                <w:sz w:val="20"/>
                <w:szCs w:val="20"/>
                <w:color w:val="auto"/>
              </w:rPr>
            </w:pPr>
            <w:r>
              <w:rPr>
                <w:rFonts w:ascii="Arial" w:cs="Arial" w:eastAsia="Arial" w:hAnsi="Arial"/>
                <w:sz w:val="16"/>
                <w:szCs w:val="16"/>
                <w:color w:val="55565A"/>
              </w:rPr>
              <w:t>12</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4"/>
        </w:trPr>
        <w:tc>
          <w:tcPr>
            <w:tcW w:w="10540" w:type="dxa"/>
            <w:vAlign w:val="bottom"/>
            <w:gridSpan w:val="7"/>
          </w:tcPr>
          <w:p>
            <w:pPr>
              <w:ind w:left="40"/>
              <w:spacing w:after="0"/>
              <w:rPr>
                <w:sz w:val="20"/>
                <w:szCs w:val="20"/>
                <w:color w:val="auto"/>
              </w:rPr>
            </w:pPr>
            <w:r>
              <w:rPr>
                <w:rFonts w:ascii="Arial" w:cs="Arial" w:eastAsia="Arial" w:hAnsi="Arial"/>
                <w:sz w:val="16"/>
                <w:szCs w:val="16"/>
                <w:color w:val="909193"/>
              </w:rPr>
              <w:t xml:space="preserve">• </w:t>
            </w:r>
            <w:r>
              <w:rPr>
                <w:rFonts w:ascii="Arial" w:cs="Arial" w:eastAsia="Arial" w:hAnsi="Arial"/>
                <w:sz w:val="16"/>
                <w:szCs w:val="16"/>
                <w:b w:val="1"/>
                <w:bCs w:val="1"/>
                <w:color w:val="0000EE"/>
              </w:rPr>
              <w:t>Outlook</w:t>
            </w:r>
            <w:r>
              <w:rPr>
                <w:rFonts w:ascii="Arial" w:cs="Arial" w:eastAsia="Arial" w:hAnsi="Arial"/>
                <w:sz w:val="16"/>
                <w:szCs w:val="16"/>
                <w:color w:val="909193"/>
              </w:rPr>
              <w:t xml:space="preserve"> </w:t>
            </w:r>
            <w:r>
              <w:rPr>
                <w:rFonts w:ascii="Arial" w:cs="Arial" w:eastAsia="Arial" w:hAnsi="Arial"/>
                <w:sz w:val="16"/>
                <w:szCs w:val="16"/>
                <w:color w:val="55565A"/>
              </w:rPr>
              <w:t>– our financial outlook, including material assumptions and material risks</w:t>
            </w:r>
          </w:p>
        </w:tc>
        <w:tc>
          <w:tcPr>
            <w:tcW w:w="320" w:type="dxa"/>
            <w:vAlign w:val="bottom"/>
          </w:tcPr>
          <w:p>
            <w:pPr>
              <w:jc w:val="right"/>
              <w:spacing w:after="0"/>
              <w:rPr>
                <w:sz w:val="20"/>
                <w:szCs w:val="20"/>
                <w:color w:val="auto"/>
              </w:rPr>
            </w:pPr>
            <w:r>
              <w:rPr>
                <w:rFonts w:ascii="Arial" w:cs="Arial" w:eastAsia="Arial" w:hAnsi="Arial"/>
                <w:sz w:val="16"/>
                <w:szCs w:val="16"/>
                <w:color w:val="55565A"/>
              </w:rPr>
              <w:t>17</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4"/>
        </w:trPr>
        <w:tc>
          <w:tcPr>
            <w:tcW w:w="10540" w:type="dxa"/>
            <w:vAlign w:val="bottom"/>
            <w:gridSpan w:val="7"/>
          </w:tcPr>
          <w:p>
            <w:pPr>
              <w:ind w:left="40"/>
              <w:spacing w:after="0"/>
              <w:rPr>
                <w:sz w:val="20"/>
                <w:szCs w:val="20"/>
                <w:color w:val="auto"/>
              </w:rPr>
            </w:pPr>
            <w:r>
              <w:rPr>
                <w:rFonts w:ascii="Arial" w:cs="Arial" w:eastAsia="Arial" w:hAnsi="Arial"/>
                <w:sz w:val="16"/>
                <w:szCs w:val="16"/>
                <w:color w:val="909193"/>
              </w:rPr>
              <w:t xml:space="preserve">• </w:t>
            </w:r>
            <w:r>
              <w:rPr>
                <w:rFonts w:ascii="Arial" w:cs="Arial" w:eastAsia="Arial" w:hAnsi="Arial"/>
                <w:sz w:val="16"/>
                <w:szCs w:val="16"/>
                <w:b w:val="1"/>
                <w:bCs w:val="1"/>
                <w:color w:val="0000EE"/>
              </w:rPr>
              <w:t>Related Party Transactions</w:t>
            </w:r>
            <w:r>
              <w:rPr>
                <w:rFonts w:ascii="Arial" w:cs="Arial" w:eastAsia="Arial" w:hAnsi="Arial"/>
                <w:sz w:val="16"/>
                <w:szCs w:val="16"/>
                <w:color w:val="909193"/>
              </w:rPr>
              <w:t xml:space="preserve"> </w:t>
            </w:r>
            <w:r>
              <w:rPr>
                <w:rFonts w:ascii="Arial" w:cs="Arial" w:eastAsia="Arial" w:hAnsi="Arial"/>
                <w:sz w:val="16"/>
                <w:szCs w:val="16"/>
                <w:b w:val="1"/>
                <w:bCs w:val="1"/>
                <w:color w:val="55565A"/>
              </w:rPr>
              <w:t>–</w:t>
            </w:r>
            <w:r>
              <w:rPr>
                <w:rFonts w:ascii="Arial" w:cs="Arial" w:eastAsia="Arial" w:hAnsi="Arial"/>
                <w:sz w:val="16"/>
                <w:szCs w:val="16"/>
                <w:color w:val="909193"/>
              </w:rPr>
              <w:t xml:space="preserve"> </w:t>
            </w:r>
            <w:r>
              <w:rPr>
                <w:rFonts w:ascii="Arial" w:cs="Arial" w:eastAsia="Arial" w:hAnsi="Arial"/>
                <w:sz w:val="16"/>
                <w:szCs w:val="16"/>
                <w:color w:val="55565A"/>
              </w:rPr>
              <w:t>a discussion of transactions with our principal and controlling shareholder, Woodbridge and other related parties</w:t>
            </w:r>
          </w:p>
        </w:tc>
        <w:tc>
          <w:tcPr>
            <w:tcW w:w="320" w:type="dxa"/>
            <w:vAlign w:val="bottom"/>
          </w:tcPr>
          <w:p>
            <w:pPr>
              <w:jc w:val="right"/>
              <w:spacing w:after="0"/>
              <w:rPr>
                <w:sz w:val="20"/>
                <w:szCs w:val="20"/>
                <w:color w:val="auto"/>
              </w:rPr>
            </w:pPr>
            <w:r>
              <w:rPr>
                <w:rFonts w:ascii="Arial" w:cs="Arial" w:eastAsia="Arial" w:hAnsi="Arial"/>
                <w:sz w:val="16"/>
                <w:szCs w:val="16"/>
                <w:color w:val="55565A"/>
              </w:rPr>
              <w:t>19</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57" w:lineRule="exact"/>
        <w:rPr>
          <w:sz w:val="20"/>
          <w:szCs w:val="20"/>
          <w:color w:val="auto"/>
        </w:rPr>
      </w:pPr>
    </w:p>
    <w:p>
      <w:pPr>
        <w:ind w:left="360" w:hanging="155"/>
        <w:spacing w:after="0"/>
        <w:tabs>
          <w:tab w:leader="none" w:pos="360" w:val="left"/>
        </w:tabs>
        <w:numPr>
          <w:ilvl w:val="0"/>
          <w:numId w:val="1"/>
        </w:numPr>
        <w:rPr>
          <w:rFonts w:ascii="Arial" w:cs="Arial" w:eastAsia="Arial" w:hAnsi="Arial"/>
          <w:sz w:val="16"/>
          <w:szCs w:val="16"/>
          <w:color w:val="909193"/>
        </w:rPr>
      </w:pPr>
      <w:r>
        <w:rPr>
          <w:rFonts w:ascii="Arial" w:cs="Arial" w:eastAsia="Arial" w:hAnsi="Arial"/>
          <w:sz w:val="16"/>
          <w:szCs w:val="16"/>
          <w:b w:val="1"/>
          <w:bCs w:val="1"/>
          <w:color w:val="0000EE"/>
        </w:rPr>
        <w:t xml:space="preserve">Subsequent Events </w:t>
      </w:r>
      <w:r>
        <w:rPr>
          <w:rFonts w:ascii="Arial" w:cs="Arial" w:eastAsia="Arial" w:hAnsi="Arial"/>
          <w:sz w:val="16"/>
          <w:szCs w:val="16"/>
          <w:color w:val="55565A"/>
        </w:rPr>
        <w:t>– a discussion of material events occurring after March 31, 2024 and through the date of this management’s discussion and</w:t>
      </w:r>
    </w:p>
    <w:tbl>
      <w:tblPr>
        <w:tblLayout w:type="fixed"/>
        <w:tblInd w:w="200" w:type="dxa"/>
        <w:tblCellMar>
          <w:top w:w="0" w:type="dxa"/>
          <w:left w:w="0" w:type="dxa"/>
          <w:bottom w:w="0" w:type="dxa"/>
          <w:right w:w="0" w:type="dxa"/>
        </w:tblCellMar>
      </w:tblPr>
      <w:tr>
        <w:trPr>
          <w:trHeight w:val="211"/>
        </w:trPr>
        <w:tc>
          <w:tcPr>
            <w:tcW w:w="160" w:type="dxa"/>
            <w:vAlign w:val="bottom"/>
          </w:tcPr>
          <w:p>
            <w:pPr>
              <w:spacing w:after="0"/>
              <w:rPr>
                <w:sz w:val="18"/>
                <w:szCs w:val="18"/>
                <w:color w:val="auto"/>
              </w:rPr>
            </w:pPr>
          </w:p>
        </w:tc>
        <w:tc>
          <w:tcPr>
            <w:tcW w:w="1500" w:type="dxa"/>
            <w:vAlign w:val="bottom"/>
            <w:tcBorders>
              <w:top w:val="single" w:sz="8" w:color="0000EE"/>
            </w:tcBorders>
          </w:tcPr>
          <w:p>
            <w:pPr>
              <w:spacing w:after="0"/>
              <w:rPr>
                <w:sz w:val="20"/>
                <w:szCs w:val="20"/>
                <w:color w:val="auto"/>
              </w:rPr>
            </w:pPr>
            <w:r>
              <w:rPr>
                <w:rFonts w:ascii="Arial" w:cs="Arial" w:eastAsia="Arial" w:hAnsi="Arial"/>
                <w:sz w:val="16"/>
                <w:szCs w:val="16"/>
                <w:color w:val="55565A"/>
              </w:rPr>
              <w:t>analysis</w:t>
            </w:r>
          </w:p>
        </w:tc>
        <w:tc>
          <w:tcPr>
            <w:tcW w:w="6840" w:type="dxa"/>
            <w:vAlign w:val="bottom"/>
            <w:gridSpan w:val="2"/>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55565A"/>
              </w:rPr>
              <w:t>20</w:t>
            </w:r>
          </w:p>
        </w:tc>
      </w:tr>
      <w:tr>
        <w:trPr>
          <w:trHeight w:val="210"/>
        </w:trPr>
        <w:tc>
          <w:tcPr>
            <w:tcW w:w="8500" w:type="dxa"/>
            <w:vAlign w:val="bottom"/>
            <w:gridSpan w:val="4"/>
          </w:tcPr>
          <w:p>
            <w:pPr>
              <w:spacing w:after="0"/>
              <w:rPr>
                <w:sz w:val="20"/>
                <w:szCs w:val="20"/>
                <w:color w:val="auto"/>
              </w:rPr>
            </w:pPr>
            <w:r>
              <w:rPr>
                <w:rFonts w:ascii="Arial" w:cs="Arial" w:eastAsia="Arial" w:hAnsi="Arial"/>
                <w:sz w:val="16"/>
                <w:szCs w:val="16"/>
                <w:color w:val="909193"/>
              </w:rPr>
              <w:t xml:space="preserve">• </w:t>
            </w:r>
            <w:r>
              <w:rPr>
                <w:rFonts w:ascii="Arial" w:cs="Arial" w:eastAsia="Arial" w:hAnsi="Arial"/>
                <w:sz w:val="16"/>
                <w:szCs w:val="16"/>
                <w:b w:val="1"/>
                <w:bCs w:val="1"/>
                <w:color w:val="0000EE"/>
              </w:rPr>
              <w:t>Changes in Accounting Policies</w:t>
            </w:r>
            <w:r>
              <w:rPr>
                <w:rFonts w:ascii="Arial" w:cs="Arial" w:eastAsia="Arial" w:hAnsi="Arial"/>
                <w:sz w:val="16"/>
                <w:szCs w:val="16"/>
                <w:color w:val="909193"/>
              </w:rPr>
              <w:t xml:space="preserve"> </w:t>
            </w:r>
            <w:r>
              <w:rPr>
                <w:rFonts w:ascii="Arial" w:cs="Arial" w:eastAsia="Arial" w:hAnsi="Arial"/>
                <w:sz w:val="16"/>
                <w:szCs w:val="16"/>
                <w:color w:val="55565A"/>
              </w:rPr>
              <w:t>– a discussion of changes in our accounting policies</w:t>
            </w:r>
          </w:p>
        </w:tc>
        <w:tc>
          <w:tcPr>
            <w:tcW w:w="2320" w:type="dxa"/>
            <w:vAlign w:val="bottom"/>
          </w:tcPr>
          <w:p>
            <w:pPr>
              <w:jc w:val="right"/>
              <w:spacing w:after="0"/>
              <w:rPr>
                <w:sz w:val="20"/>
                <w:szCs w:val="20"/>
                <w:color w:val="auto"/>
              </w:rPr>
            </w:pPr>
            <w:r>
              <w:rPr>
                <w:rFonts w:ascii="Arial" w:cs="Arial" w:eastAsia="Arial" w:hAnsi="Arial"/>
                <w:sz w:val="16"/>
                <w:szCs w:val="16"/>
                <w:color w:val="55565A"/>
              </w:rPr>
              <w:t>20</w:t>
            </w:r>
          </w:p>
        </w:tc>
      </w:tr>
      <w:tr>
        <w:trPr>
          <w:trHeight w:val="20"/>
        </w:trPr>
        <w:tc>
          <w:tcPr>
            <w:tcW w:w="1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57" w:lineRule="exact"/>
        <w:rPr>
          <w:sz w:val="20"/>
          <w:szCs w:val="20"/>
          <w:color w:val="auto"/>
        </w:rPr>
      </w:pPr>
    </w:p>
    <w:p>
      <w:pPr>
        <w:ind w:left="360" w:hanging="155"/>
        <w:spacing w:after="0"/>
        <w:tabs>
          <w:tab w:leader="none" w:pos="360" w:val="left"/>
        </w:tabs>
        <w:numPr>
          <w:ilvl w:val="0"/>
          <w:numId w:val="2"/>
        </w:numPr>
        <w:rPr>
          <w:rFonts w:ascii="Arial" w:cs="Arial" w:eastAsia="Arial" w:hAnsi="Arial"/>
          <w:sz w:val="16"/>
          <w:szCs w:val="16"/>
          <w:color w:val="909193"/>
        </w:rPr>
      </w:pPr>
      <w:r>
        <w:rPr>
          <w:rFonts w:ascii="Arial" w:cs="Arial" w:eastAsia="Arial" w:hAnsi="Arial"/>
          <w:sz w:val="16"/>
          <w:szCs w:val="16"/>
          <w:b w:val="1"/>
          <w:bCs w:val="1"/>
          <w:color w:val="0000EE"/>
        </w:rPr>
        <w:t xml:space="preserve">Critical Accounting Estimates and Judgments </w:t>
      </w:r>
      <w:r>
        <w:rPr>
          <w:rFonts w:ascii="Arial" w:cs="Arial" w:eastAsia="Arial" w:hAnsi="Arial"/>
          <w:sz w:val="16"/>
          <w:szCs w:val="16"/>
          <w:b w:val="1"/>
          <w:bCs w:val="1"/>
          <w:color w:val="55565A"/>
        </w:rPr>
        <w:t>–</w:t>
      </w:r>
      <w:r>
        <w:rPr>
          <w:rFonts w:ascii="Arial" w:cs="Arial" w:eastAsia="Arial" w:hAnsi="Arial"/>
          <w:sz w:val="16"/>
          <w:szCs w:val="16"/>
          <w:b w:val="1"/>
          <w:bCs w:val="1"/>
          <w:color w:val="0000EE"/>
        </w:rPr>
        <w:t xml:space="preserve"> </w:t>
      </w:r>
      <w:r>
        <w:rPr>
          <w:rFonts w:ascii="Arial" w:cs="Arial" w:eastAsia="Arial" w:hAnsi="Arial"/>
          <w:sz w:val="16"/>
          <w:szCs w:val="16"/>
          <w:color w:val="55565A"/>
        </w:rPr>
        <w:t>a discussion of critical estimates and judgments made by our management in applying</w:t>
      </w:r>
    </w:p>
    <w:tbl>
      <w:tblPr>
        <w:tblLayout w:type="fixed"/>
        <w:tblInd w:w="200" w:type="dxa"/>
        <w:tblCellMar>
          <w:top w:w="0" w:type="dxa"/>
          <w:left w:w="0" w:type="dxa"/>
          <w:bottom w:w="0" w:type="dxa"/>
          <w:right w:w="0" w:type="dxa"/>
        </w:tblCellMar>
      </w:tblPr>
      <w:tr>
        <w:trPr>
          <w:trHeight w:val="211"/>
        </w:trPr>
        <w:tc>
          <w:tcPr>
            <w:tcW w:w="160" w:type="dxa"/>
            <w:vAlign w:val="bottom"/>
          </w:tcPr>
          <w:p>
            <w:pPr>
              <w:spacing w:after="0"/>
              <w:rPr>
                <w:sz w:val="18"/>
                <w:szCs w:val="18"/>
                <w:color w:val="auto"/>
              </w:rPr>
            </w:pPr>
          </w:p>
        </w:tc>
        <w:tc>
          <w:tcPr>
            <w:tcW w:w="352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55565A"/>
              </w:rPr>
              <w:t>accounting policies</w:t>
            </w:r>
          </w:p>
        </w:tc>
        <w:tc>
          <w:tcPr>
            <w:tcW w:w="3600" w:type="dxa"/>
            <w:vAlign w:val="bottom"/>
          </w:tcPr>
          <w:p>
            <w:pPr>
              <w:spacing w:after="0"/>
              <w:rPr>
                <w:sz w:val="18"/>
                <w:szCs w:val="18"/>
                <w:color w:val="auto"/>
              </w:rPr>
            </w:pPr>
          </w:p>
        </w:tc>
        <w:tc>
          <w:tcPr>
            <w:tcW w:w="3540" w:type="dxa"/>
            <w:vAlign w:val="bottom"/>
          </w:tcPr>
          <w:p>
            <w:pPr>
              <w:jc w:val="right"/>
              <w:spacing w:after="0"/>
              <w:rPr>
                <w:sz w:val="20"/>
                <w:szCs w:val="20"/>
                <w:color w:val="auto"/>
              </w:rPr>
            </w:pPr>
            <w:r>
              <w:rPr>
                <w:rFonts w:ascii="Arial" w:cs="Arial" w:eastAsia="Arial" w:hAnsi="Arial"/>
                <w:sz w:val="16"/>
                <w:szCs w:val="16"/>
                <w:color w:val="55565A"/>
              </w:rPr>
              <w:t>20</w:t>
            </w:r>
          </w:p>
        </w:tc>
      </w:tr>
      <w:tr>
        <w:trPr>
          <w:trHeight w:val="210"/>
        </w:trPr>
        <w:tc>
          <w:tcPr>
            <w:tcW w:w="160" w:type="dxa"/>
            <w:vAlign w:val="bottom"/>
          </w:tcPr>
          <w:p>
            <w:pPr>
              <w:spacing w:after="0"/>
              <w:rPr>
                <w:sz w:val="20"/>
                <w:szCs w:val="20"/>
                <w:color w:val="auto"/>
              </w:rPr>
            </w:pPr>
            <w:r>
              <w:rPr>
                <w:rFonts w:ascii="Arial" w:cs="Arial" w:eastAsia="Arial" w:hAnsi="Arial"/>
                <w:sz w:val="16"/>
                <w:szCs w:val="16"/>
                <w:color w:val="909193"/>
              </w:rPr>
              <w:t>•</w:t>
            </w:r>
          </w:p>
        </w:tc>
        <w:tc>
          <w:tcPr>
            <w:tcW w:w="7120" w:type="dxa"/>
            <w:vAlign w:val="bottom"/>
            <w:gridSpan w:val="4"/>
          </w:tcPr>
          <w:p>
            <w:pPr>
              <w:spacing w:after="0"/>
              <w:rPr>
                <w:sz w:val="20"/>
                <w:szCs w:val="20"/>
                <w:color w:val="auto"/>
              </w:rPr>
            </w:pPr>
            <w:r>
              <w:rPr>
                <w:rFonts w:ascii="Arial" w:cs="Arial" w:eastAsia="Arial" w:hAnsi="Arial"/>
                <w:sz w:val="16"/>
                <w:szCs w:val="16"/>
                <w:b w:val="1"/>
                <w:bCs w:val="1"/>
                <w:color w:val="0000EE"/>
              </w:rPr>
              <w:t xml:space="preserve">Additional Information </w:t>
            </w:r>
            <w:r>
              <w:rPr>
                <w:rFonts w:ascii="Arial" w:cs="Arial" w:eastAsia="Arial" w:hAnsi="Arial"/>
                <w:sz w:val="16"/>
                <w:szCs w:val="16"/>
                <w:b w:val="1"/>
                <w:bCs w:val="1"/>
                <w:color w:val="55565A"/>
              </w:rPr>
              <w:t>–</w:t>
            </w:r>
            <w:r>
              <w:rPr>
                <w:rFonts w:ascii="Arial" w:cs="Arial" w:eastAsia="Arial" w:hAnsi="Arial"/>
                <w:sz w:val="16"/>
                <w:szCs w:val="16"/>
                <w:b w:val="1"/>
                <w:bCs w:val="1"/>
                <w:color w:val="0000EE"/>
              </w:rPr>
              <w:t xml:space="preserve"> </w:t>
            </w:r>
            <w:r>
              <w:rPr>
                <w:rFonts w:ascii="Arial" w:cs="Arial" w:eastAsia="Arial" w:hAnsi="Arial"/>
                <w:sz w:val="16"/>
                <w:szCs w:val="16"/>
                <w:color w:val="55565A"/>
              </w:rPr>
              <w:t>other required disclosures</w:t>
            </w:r>
          </w:p>
        </w:tc>
        <w:tc>
          <w:tcPr>
            <w:tcW w:w="3540" w:type="dxa"/>
            <w:vAlign w:val="bottom"/>
          </w:tcPr>
          <w:p>
            <w:pPr>
              <w:jc w:val="right"/>
              <w:spacing w:after="0"/>
              <w:rPr>
                <w:sz w:val="20"/>
                <w:szCs w:val="20"/>
                <w:color w:val="auto"/>
              </w:rPr>
            </w:pPr>
            <w:r>
              <w:rPr>
                <w:rFonts w:ascii="Arial" w:cs="Arial" w:eastAsia="Arial" w:hAnsi="Arial"/>
                <w:sz w:val="16"/>
                <w:szCs w:val="16"/>
                <w:color w:val="55565A"/>
              </w:rPr>
              <w:t>20</w:t>
            </w:r>
          </w:p>
        </w:tc>
      </w:tr>
      <w:tr>
        <w:trPr>
          <w:trHeight w:val="20"/>
        </w:trPr>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4"/>
        </w:trPr>
        <w:tc>
          <w:tcPr>
            <w:tcW w:w="160" w:type="dxa"/>
            <w:vAlign w:val="bottom"/>
          </w:tcPr>
          <w:p>
            <w:pPr>
              <w:spacing w:after="0"/>
              <w:rPr>
                <w:sz w:val="20"/>
                <w:szCs w:val="20"/>
                <w:color w:val="auto"/>
              </w:rPr>
            </w:pPr>
            <w:r>
              <w:rPr>
                <w:rFonts w:ascii="Arial" w:cs="Arial" w:eastAsia="Arial" w:hAnsi="Arial"/>
                <w:sz w:val="16"/>
                <w:szCs w:val="16"/>
                <w:color w:val="909193"/>
              </w:rPr>
              <w:t>•</w:t>
            </w:r>
          </w:p>
        </w:tc>
        <w:tc>
          <w:tcPr>
            <w:tcW w:w="7120" w:type="dxa"/>
            <w:vAlign w:val="bottom"/>
            <w:gridSpan w:val="4"/>
          </w:tcPr>
          <w:p>
            <w:pPr>
              <w:spacing w:after="0"/>
              <w:rPr>
                <w:sz w:val="20"/>
                <w:szCs w:val="20"/>
                <w:color w:val="auto"/>
              </w:rPr>
            </w:pPr>
            <w:r>
              <w:rPr>
                <w:rFonts w:ascii="Arial" w:cs="Arial" w:eastAsia="Arial" w:hAnsi="Arial"/>
                <w:sz w:val="16"/>
                <w:szCs w:val="16"/>
                <w:b w:val="1"/>
                <w:bCs w:val="1"/>
                <w:color w:val="0000EE"/>
              </w:rPr>
              <w:t xml:space="preserve">Appendix </w:t>
            </w:r>
            <w:r>
              <w:rPr>
                <w:rFonts w:ascii="Arial" w:cs="Arial" w:eastAsia="Arial" w:hAnsi="Arial"/>
                <w:sz w:val="16"/>
                <w:szCs w:val="16"/>
                <w:b w:val="1"/>
                <w:bCs w:val="1"/>
                <w:color w:val="55565A"/>
              </w:rPr>
              <w:t>–</w:t>
            </w:r>
            <w:r>
              <w:rPr>
                <w:rFonts w:ascii="Arial" w:cs="Arial" w:eastAsia="Arial" w:hAnsi="Arial"/>
                <w:sz w:val="16"/>
                <w:szCs w:val="16"/>
                <w:b w:val="1"/>
                <w:bCs w:val="1"/>
                <w:color w:val="0000EE"/>
              </w:rPr>
              <w:t xml:space="preserve"> </w:t>
            </w:r>
            <w:r>
              <w:rPr>
                <w:rFonts w:ascii="Arial" w:cs="Arial" w:eastAsia="Arial" w:hAnsi="Arial"/>
                <w:sz w:val="16"/>
                <w:szCs w:val="16"/>
                <w:color w:val="55565A"/>
              </w:rPr>
              <w:t>supplemental information</w:t>
            </w:r>
          </w:p>
        </w:tc>
        <w:tc>
          <w:tcPr>
            <w:tcW w:w="3540" w:type="dxa"/>
            <w:vAlign w:val="bottom"/>
          </w:tcPr>
          <w:p>
            <w:pPr>
              <w:jc w:val="right"/>
              <w:spacing w:after="0"/>
              <w:rPr>
                <w:sz w:val="20"/>
                <w:szCs w:val="20"/>
                <w:color w:val="auto"/>
              </w:rPr>
            </w:pPr>
            <w:r>
              <w:rPr>
                <w:rFonts w:ascii="Arial" w:cs="Arial" w:eastAsia="Arial" w:hAnsi="Arial"/>
                <w:sz w:val="16"/>
                <w:szCs w:val="16"/>
                <w:color w:val="55565A"/>
              </w:rPr>
              <w:t>22</w:t>
            </w:r>
          </w:p>
        </w:tc>
      </w:tr>
      <w:tr>
        <w:trPr>
          <w:trHeight w:val="20"/>
        </w:trPr>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bl>
    <w:p>
      <w:pPr>
        <w:spacing w:after="0" w:line="106" w:lineRule="exact"/>
        <w:rPr>
          <w:sz w:val="20"/>
          <w:szCs w:val="20"/>
          <w:color w:val="auto"/>
        </w:rPr>
      </w:pPr>
    </w:p>
    <w:p>
      <w:pPr>
        <w:jc w:val="both"/>
        <w:ind w:left="160" w:right="40"/>
        <w:spacing w:after="0" w:line="279" w:lineRule="auto"/>
        <w:rPr>
          <w:sz w:val="20"/>
          <w:szCs w:val="20"/>
          <w:color w:val="auto"/>
        </w:rPr>
      </w:pPr>
      <w:r>
        <w:rPr>
          <w:rFonts w:ascii="Arial" w:cs="Arial" w:eastAsia="Arial" w:hAnsi="Arial"/>
          <w:sz w:val="16"/>
          <w:szCs w:val="16"/>
          <w:color w:val="55565A"/>
        </w:rPr>
        <w:t>Unless otherwise indicated or the context otherwise requires, references in this discussion to “we,” “our,” “us”, the “Company” and “Thomson Reuters” are to Thomson Reuters Corporation and our subsidiaries.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Basis of presentation</w:t>
      </w:r>
    </w:p>
    <w:p>
      <w:pPr>
        <w:spacing w:after="0" w:line="108" w:lineRule="exact"/>
        <w:rPr>
          <w:sz w:val="20"/>
          <w:szCs w:val="20"/>
          <w:color w:val="auto"/>
        </w:rPr>
      </w:pPr>
    </w:p>
    <w:p>
      <w:pPr>
        <w:jc w:val="both"/>
        <w:ind w:left="160" w:right="40"/>
        <w:spacing w:after="0" w:line="279" w:lineRule="auto"/>
        <w:rPr>
          <w:sz w:val="20"/>
          <w:szCs w:val="20"/>
          <w:color w:val="auto"/>
        </w:rPr>
      </w:pPr>
      <w:r>
        <w:rPr>
          <w:rFonts w:ascii="Arial" w:cs="Arial" w:eastAsia="Arial" w:hAnsi="Arial"/>
          <w:sz w:val="16"/>
          <w:szCs w:val="16"/>
          <w:color w:val="55565A"/>
        </w:rPr>
        <w:t>We prepare our consolidated financial statements in U.S. dollars and in accordance with International Financial Reporting Standards (IFRS), as issued by the International Accounting Standards Board (IASB).</w:t>
      </w:r>
    </w:p>
    <w:p>
      <w:pPr>
        <w:spacing w:after="0" w:line="54"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55565A"/>
        </w:rPr>
        <w:t>Other than EPS, we report our results in millions of U.S. dollars, but we compute percentage changes and margins using whole dollars to be more precise. As a result, percentages and margins calculated from reported amounts may differ from those presented, and growth components may not total due to rounding.</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Use of non-IFRS financial measures</w:t>
      </w:r>
    </w:p>
    <w:p>
      <w:pPr>
        <w:spacing w:after="0" w:line="108" w:lineRule="exact"/>
        <w:rPr>
          <w:sz w:val="20"/>
          <w:szCs w:val="20"/>
          <w:color w:val="auto"/>
        </w:rPr>
      </w:pPr>
    </w:p>
    <w:p>
      <w:pPr>
        <w:ind w:left="160" w:right="120"/>
        <w:spacing w:after="0" w:line="251" w:lineRule="auto"/>
        <w:rPr>
          <w:sz w:val="20"/>
          <w:szCs w:val="20"/>
          <w:color w:val="auto"/>
        </w:rPr>
      </w:pPr>
      <w:r>
        <w:rPr>
          <w:rFonts w:ascii="Arial" w:cs="Arial" w:eastAsia="Arial" w:hAnsi="Arial"/>
          <w:sz w:val="16"/>
          <w:szCs w:val="16"/>
          <w:color w:val="55565A"/>
        </w:rPr>
        <w:t>In this management’s discussion and analysis, we discuss our results on an IFRS and non-IFRS basis. We use non-IFRS financial measures, which include ratios that incorporate one or more non-IFRS financial measures, as supplemental indicators of our operating performance and financial position as well as for internal planning purposes, our management incentive programs and our business outlook. We believe non-IFRS financial measures provide more insight into our performance. Non-IFRS measures do not have standardized meanings prescribed by IFRS and therefore are unlikely to be comparable to the calculation of similar measures used by other companies, and should not be viewed as alternatives to measures of financial performance calculated in accordance with IFRS.</w:t>
      </w:r>
    </w:p>
    <w:p>
      <w:pPr>
        <w:spacing w:after="0" w:line="76" w:lineRule="exact"/>
        <w:rPr>
          <w:sz w:val="20"/>
          <w:szCs w:val="20"/>
          <w:color w:val="auto"/>
        </w:rPr>
      </w:pPr>
    </w:p>
    <w:p>
      <w:pPr>
        <w:jc w:val="both"/>
        <w:ind w:left="160" w:right="360"/>
        <w:spacing w:after="0" w:line="262" w:lineRule="auto"/>
        <w:rPr>
          <w:sz w:val="20"/>
          <w:szCs w:val="20"/>
          <w:color w:val="auto"/>
        </w:rPr>
      </w:pPr>
      <w:r>
        <w:rPr>
          <w:rFonts w:ascii="Arial" w:cs="Arial" w:eastAsia="Arial" w:hAnsi="Arial"/>
          <w:sz w:val="16"/>
          <w:szCs w:val="16"/>
          <w:color w:val="55565A"/>
        </w:rPr>
        <w:t>As of September 30, 2023, we amended our definition of adjusted earnings to exclude amortization from acquired computer software. While we have always excluded amortization from acquired identifiable intangible assets other than computer software from our definition of adjusted earnings, this change aligns our treatment of amortization for all acquired intangible assets. Prior period amounts were revised for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1</w:t>
      </w:r>
    </w:p>
    <w:p>
      <w:pPr>
        <w:sectPr>
          <w:pgSz w:w="11900" w:h="16838" w:orient="portrait"/>
          <w:cols w:equalWidth="0" w:num="1">
            <w:col w:w="11080"/>
          </w:cols>
          <w:pgMar w:left="320" w:top="120"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55565A"/>
        </w:rPr>
        <w:t>See Appendix A of this management’s discussion and analysis for a description of our non-IFRS financial measures, including an explanation of why we believe they are useful measures of our performance. Refer to Appendix B for reconciliations of our non-IFRS financial measures to the most directly comparable IFRS measures.</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Glossary of key terms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The following terms in this management’s discussion and analysis have the following meanings, unless otherwise indicated:</w:t>
      </w:r>
    </w:p>
    <w:p>
      <w:pPr>
        <w:spacing w:after="0" w:line="238" w:lineRule="exact"/>
        <w:rPr>
          <w:sz w:val="20"/>
          <w:szCs w:val="20"/>
          <w:color w:val="auto"/>
        </w:rPr>
      </w:pPr>
    </w:p>
    <w:tbl>
      <w:tblPr>
        <w:tblLayout w:type="fixed"/>
        <w:tblInd w:w="170" w:type="dxa"/>
        <w:tblCellMar>
          <w:top w:w="0" w:type="dxa"/>
          <w:left w:w="0" w:type="dxa"/>
          <w:bottom w:w="0" w:type="dxa"/>
          <w:right w:w="0" w:type="dxa"/>
        </w:tblCellMar>
      </w:tblPr>
      <w:tr>
        <w:trPr>
          <w:trHeight w:val="174"/>
        </w:trPr>
        <w:tc>
          <w:tcPr>
            <w:tcW w:w="2320" w:type="dxa"/>
            <w:vAlign w:val="bottom"/>
            <w:tcBorders>
              <w:top w:val="single" w:sz="8" w:color="55565A"/>
              <w:left w:val="single" w:sz="8" w:color="55565A"/>
              <w:bottom w:val="single" w:sz="8" w:color="55565A"/>
              <w:right w:val="single" w:sz="8" w:color="55565A"/>
            </w:tcBorders>
          </w:tcPr>
          <w:p>
            <w:pPr>
              <w:ind w:left="160"/>
              <w:spacing w:after="0"/>
              <w:rPr>
                <w:sz w:val="20"/>
                <w:szCs w:val="20"/>
                <w:color w:val="auto"/>
              </w:rPr>
            </w:pPr>
            <w:r>
              <w:rPr>
                <w:rFonts w:ascii="Arial" w:cs="Arial" w:eastAsia="Arial" w:hAnsi="Arial"/>
                <w:sz w:val="14"/>
                <w:szCs w:val="14"/>
                <w:b w:val="1"/>
                <w:bCs w:val="1"/>
                <w:color w:val="55565A"/>
              </w:rPr>
              <w:t>Term</w:t>
            </w:r>
          </w:p>
        </w:tc>
        <w:tc>
          <w:tcPr>
            <w:tcW w:w="8620" w:type="dxa"/>
            <w:vAlign w:val="bottom"/>
            <w:tcBorders>
              <w:top w:val="single" w:sz="8" w:color="55565A"/>
              <w:bottom w:val="single" w:sz="8" w:color="55565A"/>
              <w:right w:val="single" w:sz="8" w:color="55565A"/>
            </w:tcBorders>
          </w:tcPr>
          <w:p>
            <w:pPr>
              <w:ind w:left="200"/>
              <w:spacing w:after="0"/>
              <w:rPr>
                <w:sz w:val="20"/>
                <w:szCs w:val="20"/>
                <w:color w:val="auto"/>
              </w:rPr>
            </w:pPr>
            <w:r>
              <w:rPr>
                <w:rFonts w:ascii="Arial" w:cs="Arial" w:eastAsia="Arial" w:hAnsi="Arial"/>
                <w:sz w:val="14"/>
                <w:szCs w:val="14"/>
                <w:b w:val="1"/>
                <w:bCs w:val="1"/>
                <w:color w:val="55565A"/>
              </w:rPr>
              <w:t>Definition</w:t>
            </w:r>
          </w:p>
        </w:tc>
      </w:tr>
      <w:tr>
        <w:trPr>
          <w:trHeight w:val="154"/>
        </w:trPr>
        <w:tc>
          <w:tcPr>
            <w:tcW w:w="2320" w:type="dxa"/>
            <w:vAlign w:val="bottom"/>
            <w:tcBorders>
              <w:left w:val="single" w:sz="8" w:color="55565A"/>
              <w:bottom w:val="single" w:sz="8" w:color="55565A"/>
              <w:right w:val="single" w:sz="8" w:color="55565A"/>
            </w:tcBorders>
          </w:tcPr>
          <w:p>
            <w:pPr>
              <w:ind w:left="160"/>
              <w:spacing w:after="0" w:line="154" w:lineRule="exact"/>
              <w:rPr>
                <w:sz w:val="20"/>
                <w:szCs w:val="20"/>
                <w:color w:val="auto"/>
              </w:rPr>
            </w:pPr>
            <w:r>
              <w:rPr>
                <w:rFonts w:ascii="Arial" w:cs="Arial" w:eastAsia="Arial" w:hAnsi="Arial"/>
                <w:sz w:val="14"/>
                <w:szCs w:val="14"/>
                <w:color w:val="55565A"/>
              </w:rPr>
              <w:t>AI</w:t>
            </w:r>
          </w:p>
        </w:tc>
        <w:tc>
          <w:tcPr>
            <w:tcW w:w="8620" w:type="dxa"/>
            <w:vAlign w:val="bottom"/>
            <w:tcBorders>
              <w:bottom w:val="single" w:sz="8" w:color="55565A"/>
              <w:right w:val="single" w:sz="8" w:color="55565A"/>
            </w:tcBorders>
          </w:tcPr>
          <w:p>
            <w:pPr>
              <w:ind w:left="200"/>
              <w:spacing w:after="0" w:line="154" w:lineRule="exact"/>
              <w:rPr>
                <w:sz w:val="20"/>
                <w:szCs w:val="20"/>
                <w:color w:val="auto"/>
              </w:rPr>
            </w:pPr>
            <w:r>
              <w:rPr>
                <w:rFonts w:ascii="Arial" w:cs="Arial" w:eastAsia="Arial" w:hAnsi="Arial"/>
                <w:sz w:val="14"/>
                <w:szCs w:val="14"/>
                <w:color w:val="55565A"/>
              </w:rPr>
              <w:t>Artificial Intelligence</w:t>
            </w:r>
          </w:p>
        </w:tc>
      </w:tr>
      <w:tr>
        <w:trPr>
          <w:trHeight w:val="154"/>
        </w:trPr>
        <w:tc>
          <w:tcPr>
            <w:tcW w:w="2320" w:type="dxa"/>
            <w:vAlign w:val="bottom"/>
            <w:tcBorders>
              <w:left w:val="single" w:sz="8" w:color="55565A"/>
              <w:bottom w:val="single" w:sz="8" w:color="55565A"/>
              <w:right w:val="single" w:sz="8" w:color="55565A"/>
            </w:tcBorders>
          </w:tcPr>
          <w:p>
            <w:pPr>
              <w:ind w:left="160"/>
              <w:spacing w:after="0" w:line="154" w:lineRule="exact"/>
              <w:rPr>
                <w:sz w:val="20"/>
                <w:szCs w:val="20"/>
                <w:color w:val="auto"/>
              </w:rPr>
            </w:pPr>
            <w:r>
              <w:rPr>
                <w:rFonts w:ascii="Arial" w:cs="Arial" w:eastAsia="Arial" w:hAnsi="Arial"/>
                <w:sz w:val="14"/>
                <w:szCs w:val="14"/>
                <w:color w:val="55565A"/>
              </w:rPr>
              <w:t>“Big 3” segments</w:t>
            </w:r>
          </w:p>
        </w:tc>
        <w:tc>
          <w:tcPr>
            <w:tcW w:w="8620" w:type="dxa"/>
            <w:vAlign w:val="bottom"/>
            <w:tcBorders>
              <w:bottom w:val="single" w:sz="8" w:color="55565A"/>
              <w:right w:val="single" w:sz="8" w:color="55565A"/>
            </w:tcBorders>
          </w:tcPr>
          <w:p>
            <w:pPr>
              <w:ind w:left="200"/>
              <w:spacing w:after="0" w:line="154" w:lineRule="exact"/>
              <w:rPr>
                <w:sz w:val="20"/>
                <w:szCs w:val="20"/>
                <w:color w:val="auto"/>
              </w:rPr>
            </w:pPr>
            <w:r>
              <w:rPr>
                <w:rFonts w:ascii="Arial" w:cs="Arial" w:eastAsia="Arial" w:hAnsi="Arial"/>
                <w:sz w:val="14"/>
                <w:szCs w:val="14"/>
                <w:color w:val="55565A"/>
              </w:rPr>
              <w:t>Our combined Legal Professionals, Corporates and Tax &amp; Accounting Professionals segments</w:t>
            </w:r>
          </w:p>
        </w:tc>
      </w:tr>
      <w:tr>
        <w:trPr>
          <w:trHeight w:val="154"/>
        </w:trPr>
        <w:tc>
          <w:tcPr>
            <w:tcW w:w="2320" w:type="dxa"/>
            <w:vAlign w:val="bottom"/>
            <w:tcBorders>
              <w:left w:val="single" w:sz="8" w:color="55565A"/>
              <w:bottom w:val="single" w:sz="8" w:color="55565A"/>
              <w:right w:val="single" w:sz="8" w:color="55565A"/>
            </w:tcBorders>
          </w:tcPr>
          <w:p>
            <w:pPr>
              <w:ind w:left="160"/>
              <w:spacing w:after="0" w:line="154" w:lineRule="exact"/>
              <w:rPr>
                <w:sz w:val="20"/>
                <w:szCs w:val="20"/>
                <w:color w:val="auto"/>
              </w:rPr>
            </w:pPr>
            <w:r>
              <w:rPr>
                <w:rFonts w:ascii="Arial" w:cs="Arial" w:eastAsia="Arial" w:hAnsi="Arial"/>
                <w:sz w:val="14"/>
                <w:szCs w:val="14"/>
                <w:color w:val="55565A"/>
              </w:rPr>
              <w:t>Blackstone’s consortium</w:t>
            </w:r>
          </w:p>
        </w:tc>
        <w:tc>
          <w:tcPr>
            <w:tcW w:w="8620" w:type="dxa"/>
            <w:vAlign w:val="bottom"/>
            <w:tcBorders>
              <w:bottom w:val="single" w:sz="8" w:color="55565A"/>
              <w:right w:val="single" w:sz="8" w:color="55565A"/>
            </w:tcBorders>
          </w:tcPr>
          <w:p>
            <w:pPr>
              <w:ind w:left="200"/>
              <w:spacing w:after="0" w:line="154" w:lineRule="exact"/>
              <w:rPr>
                <w:sz w:val="20"/>
                <w:szCs w:val="20"/>
                <w:color w:val="auto"/>
              </w:rPr>
            </w:pPr>
            <w:r>
              <w:rPr>
                <w:rFonts w:ascii="Arial" w:cs="Arial" w:eastAsia="Arial" w:hAnsi="Arial"/>
                <w:sz w:val="14"/>
                <w:szCs w:val="14"/>
                <w:color w:val="55565A"/>
              </w:rPr>
              <w:t>The Blackstone Group and its subsidiaries, and private equity funds affiliated with Blackstone</w:t>
            </w:r>
          </w:p>
        </w:tc>
      </w:tr>
      <w:tr>
        <w:trPr>
          <w:trHeight w:val="154"/>
        </w:trPr>
        <w:tc>
          <w:tcPr>
            <w:tcW w:w="2320" w:type="dxa"/>
            <w:vAlign w:val="bottom"/>
            <w:tcBorders>
              <w:left w:val="single" w:sz="8" w:color="55565A"/>
              <w:bottom w:val="single" w:sz="8" w:color="55565A"/>
              <w:right w:val="single" w:sz="8" w:color="55565A"/>
            </w:tcBorders>
          </w:tcPr>
          <w:p>
            <w:pPr>
              <w:ind w:left="160"/>
              <w:spacing w:after="0" w:line="154" w:lineRule="exact"/>
              <w:rPr>
                <w:sz w:val="20"/>
                <w:szCs w:val="20"/>
                <w:color w:val="auto"/>
              </w:rPr>
            </w:pPr>
            <w:r>
              <w:rPr>
                <w:rFonts w:ascii="Arial" w:cs="Arial" w:eastAsia="Arial" w:hAnsi="Arial"/>
                <w:sz w:val="14"/>
                <w:szCs w:val="14"/>
                <w:color w:val="55565A"/>
              </w:rPr>
              <w:t>bp</w:t>
            </w:r>
          </w:p>
        </w:tc>
        <w:tc>
          <w:tcPr>
            <w:tcW w:w="8620" w:type="dxa"/>
            <w:vAlign w:val="bottom"/>
            <w:tcBorders>
              <w:bottom w:val="single" w:sz="8" w:color="55565A"/>
              <w:right w:val="single" w:sz="8" w:color="55565A"/>
            </w:tcBorders>
          </w:tcPr>
          <w:p>
            <w:pPr>
              <w:ind w:left="200"/>
              <w:spacing w:after="0" w:line="154" w:lineRule="exact"/>
              <w:rPr>
                <w:sz w:val="20"/>
                <w:szCs w:val="20"/>
                <w:color w:val="auto"/>
              </w:rPr>
            </w:pPr>
            <w:r>
              <w:rPr>
                <w:rFonts w:ascii="Arial" w:cs="Arial" w:eastAsia="Arial" w:hAnsi="Arial"/>
                <w:sz w:val="12"/>
                <w:szCs w:val="12"/>
                <w:color w:val="55565A"/>
              </w:rPr>
              <w:t>Basis points — one basis point is equal to 1/100</w:t>
            </w:r>
            <w:r>
              <w:rPr>
                <w:rFonts w:ascii="Arial" w:cs="Arial" w:eastAsia="Arial" w:hAnsi="Arial"/>
                <w:sz w:val="17"/>
                <w:szCs w:val="17"/>
                <w:color w:val="55565A"/>
                <w:vertAlign w:val="superscript"/>
              </w:rPr>
              <w:t>th</w:t>
            </w:r>
            <w:r>
              <w:rPr>
                <w:rFonts w:ascii="Arial" w:cs="Arial" w:eastAsia="Arial" w:hAnsi="Arial"/>
                <w:sz w:val="12"/>
                <w:szCs w:val="12"/>
                <w:color w:val="55565A"/>
              </w:rPr>
              <w:t xml:space="preserve"> of 1%; “100bp” is equivalent to 1%</w:t>
            </w:r>
          </w:p>
        </w:tc>
      </w:tr>
      <w:tr>
        <w:trPr>
          <w:trHeight w:val="145"/>
        </w:trPr>
        <w:tc>
          <w:tcPr>
            <w:tcW w:w="2320" w:type="dxa"/>
            <w:vAlign w:val="bottom"/>
            <w:tcBorders>
              <w:left w:val="single" w:sz="8" w:color="55565A"/>
              <w:right w:val="single" w:sz="8" w:color="55565A"/>
            </w:tcBorders>
          </w:tcPr>
          <w:p>
            <w:pPr>
              <w:ind w:left="160"/>
              <w:spacing w:after="0" w:line="145" w:lineRule="exact"/>
              <w:rPr>
                <w:sz w:val="20"/>
                <w:szCs w:val="20"/>
                <w:color w:val="auto"/>
              </w:rPr>
            </w:pPr>
            <w:r>
              <w:rPr>
                <w:rFonts w:ascii="Arial" w:cs="Arial" w:eastAsia="Arial" w:hAnsi="Arial"/>
                <w:sz w:val="14"/>
                <w:szCs w:val="14"/>
                <w:color w:val="55565A"/>
              </w:rPr>
              <w:t>Change Program</w:t>
            </w:r>
          </w:p>
        </w:tc>
        <w:tc>
          <w:tcPr>
            <w:tcW w:w="8620" w:type="dxa"/>
            <w:vAlign w:val="bottom"/>
            <w:tcBorders>
              <w:right w:val="single" w:sz="8" w:color="55565A"/>
            </w:tcBorders>
          </w:tcPr>
          <w:p>
            <w:pPr>
              <w:ind w:left="200"/>
              <w:spacing w:after="0" w:line="145" w:lineRule="exact"/>
              <w:rPr>
                <w:sz w:val="20"/>
                <w:szCs w:val="20"/>
                <w:color w:val="auto"/>
              </w:rPr>
            </w:pPr>
            <w:r>
              <w:rPr>
                <w:rFonts w:ascii="Arial" w:cs="Arial" w:eastAsia="Arial" w:hAnsi="Arial"/>
                <w:sz w:val="14"/>
                <w:szCs w:val="14"/>
                <w:color w:val="55565A"/>
              </w:rPr>
              <w:t>A two-year initiative, completed in December 2022, that focused on transforming our company from a holding company to an</w:t>
            </w:r>
          </w:p>
        </w:tc>
      </w:tr>
      <w:tr>
        <w:trPr>
          <w:trHeight w:val="170"/>
        </w:trPr>
        <w:tc>
          <w:tcPr>
            <w:tcW w:w="2320" w:type="dxa"/>
            <w:vAlign w:val="bottom"/>
            <w:tcBorders>
              <w:left w:val="single" w:sz="8" w:color="55565A"/>
              <w:bottom w:val="single" w:sz="8" w:color="55565A"/>
              <w:right w:val="single" w:sz="8" w:color="55565A"/>
            </w:tcBorders>
          </w:tcPr>
          <w:p>
            <w:pPr>
              <w:spacing w:after="0"/>
              <w:rPr>
                <w:sz w:val="14"/>
                <w:szCs w:val="14"/>
                <w:color w:val="auto"/>
              </w:rPr>
            </w:pPr>
          </w:p>
        </w:tc>
        <w:tc>
          <w:tcPr>
            <w:tcW w:w="8620" w:type="dxa"/>
            <w:vAlign w:val="bottom"/>
            <w:tcBorders>
              <w:bottom w:val="single" w:sz="8" w:color="55565A"/>
              <w:right w:val="single" w:sz="8" w:color="55565A"/>
            </w:tcBorders>
          </w:tcPr>
          <w:p>
            <w:pPr>
              <w:ind w:left="200"/>
              <w:spacing w:after="0"/>
              <w:rPr>
                <w:sz w:val="20"/>
                <w:szCs w:val="20"/>
                <w:color w:val="auto"/>
              </w:rPr>
            </w:pPr>
            <w:r>
              <w:rPr>
                <w:rFonts w:ascii="Arial" w:cs="Arial" w:eastAsia="Arial" w:hAnsi="Arial"/>
                <w:sz w:val="14"/>
                <w:szCs w:val="14"/>
                <w:color w:val="55565A"/>
              </w:rPr>
              <w:t>operating company and from a content provider into a content-driven technology company</w:t>
            </w:r>
          </w:p>
        </w:tc>
      </w:tr>
      <w:tr>
        <w:trPr>
          <w:trHeight w:val="145"/>
        </w:trPr>
        <w:tc>
          <w:tcPr>
            <w:tcW w:w="2320" w:type="dxa"/>
            <w:vAlign w:val="bottom"/>
            <w:tcBorders>
              <w:left w:val="single" w:sz="8" w:color="55565A"/>
              <w:right w:val="single" w:sz="8" w:color="55565A"/>
            </w:tcBorders>
          </w:tcPr>
          <w:p>
            <w:pPr>
              <w:ind w:left="160"/>
              <w:spacing w:after="0" w:line="145" w:lineRule="exact"/>
              <w:rPr>
                <w:sz w:val="20"/>
                <w:szCs w:val="20"/>
                <w:color w:val="auto"/>
              </w:rPr>
            </w:pPr>
            <w:r>
              <w:rPr>
                <w:rFonts w:ascii="Arial" w:cs="Arial" w:eastAsia="Arial" w:hAnsi="Arial"/>
                <w:sz w:val="14"/>
                <w:szCs w:val="14"/>
                <w:color w:val="55565A"/>
              </w:rPr>
              <w:t>constant currency</w:t>
            </w:r>
          </w:p>
        </w:tc>
        <w:tc>
          <w:tcPr>
            <w:tcW w:w="8620" w:type="dxa"/>
            <w:vAlign w:val="bottom"/>
            <w:tcBorders>
              <w:right w:val="single" w:sz="8" w:color="55565A"/>
            </w:tcBorders>
          </w:tcPr>
          <w:p>
            <w:pPr>
              <w:ind w:left="200"/>
              <w:spacing w:after="0" w:line="145" w:lineRule="exact"/>
              <w:rPr>
                <w:sz w:val="20"/>
                <w:szCs w:val="20"/>
                <w:color w:val="auto"/>
              </w:rPr>
            </w:pPr>
            <w:r>
              <w:rPr>
                <w:rFonts w:ascii="Arial" w:cs="Arial" w:eastAsia="Arial" w:hAnsi="Arial"/>
                <w:sz w:val="14"/>
                <w:szCs w:val="14"/>
                <w:color w:val="55565A"/>
              </w:rPr>
              <w:t>A non-IFRS measure derived by applying the same foreign currency exchange rates to the financial results of the current and</w:t>
            </w:r>
          </w:p>
        </w:tc>
      </w:tr>
      <w:tr>
        <w:trPr>
          <w:trHeight w:val="170"/>
        </w:trPr>
        <w:tc>
          <w:tcPr>
            <w:tcW w:w="2320" w:type="dxa"/>
            <w:vAlign w:val="bottom"/>
            <w:tcBorders>
              <w:left w:val="single" w:sz="8" w:color="55565A"/>
              <w:bottom w:val="single" w:sz="8" w:color="55565A"/>
              <w:right w:val="single" w:sz="8" w:color="55565A"/>
            </w:tcBorders>
          </w:tcPr>
          <w:p>
            <w:pPr>
              <w:spacing w:after="0"/>
              <w:rPr>
                <w:sz w:val="14"/>
                <w:szCs w:val="14"/>
                <w:color w:val="auto"/>
              </w:rPr>
            </w:pPr>
          </w:p>
        </w:tc>
        <w:tc>
          <w:tcPr>
            <w:tcW w:w="8620" w:type="dxa"/>
            <w:vAlign w:val="bottom"/>
            <w:tcBorders>
              <w:bottom w:val="single" w:sz="8" w:color="55565A"/>
              <w:right w:val="single" w:sz="8" w:color="55565A"/>
            </w:tcBorders>
          </w:tcPr>
          <w:p>
            <w:pPr>
              <w:ind w:left="200"/>
              <w:spacing w:after="0"/>
              <w:rPr>
                <w:sz w:val="20"/>
                <w:szCs w:val="20"/>
                <w:color w:val="auto"/>
              </w:rPr>
            </w:pPr>
            <w:r>
              <w:rPr>
                <w:rFonts w:ascii="Arial" w:cs="Arial" w:eastAsia="Arial" w:hAnsi="Arial"/>
                <w:sz w:val="14"/>
                <w:szCs w:val="14"/>
                <w:color w:val="55565A"/>
              </w:rPr>
              <w:t>equivalent prior-year period</w:t>
            </w:r>
          </w:p>
        </w:tc>
      </w:tr>
      <w:tr>
        <w:trPr>
          <w:trHeight w:val="154"/>
        </w:trPr>
        <w:tc>
          <w:tcPr>
            <w:tcW w:w="2320" w:type="dxa"/>
            <w:vAlign w:val="bottom"/>
            <w:tcBorders>
              <w:left w:val="single" w:sz="8" w:color="55565A"/>
              <w:bottom w:val="single" w:sz="8" w:color="55565A"/>
              <w:right w:val="single" w:sz="8" w:color="55565A"/>
            </w:tcBorders>
          </w:tcPr>
          <w:p>
            <w:pPr>
              <w:ind w:left="160"/>
              <w:spacing w:after="0" w:line="154" w:lineRule="exact"/>
              <w:rPr>
                <w:sz w:val="20"/>
                <w:szCs w:val="20"/>
                <w:color w:val="auto"/>
              </w:rPr>
            </w:pPr>
            <w:r>
              <w:rPr>
                <w:rFonts w:ascii="Arial" w:cs="Arial" w:eastAsia="Arial" w:hAnsi="Arial"/>
                <w:sz w:val="14"/>
                <w:szCs w:val="14"/>
                <w:color w:val="55565A"/>
              </w:rPr>
              <w:t>EPS</w:t>
            </w:r>
          </w:p>
        </w:tc>
        <w:tc>
          <w:tcPr>
            <w:tcW w:w="8620" w:type="dxa"/>
            <w:vAlign w:val="bottom"/>
            <w:tcBorders>
              <w:bottom w:val="single" w:sz="8" w:color="55565A"/>
              <w:right w:val="single" w:sz="8" w:color="55565A"/>
            </w:tcBorders>
          </w:tcPr>
          <w:p>
            <w:pPr>
              <w:ind w:left="200"/>
              <w:spacing w:after="0" w:line="154" w:lineRule="exact"/>
              <w:rPr>
                <w:sz w:val="20"/>
                <w:szCs w:val="20"/>
                <w:color w:val="auto"/>
              </w:rPr>
            </w:pPr>
            <w:r>
              <w:rPr>
                <w:rFonts w:ascii="Arial" w:cs="Arial" w:eastAsia="Arial" w:hAnsi="Arial"/>
                <w:sz w:val="14"/>
                <w:szCs w:val="14"/>
                <w:color w:val="55565A"/>
              </w:rPr>
              <w:t>Earnings per share</w:t>
            </w:r>
          </w:p>
        </w:tc>
      </w:tr>
      <w:tr>
        <w:trPr>
          <w:trHeight w:val="154"/>
        </w:trPr>
        <w:tc>
          <w:tcPr>
            <w:tcW w:w="2320" w:type="dxa"/>
            <w:vAlign w:val="bottom"/>
            <w:tcBorders>
              <w:left w:val="single" w:sz="8" w:color="55565A"/>
              <w:bottom w:val="single" w:sz="8" w:color="55565A"/>
              <w:right w:val="single" w:sz="8" w:color="55565A"/>
            </w:tcBorders>
          </w:tcPr>
          <w:p>
            <w:pPr>
              <w:ind w:left="160"/>
              <w:spacing w:after="0" w:line="154" w:lineRule="exact"/>
              <w:rPr>
                <w:sz w:val="20"/>
                <w:szCs w:val="20"/>
                <w:color w:val="auto"/>
              </w:rPr>
            </w:pPr>
            <w:r>
              <w:rPr>
                <w:rFonts w:ascii="Arial" w:cs="Arial" w:eastAsia="Arial" w:hAnsi="Arial"/>
                <w:sz w:val="14"/>
                <w:szCs w:val="14"/>
                <w:color w:val="55565A"/>
              </w:rPr>
              <w:t>LSEG</w:t>
            </w:r>
          </w:p>
        </w:tc>
        <w:tc>
          <w:tcPr>
            <w:tcW w:w="8620" w:type="dxa"/>
            <w:vAlign w:val="bottom"/>
            <w:tcBorders>
              <w:bottom w:val="single" w:sz="8" w:color="55565A"/>
              <w:right w:val="single" w:sz="8" w:color="55565A"/>
            </w:tcBorders>
          </w:tcPr>
          <w:p>
            <w:pPr>
              <w:ind w:left="200"/>
              <w:spacing w:after="0" w:line="154" w:lineRule="exact"/>
              <w:rPr>
                <w:sz w:val="20"/>
                <w:szCs w:val="20"/>
                <w:color w:val="auto"/>
              </w:rPr>
            </w:pPr>
            <w:r>
              <w:rPr>
                <w:rFonts w:ascii="Arial" w:cs="Arial" w:eastAsia="Arial" w:hAnsi="Arial"/>
                <w:sz w:val="14"/>
                <w:szCs w:val="14"/>
                <w:color w:val="55565A"/>
              </w:rPr>
              <w:t>London Stock Exchange Group plc</w:t>
            </w:r>
          </w:p>
        </w:tc>
      </w:tr>
      <w:tr>
        <w:trPr>
          <w:trHeight w:val="154"/>
        </w:trPr>
        <w:tc>
          <w:tcPr>
            <w:tcW w:w="2320" w:type="dxa"/>
            <w:vAlign w:val="bottom"/>
            <w:tcBorders>
              <w:left w:val="single" w:sz="8" w:color="55565A"/>
              <w:bottom w:val="single" w:sz="8" w:color="55565A"/>
              <w:right w:val="single" w:sz="8" w:color="55565A"/>
            </w:tcBorders>
          </w:tcPr>
          <w:p>
            <w:pPr>
              <w:ind w:left="160"/>
              <w:spacing w:after="0" w:line="154" w:lineRule="exact"/>
              <w:rPr>
                <w:sz w:val="20"/>
                <w:szCs w:val="20"/>
                <w:color w:val="auto"/>
              </w:rPr>
            </w:pPr>
            <w:r>
              <w:rPr>
                <w:rFonts w:ascii="Arial" w:cs="Arial" w:eastAsia="Arial" w:hAnsi="Arial"/>
                <w:sz w:val="14"/>
                <w:szCs w:val="14"/>
                <w:color w:val="55565A"/>
              </w:rPr>
              <w:t>ML</w:t>
            </w:r>
          </w:p>
        </w:tc>
        <w:tc>
          <w:tcPr>
            <w:tcW w:w="8620" w:type="dxa"/>
            <w:vAlign w:val="bottom"/>
            <w:tcBorders>
              <w:bottom w:val="single" w:sz="8" w:color="55565A"/>
              <w:right w:val="single" w:sz="8" w:color="55565A"/>
            </w:tcBorders>
          </w:tcPr>
          <w:p>
            <w:pPr>
              <w:ind w:left="200"/>
              <w:spacing w:after="0" w:line="154" w:lineRule="exact"/>
              <w:rPr>
                <w:sz w:val="20"/>
                <w:szCs w:val="20"/>
                <w:color w:val="auto"/>
              </w:rPr>
            </w:pPr>
            <w:r>
              <w:rPr>
                <w:rFonts w:ascii="Arial" w:cs="Arial" w:eastAsia="Arial" w:hAnsi="Arial"/>
                <w:sz w:val="14"/>
                <w:szCs w:val="14"/>
                <w:color w:val="55565A"/>
              </w:rPr>
              <w:t>Machine Learning</w:t>
            </w:r>
          </w:p>
        </w:tc>
      </w:tr>
      <w:tr>
        <w:trPr>
          <w:trHeight w:val="154"/>
        </w:trPr>
        <w:tc>
          <w:tcPr>
            <w:tcW w:w="2320" w:type="dxa"/>
            <w:vAlign w:val="bottom"/>
            <w:tcBorders>
              <w:left w:val="single" w:sz="8" w:color="55565A"/>
              <w:bottom w:val="single" w:sz="8" w:color="55565A"/>
              <w:right w:val="single" w:sz="8" w:color="55565A"/>
            </w:tcBorders>
          </w:tcPr>
          <w:p>
            <w:pPr>
              <w:ind w:left="160"/>
              <w:spacing w:after="0" w:line="154" w:lineRule="exact"/>
              <w:rPr>
                <w:sz w:val="20"/>
                <w:szCs w:val="20"/>
                <w:color w:val="auto"/>
              </w:rPr>
            </w:pPr>
            <w:r>
              <w:rPr>
                <w:rFonts w:ascii="Arial" w:cs="Arial" w:eastAsia="Arial" w:hAnsi="Arial"/>
                <w:sz w:val="14"/>
                <w:szCs w:val="14"/>
                <w:color w:val="55565A"/>
              </w:rPr>
              <w:t>n/a</w:t>
            </w:r>
          </w:p>
        </w:tc>
        <w:tc>
          <w:tcPr>
            <w:tcW w:w="8620" w:type="dxa"/>
            <w:vAlign w:val="bottom"/>
            <w:tcBorders>
              <w:bottom w:val="single" w:sz="8" w:color="55565A"/>
              <w:right w:val="single" w:sz="8" w:color="55565A"/>
            </w:tcBorders>
          </w:tcPr>
          <w:p>
            <w:pPr>
              <w:ind w:left="200"/>
              <w:spacing w:after="0" w:line="154" w:lineRule="exact"/>
              <w:rPr>
                <w:sz w:val="20"/>
                <w:szCs w:val="20"/>
                <w:color w:val="auto"/>
              </w:rPr>
            </w:pPr>
            <w:r>
              <w:rPr>
                <w:rFonts w:ascii="Arial" w:cs="Arial" w:eastAsia="Arial" w:hAnsi="Arial"/>
                <w:sz w:val="14"/>
                <w:szCs w:val="14"/>
                <w:color w:val="55565A"/>
              </w:rPr>
              <w:t>Not applicable</w:t>
            </w:r>
          </w:p>
        </w:tc>
      </w:tr>
      <w:tr>
        <w:trPr>
          <w:trHeight w:val="154"/>
        </w:trPr>
        <w:tc>
          <w:tcPr>
            <w:tcW w:w="2320" w:type="dxa"/>
            <w:vAlign w:val="bottom"/>
            <w:tcBorders>
              <w:left w:val="single" w:sz="8" w:color="55565A"/>
              <w:bottom w:val="single" w:sz="8" w:color="55565A"/>
              <w:right w:val="single" w:sz="8" w:color="55565A"/>
            </w:tcBorders>
          </w:tcPr>
          <w:p>
            <w:pPr>
              <w:ind w:left="160"/>
              <w:spacing w:after="0" w:line="154" w:lineRule="exact"/>
              <w:rPr>
                <w:sz w:val="20"/>
                <w:szCs w:val="20"/>
                <w:color w:val="auto"/>
              </w:rPr>
            </w:pPr>
            <w:r>
              <w:rPr>
                <w:rFonts w:ascii="Arial" w:cs="Arial" w:eastAsia="Arial" w:hAnsi="Arial"/>
                <w:sz w:val="14"/>
                <w:szCs w:val="14"/>
                <w:color w:val="55565A"/>
              </w:rPr>
              <w:t>n/m</w:t>
            </w:r>
          </w:p>
        </w:tc>
        <w:tc>
          <w:tcPr>
            <w:tcW w:w="8620" w:type="dxa"/>
            <w:vAlign w:val="bottom"/>
            <w:tcBorders>
              <w:bottom w:val="single" w:sz="8" w:color="55565A"/>
              <w:right w:val="single" w:sz="8" w:color="55565A"/>
            </w:tcBorders>
          </w:tcPr>
          <w:p>
            <w:pPr>
              <w:ind w:left="200"/>
              <w:spacing w:after="0" w:line="154" w:lineRule="exact"/>
              <w:rPr>
                <w:sz w:val="20"/>
                <w:szCs w:val="20"/>
                <w:color w:val="auto"/>
              </w:rPr>
            </w:pPr>
            <w:r>
              <w:rPr>
                <w:rFonts w:ascii="Arial" w:cs="Arial" w:eastAsia="Arial" w:hAnsi="Arial"/>
                <w:sz w:val="14"/>
                <w:szCs w:val="14"/>
                <w:color w:val="55565A"/>
              </w:rPr>
              <w:t>Not meaningful</w:t>
            </w:r>
          </w:p>
        </w:tc>
      </w:tr>
      <w:tr>
        <w:trPr>
          <w:trHeight w:val="145"/>
        </w:trPr>
        <w:tc>
          <w:tcPr>
            <w:tcW w:w="2320" w:type="dxa"/>
            <w:vAlign w:val="bottom"/>
            <w:tcBorders>
              <w:left w:val="single" w:sz="8" w:color="55565A"/>
              <w:right w:val="single" w:sz="8" w:color="55565A"/>
            </w:tcBorders>
          </w:tcPr>
          <w:p>
            <w:pPr>
              <w:ind w:left="160"/>
              <w:spacing w:after="0" w:line="145" w:lineRule="exact"/>
              <w:rPr>
                <w:sz w:val="20"/>
                <w:szCs w:val="20"/>
                <w:color w:val="auto"/>
              </w:rPr>
            </w:pPr>
            <w:r>
              <w:rPr>
                <w:rFonts w:ascii="Arial" w:cs="Arial" w:eastAsia="Arial" w:hAnsi="Arial"/>
                <w:sz w:val="14"/>
                <w:szCs w:val="14"/>
                <w:color w:val="55565A"/>
              </w:rPr>
              <w:t>organic or organically</w:t>
            </w:r>
          </w:p>
        </w:tc>
        <w:tc>
          <w:tcPr>
            <w:tcW w:w="8620" w:type="dxa"/>
            <w:vAlign w:val="bottom"/>
            <w:tcBorders>
              <w:right w:val="single" w:sz="8" w:color="55565A"/>
            </w:tcBorders>
          </w:tcPr>
          <w:p>
            <w:pPr>
              <w:ind w:left="200"/>
              <w:spacing w:after="0" w:line="145" w:lineRule="exact"/>
              <w:rPr>
                <w:sz w:val="20"/>
                <w:szCs w:val="20"/>
                <w:color w:val="auto"/>
              </w:rPr>
            </w:pPr>
            <w:r>
              <w:rPr>
                <w:rFonts w:ascii="Arial" w:cs="Arial" w:eastAsia="Arial" w:hAnsi="Arial"/>
                <w:sz w:val="14"/>
                <w:szCs w:val="14"/>
                <w:color w:val="55565A"/>
              </w:rPr>
              <w:t>A non-IFRS measure that represents changes in revenues of our existing businesses at constant currency. The metric excludes the</w:t>
            </w:r>
          </w:p>
        </w:tc>
      </w:tr>
      <w:tr>
        <w:trPr>
          <w:trHeight w:val="170"/>
        </w:trPr>
        <w:tc>
          <w:tcPr>
            <w:tcW w:w="2320" w:type="dxa"/>
            <w:vAlign w:val="bottom"/>
            <w:tcBorders>
              <w:left w:val="single" w:sz="8" w:color="55565A"/>
              <w:bottom w:val="single" w:sz="8" w:color="55565A"/>
              <w:right w:val="single" w:sz="8" w:color="55565A"/>
            </w:tcBorders>
          </w:tcPr>
          <w:p>
            <w:pPr>
              <w:spacing w:after="0"/>
              <w:rPr>
                <w:sz w:val="14"/>
                <w:szCs w:val="14"/>
                <w:color w:val="auto"/>
              </w:rPr>
            </w:pPr>
          </w:p>
        </w:tc>
        <w:tc>
          <w:tcPr>
            <w:tcW w:w="8620" w:type="dxa"/>
            <w:vAlign w:val="bottom"/>
            <w:tcBorders>
              <w:bottom w:val="single" w:sz="8" w:color="55565A"/>
              <w:right w:val="single" w:sz="8" w:color="55565A"/>
            </w:tcBorders>
          </w:tcPr>
          <w:p>
            <w:pPr>
              <w:ind w:left="200"/>
              <w:spacing w:after="0"/>
              <w:rPr>
                <w:sz w:val="20"/>
                <w:szCs w:val="20"/>
                <w:color w:val="auto"/>
              </w:rPr>
            </w:pPr>
            <w:r>
              <w:rPr>
                <w:rFonts w:ascii="Arial" w:cs="Arial" w:eastAsia="Arial" w:hAnsi="Arial"/>
                <w:sz w:val="14"/>
                <w:szCs w:val="14"/>
                <w:color w:val="55565A"/>
              </w:rPr>
              <w:t>distortive impacts of acquisitions and dispositions from not owning the business in both comparable periods</w:t>
            </w:r>
          </w:p>
        </w:tc>
      </w:tr>
      <w:tr>
        <w:trPr>
          <w:trHeight w:val="154"/>
        </w:trPr>
        <w:tc>
          <w:tcPr>
            <w:tcW w:w="2320" w:type="dxa"/>
            <w:vAlign w:val="bottom"/>
            <w:tcBorders>
              <w:left w:val="single" w:sz="8" w:color="55565A"/>
              <w:bottom w:val="single" w:sz="8" w:color="55565A"/>
              <w:right w:val="single" w:sz="8" w:color="55565A"/>
            </w:tcBorders>
          </w:tcPr>
          <w:p>
            <w:pPr>
              <w:ind w:left="160"/>
              <w:spacing w:after="0" w:line="154" w:lineRule="exact"/>
              <w:rPr>
                <w:sz w:val="20"/>
                <w:szCs w:val="20"/>
                <w:color w:val="auto"/>
              </w:rPr>
            </w:pPr>
            <w:r>
              <w:rPr>
                <w:rFonts w:ascii="Arial" w:cs="Arial" w:eastAsia="Arial" w:hAnsi="Arial"/>
                <w:sz w:val="14"/>
                <w:szCs w:val="14"/>
                <w:color w:val="55565A"/>
              </w:rPr>
              <w:t>Woodbridge</w:t>
            </w:r>
          </w:p>
        </w:tc>
        <w:tc>
          <w:tcPr>
            <w:tcW w:w="8620" w:type="dxa"/>
            <w:vAlign w:val="bottom"/>
            <w:tcBorders>
              <w:bottom w:val="single" w:sz="8" w:color="55565A"/>
              <w:right w:val="single" w:sz="8" w:color="55565A"/>
            </w:tcBorders>
          </w:tcPr>
          <w:p>
            <w:pPr>
              <w:ind w:left="200"/>
              <w:spacing w:after="0" w:line="154" w:lineRule="exact"/>
              <w:rPr>
                <w:sz w:val="20"/>
                <w:szCs w:val="20"/>
                <w:color w:val="auto"/>
              </w:rPr>
            </w:pPr>
            <w:r>
              <w:rPr>
                <w:rFonts w:ascii="Arial" w:cs="Arial" w:eastAsia="Arial" w:hAnsi="Arial"/>
                <w:sz w:val="14"/>
                <w:szCs w:val="14"/>
                <w:color w:val="55565A"/>
              </w:rPr>
              <w:t>The Woodbridge Company Limited, our principal and controlling shareholder</w:t>
            </w:r>
          </w:p>
        </w:tc>
      </w:tr>
      <w:tr>
        <w:trPr>
          <w:trHeight w:val="145"/>
        </w:trPr>
        <w:tc>
          <w:tcPr>
            <w:tcW w:w="2320" w:type="dxa"/>
            <w:vAlign w:val="bottom"/>
            <w:tcBorders>
              <w:left w:val="single" w:sz="8" w:color="55565A"/>
              <w:right w:val="single" w:sz="8" w:color="55565A"/>
            </w:tcBorders>
          </w:tcPr>
          <w:p>
            <w:pPr>
              <w:ind w:left="160"/>
              <w:spacing w:after="0" w:line="145" w:lineRule="exact"/>
              <w:rPr>
                <w:sz w:val="20"/>
                <w:szCs w:val="20"/>
                <w:color w:val="auto"/>
              </w:rPr>
            </w:pPr>
            <w:r>
              <w:rPr>
                <w:rFonts w:ascii="Arial" w:cs="Arial" w:eastAsia="Arial" w:hAnsi="Arial"/>
                <w:sz w:val="14"/>
                <w:szCs w:val="14"/>
                <w:color w:val="55565A"/>
              </w:rPr>
              <w:t>YPL</w:t>
            </w:r>
          </w:p>
        </w:tc>
        <w:tc>
          <w:tcPr>
            <w:tcW w:w="8620" w:type="dxa"/>
            <w:vAlign w:val="bottom"/>
            <w:tcBorders>
              <w:right w:val="single" w:sz="8" w:color="55565A"/>
            </w:tcBorders>
          </w:tcPr>
          <w:p>
            <w:pPr>
              <w:ind w:left="200"/>
              <w:spacing w:after="0" w:line="145" w:lineRule="exact"/>
              <w:rPr>
                <w:sz w:val="20"/>
                <w:szCs w:val="20"/>
                <w:color w:val="auto"/>
              </w:rPr>
            </w:pPr>
            <w:r>
              <w:rPr>
                <w:rFonts w:ascii="Arial" w:cs="Arial" w:eastAsia="Arial" w:hAnsi="Arial"/>
                <w:sz w:val="14"/>
                <w:szCs w:val="14"/>
                <w:color w:val="55565A"/>
              </w:rPr>
              <w:t>York Parent Limited, the entity that owns LSEG shares, which is jointly owned by our company and the Blackstone consortium.</w:t>
            </w:r>
          </w:p>
        </w:tc>
      </w:tr>
      <w:tr>
        <w:trPr>
          <w:trHeight w:val="170"/>
        </w:trPr>
        <w:tc>
          <w:tcPr>
            <w:tcW w:w="2320" w:type="dxa"/>
            <w:vAlign w:val="bottom"/>
            <w:tcBorders>
              <w:left w:val="single" w:sz="8" w:color="55565A"/>
              <w:bottom w:val="single" w:sz="8" w:color="55565A"/>
              <w:right w:val="single" w:sz="8" w:color="55565A"/>
            </w:tcBorders>
          </w:tcPr>
          <w:p>
            <w:pPr>
              <w:spacing w:after="0"/>
              <w:rPr>
                <w:sz w:val="14"/>
                <w:szCs w:val="14"/>
                <w:color w:val="auto"/>
              </w:rPr>
            </w:pPr>
          </w:p>
        </w:tc>
        <w:tc>
          <w:tcPr>
            <w:tcW w:w="8620" w:type="dxa"/>
            <w:vAlign w:val="bottom"/>
            <w:tcBorders>
              <w:bottom w:val="single" w:sz="8" w:color="55565A"/>
              <w:right w:val="single" w:sz="8" w:color="55565A"/>
            </w:tcBorders>
          </w:tcPr>
          <w:p>
            <w:pPr>
              <w:ind w:left="200"/>
              <w:spacing w:after="0"/>
              <w:rPr>
                <w:sz w:val="20"/>
                <w:szCs w:val="20"/>
                <w:color w:val="auto"/>
              </w:rPr>
            </w:pPr>
            <w:r>
              <w:rPr>
                <w:rFonts w:ascii="Arial" w:cs="Arial" w:eastAsia="Arial" w:hAnsi="Arial"/>
                <w:sz w:val="14"/>
                <w:szCs w:val="14"/>
                <w:color w:val="55565A"/>
              </w:rPr>
              <w:t>References to YPL also include its subsidiaries.</w:t>
            </w:r>
          </w:p>
        </w:tc>
      </w:tr>
      <w:tr>
        <w:trPr>
          <w:trHeight w:val="154"/>
        </w:trPr>
        <w:tc>
          <w:tcPr>
            <w:tcW w:w="2320" w:type="dxa"/>
            <w:vAlign w:val="bottom"/>
            <w:tcBorders>
              <w:left w:val="single" w:sz="8" w:color="55565A"/>
              <w:bottom w:val="single" w:sz="8" w:color="55565A"/>
              <w:right w:val="single" w:sz="8" w:color="55565A"/>
            </w:tcBorders>
          </w:tcPr>
          <w:p>
            <w:pPr>
              <w:ind w:left="160"/>
              <w:spacing w:after="0" w:line="154" w:lineRule="exact"/>
              <w:rPr>
                <w:sz w:val="20"/>
                <w:szCs w:val="20"/>
                <w:color w:val="auto"/>
              </w:rPr>
            </w:pPr>
            <w:r>
              <w:rPr>
                <w:rFonts w:ascii="Arial" w:cs="Arial" w:eastAsia="Arial" w:hAnsi="Arial"/>
                <w:sz w:val="14"/>
                <w:szCs w:val="14"/>
                <w:color w:val="55565A"/>
              </w:rPr>
              <w:t>$ and US$</w:t>
            </w:r>
          </w:p>
        </w:tc>
        <w:tc>
          <w:tcPr>
            <w:tcW w:w="8620" w:type="dxa"/>
            <w:vAlign w:val="bottom"/>
            <w:tcBorders>
              <w:bottom w:val="single" w:sz="8" w:color="55565A"/>
              <w:right w:val="single" w:sz="8" w:color="55565A"/>
            </w:tcBorders>
          </w:tcPr>
          <w:p>
            <w:pPr>
              <w:ind w:left="200"/>
              <w:spacing w:after="0" w:line="154" w:lineRule="exact"/>
              <w:rPr>
                <w:sz w:val="20"/>
                <w:szCs w:val="20"/>
                <w:color w:val="auto"/>
              </w:rPr>
            </w:pPr>
            <w:r>
              <w:rPr>
                <w:rFonts w:ascii="Arial" w:cs="Arial" w:eastAsia="Arial" w:hAnsi="Arial"/>
                <w:sz w:val="14"/>
                <w:szCs w:val="14"/>
                <w:color w:val="55565A"/>
              </w:rPr>
              <w:t>U.S. dollars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2</w:t>
      </w:r>
    </w:p>
    <w:p>
      <w:pPr>
        <w:sectPr>
          <w:pgSz w:w="11900" w:h="16838" w:orient="portrait"/>
          <w:cols w:equalWidth="0" w:num="1">
            <w:col w:w="11100"/>
          </w:cols>
          <w:pgMar w:left="320" w:top="454"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Executive Summary</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5565A"/>
        </w:rPr>
        <w:t>Our company</w:t>
      </w:r>
    </w:p>
    <w:p>
      <w:pPr>
        <w:spacing w:after="0" w:line="105" w:lineRule="exact"/>
        <w:rPr>
          <w:sz w:val="20"/>
          <w:szCs w:val="20"/>
          <w:color w:val="auto"/>
        </w:rPr>
      </w:pPr>
    </w:p>
    <w:p>
      <w:pPr>
        <w:ind w:left="160" w:right="120"/>
        <w:spacing w:after="0" w:line="253" w:lineRule="auto"/>
        <w:rPr>
          <w:sz w:val="20"/>
          <w:szCs w:val="20"/>
          <w:color w:val="auto"/>
        </w:rPr>
      </w:pPr>
      <w:r>
        <w:rPr>
          <w:rFonts w:ascii="Arial" w:cs="Arial" w:eastAsia="Arial" w:hAnsi="Arial"/>
          <w:sz w:val="16"/>
          <w:szCs w:val="16"/>
          <w:color w:val="55565A"/>
        </w:rPr>
        <w:t>Thomson Reuters (NYSE / TSX: TRI) informs the way forward by bringing together the trusted content and technology that people and organizations need to make the right decisions. We serve professionals across legal, tax, accounting, compliance, government, and media. Our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For more information, visit tr.com.</w:t>
      </w:r>
    </w:p>
    <w:p>
      <w:pPr>
        <w:spacing w:after="0" w:line="73"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55565A"/>
        </w:rPr>
        <w:t>We derive most of our revenues from selling information and software solutions, primarily on a recurring subscription basis. Our solutions blend deep domain knowledge with software and automation tools. We believe our workflow solutions make our customers more productive, by streamlining how they operate, enabling them to focus on higher value activities. Many of our customers use our solutions as part of their workflows, which has led to strong customer retention. We believe that our customers trust us because of our history and dependability and our deep understanding of their businesses and industries, and they rely on our services for navigating a rapidly changing and increasingly complex digital world. Over the years, our business model has proven to be capital efficient and cash flow generative, and it has enabled us to maintain leading and scalable positions in our chosen market segments.</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We are organized as five reportable segments reflecting how we manage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180975</wp:posOffset>
            </wp:positionV>
            <wp:extent cx="21399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9950" cy="8255"/>
                    </a:xfrm>
                    <a:prstGeom prst="rect">
                      <a:avLst/>
                    </a:prstGeom>
                    <a:noFill/>
                  </pic:spPr>
                </pic:pic>
              </a:graphicData>
            </a:graphic>
          </wp:anchor>
        </w:drawing>
      </w:r>
    </w:p>
    <w:p>
      <w:pPr>
        <w:spacing w:after="0" w:line="376"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55565A"/>
        </w:rPr>
        <w:t>First Quarter 2024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107315</wp:posOffset>
            </wp:positionV>
            <wp:extent cx="2139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9950" cy="8255"/>
                    </a:xfrm>
                    <a:prstGeom prst="rect">
                      <a:avLst/>
                    </a:prstGeom>
                    <a:noFill/>
                  </pic:spPr>
                </pic:pic>
              </a:graphicData>
            </a:graphic>
          </wp:anchor>
        </w:drawing>
      </w:r>
    </w:p>
    <w:p>
      <w:pPr>
        <w:spacing w:after="0" w:line="162"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55565A"/>
        </w:rPr>
        <w:t>Legal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390525" cy="407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0525" cy="407670"/>
                    </a:xfrm>
                    <a:prstGeom prst="rect">
                      <a:avLst/>
                    </a:prstGeom>
                    <a:noFill/>
                  </pic:spPr>
                </pic:pic>
              </a:graphicData>
            </a:graphic>
          </wp:anchor>
        </w:drawing>
      </w:r>
    </w:p>
    <w:p>
      <w:pPr>
        <w:ind w:left="1720" w:right="3500"/>
        <w:spacing w:after="0" w:line="234" w:lineRule="auto"/>
        <w:rPr>
          <w:sz w:val="20"/>
          <w:szCs w:val="20"/>
          <w:color w:val="auto"/>
        </w:rPr>
      </w:pPr>
      <w:r>
        <w:rPr>
          <w:rFonts w:ascii="Arial" w:cs="Arial" w:eastAsia="Arial" w:hAnsi="Arial"/>
          <w:sz w:val="15"/>
          <w:szCs w:val="15"/>
          <w:color w:val="55565A"/>
        </w:rPr>
        <w:t>Serves law firms and governments with research and workflow products, focusing on intuitive legal research powered by emerging technologies, including generative AI, and integrated legal workflow solutions that combine content, tools and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-309245</wp:posOffset>
            </wp:positionV>
            <wp:extent cx="1605280" cy="2029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05280" cy="202946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55565A"/>
        </w:rPr>
        <w:t>Corporates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441325" cy="441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1325" cy="441325"/>
                    </a:xfrm>
                    <a:prstGeom prst="rect">
                      <a:avLst/>
                    </a:prstGeom>
                    <a:noFill/>
                  </pic:spPr>
                </pic:pic>
              </a:graphicData>
            </a:graphic>
          </wp:anchor>
        </w:drawing>
      </w:r>
    </w:p>
    <w:p>
      <w:pPr>
        <w:ind w:left="1720" w:right="3540"/>
        <w:spacing w:after="0" w:line="231" w:lineRule="auto"/>
        <w:rPr>
          <w:sz w:val="20"/>
          <w:szCs w:val="20"/>
          <w:color w:val="auto"/>
        </w:rPr>
      </w:pPr>
      <w:r>
        <w:rPr>
          <w:rFonts w:ascii="Arial" w:cs="Arial" w:eastAsia="Arial" w:hAnsi="Arial"/>
          <w:sz w:val="15"/>
          <w:szCs w:val="15"/>
          <w:color w:val="55565A"/>
        </w:rPr>
        <w:t>Serves corporate customers from small businesses to multinational organizations, including the seven largest global accounting firms, with our full suite of content-driven technologies, including generative AI, providing integrated workflow solutions designed to help our customers digitally transform and achieve their business outcomes.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55565A"/>
        </w:rPr>
        <w:t>Tax &amp; Accounting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475615" cy="373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5615" cy="373380"/>
                    </a:xfrm>
                    <a:prstGeom prst="rect">
                      <a:avLst/>
                    </a:prstGeom>
                    <a:noFill/>
                  </pic:spPr>
                </pic:pic>
              </a:graphicData>
            </a:graphic>
          </wp:anchor>
        </w:drawing>
      </w:r>
    </w:p>
    <w:p>
      <w:pPr>
        <w:ind w:left="1720" w:right="3780"/>
        <w:spacing w:after="0" w:line="234" w:lineRule="auto"/>
        <w:rPr>
          <w:sz w:val="20"/>
          <w:szCs w:val="20"/>
          <w:color w:val="auto"/>
        </w:rPr>
      </w:pPr>
      <w:r>
        <w:rPr>
          <w:rFonts w:ascii="Arial" w:cs="Arial" w:eastAsia="Arial" w:hAnsi="Arial"/>
          <w:sz w:val="15"/>
          <w:szCs w:val="15"/>
          <w:color w:val="55565A"/>
        </w:rPr>
        <w:t>Serves tax, accounting and audit professionals in accounting firms (other than the seven largest, which are served by our Corporates segment) with research and workflow products, focusing on intuitive tax offerings and automating tax workflows.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200025</wp:posOffset>
            </wp:positionV>
            <wp:extent cx="1485900" cy="17665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85900" cy="176657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55565A"/>
        </w:rPr>
        <w:t>Reuters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526415" cy="424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6415" cy="424815"/>
                    </a:xfrm>
                    <a:prstGeom prst="rect">
                      <a:avLst/>
                    </a:prstGeom>
                    <a:noFill/>
                  </pic:spPr>
                </pic:pic>
              </a:graphicData>
            </a:graphic>
          </wp:anchor>
        </w:drawing>
      </w:r>
    </w:p>
    <w:p>
      <w:pPr>
        <w:jc w:val="both"/>
        <w:ind w:left="1720" w:right="3920"/>
        <w:spacing w:after="0" w:line="231" w:lineRule="auto"/>
        <w:rPr>
          <w:sz w:val="20"/>
          <w:szCs w:val="20"/>
          <w:color w:val="auto"/>
        </w:rPr>
      </w:pPr>
      <w:r>
        <w:rPr>
          <w:rFonts w:ascii="Arial" w:cs="Arial" w:eastAsia="Arial" w:hAnsi="Arial"/>
          <w:sz w:val="15"/>
          <w:szCs w:val="15"/>
          <w:color w:val="55565A"/>
        </w:rPr>
        <w:t>Supplies business, financial and global news to the world’s media organizations, professionals and news consumers through Reuters News Agency, Reuters.com, Reuters Events, Thomson Reuters products and to financial market professionals exclusively via LSEG products.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55565A"/>
        </w:rPr>
        <w:t>Global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475615" cy="356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5615" cy="356870"/>
                    </a:xfrm>
                    <a:prstGeom prst="rect">
                      <a:avLst/>
                    </a:prstGeom>
                    <a:noFill/>
                  </pic:spPr>
                </pic:pic>
              </a:graphicData>
            </a:graphic>
          </wp:anchor>
        </w:drawing>
      </w:r>
    </w:p>
    <w:p>
      <w:pPr>
        <w:ind w:left="1720" w:right="3500"/>
        <w:spacing w:after="0" w:line="258" w:lineRule="auto"/>
        <w:rPr>
          <w:sz w:val="20"/>
          <w:szCs w:val="20"/>
          <w:color w:val="auto"/>
        </w:rPr>
      </w:pPr>
      <w:r>
        <w:rPr>
          <w:rFonts w:ascii="Arial" w:cs="Arial" w:eastAsia="Arial" w:hAnsi="Arial"/>
          <w:sz w:val="16"/>
          <w:szCs w:val="16"/>
          <w:color w:val="55565A"/>
        </w:rPr>
        <w:t>Provides legal and tax information primarily in print format to customers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375920</wp:posOffset>
            </wp:positionV>
            <wp:extent cx="6929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3</w:t>
      </w:r>
    </w:p>
    <w:p>
      <w:pPr>
        <w:sectPr>
          <w:pgSz w:w="11900" w:h="16838" w:orient="portrait"/>
          <w:cols w:equalWidth="0" w:num="1">
            <w:col w:w="11080"/>
          </w:cols>
          <w:pgMar w:left="320" w:top="454"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We refer to our Legal Professionals, Corporates and Tax &amp; Accounting Professionals segments, on a combined basis, as our “Big 3” segments.</w:t>
      </w:r>
    </w:p>
    <w:p>
      <w:pPr>
        <w:spacing w:after="0" w:line="110"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55565A"/>
        </w:rPr>
        <w:t>Our businesses are supported by a corporate center that manages our commercial and technology operations, including those around our sales capabilities, digital customer experience, and product and content development, as well as our global facilities. Costs relating to these activities are allocated to our business segments. We also report “Corporate costs”, which includes expenses for centrally managed functions such as finance, legal and human resources.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Key Financial Highlights</w:t>
      </w:r>
    </w:p>
    <w:p>
      <w:pPr>
        <w:spacing w:after="0" w:line="121" w:lineRule="exact"/>
        <w:rPr>
          <w:sz w:val="20"/>
          <w:szCs w:val="20"/>
          <w:color w:val="auto"/>
        </w:rPr>
      </w:pPr>
    </w:p>
    <w:p>
      <w:pPr>
        <w:ind w:left="160" w:right="100"/>
        <w:spacing w:after="0" w:line="251" w:lineRule="auto"/>
        <w:rPr>
          <w:sz w:val="20"/>
          <w:szCs w:val="20"/>
          <w:color w:val="auto"/>
        </w:rPr>
      </w:pPr>
      <w:r>
        <w:rPr>
          <w:rFonts w:ascii="Arial" w:cs="Arial" w:eastAsia="Arial" w:hAnsi="Arial"/>
          <w:sz w:val="16"/>
          <w:szCs w:val="16"/>
          <w:color w:val="55565A"/>
        </w:rPr>
        <w:t>We experienced a strong start to 2024, as organic revenue growth and adjusted EBITDA margin exceeded our expectations. Our total revenues increased 8%, compared to the first quarter of 2023. On an organic basis, our revenues increased 9% reflecting strong growth in both recurring and transactions revenues in our “Big 3” segments, which grew 10% organically, and from generative AI related content licensing revenue in our Reuters News segment. The rising complexity of regulatory compliance and generative AI continue to be the two most important market dynamics providing the basis for growth in our business. Our operating profit and adjusted EBITDA increased 10% and 19%, respectively, reflecting higher revenues. Our adjusted EBITDA margin increased to 42.7% from 38.8% in the prior-year period.</w:t>
      </w:r>
    </w:p>
    <w:p>
      <w:pPr>
        <w:spacing w:after="0" w:line="76" w:lineRule="exact"/>
        <w:rPr>
          <w:sz w:val="20"/>
          <w:szCs w:val="20"/>
          <w:color w:val="auto"/>
        </w:rPr>
      </w:pPr>
    </w:p>
    <w:p>
      <w:pPr>
        <w:ind w:left="160" w:right="100"/>
        <w:spacing w:after="0" w:line="262" w:lineRule="auto"/>
        <w:rPr>
          <w:sz w:val="20"/>
          <w:szCs w:val="20"/>
          <w:color w:val="auto"/>
        </w:rPr>
      </w:pPr>
      <w:r>
        <w:rPr>
          <w:rFonts w:ascii="Arial" w:cs="Arial" w:eastAsia="Arial" w:hAnsi="Arial"/>
          <w:sz w:val="16"/>
          <w:szCs w:val="16"/>
          <w:color w:val="55565A"/>
        </w:rPr>
        <w:t>Due to our strong revenue performance in the first quarter, we moderately raised our full-year 2024 outlook for total and organic revenue growth for our total company and our “Big 3” segments. We maintained our guidance for all other metrics in our 2024 outlook. Refer to the “Outlook” section of this management’s discussion and analysis for further information.</w:t>
      </w:r>
    </w:p>
    <w:p>
      <w:pPr>
        <w:spacing w:after="0" w:line="66"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55565A"/>
        </w:rPr>
        <w:t>We acquired 99.58% of Pagero Group AB (publ) (Pagero), a publicly traded Swedish company and a global leader in e-invoicing and indirect tax solutions, which it delivers through its Smart Business Network, for $767 million. Pagero links customers, suppliers, and institutions, allowing for the automated, compliant, and secure exchange of digital orders, invoices, and other business documents. We also completed our acquisition of World Business Media Limited, a cross-platform, subscription-based provider of editorial coverage for the global P&amp;C and specialty (re)insurance industry. This acquisition is in line with Reuters’ strategic priority to provide must-have news and insight for new customer markets and professional verticals.</w:t>
      </w:r>
    </w:p>
    <w:p>
      <w:pPr>
        <w:spacing w:after="0" w:line="73"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55565A"/>
        </w:rPr>
        <w:t>Our capital capacity and liquidity remain a key asset. In the first quarter of 2024, we received gross proceeds of $1.2 billion from the sale of 10.1 million LSEG shares, and returned over $350 million to shareholders through our current share repurchase program. See the “Investment in LSEG” and “Liquidity and Capital Resources” sections of this management’s discussion and analysis for additional information.</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Results of Operations</w:t>
      </w:r>
    </w:p>
    <w:p>
      <w:pPr>
        <w:spacing w:after="0" w:line="123" w:lineRule="exact"/>
        <w:rPr>
          <w:sz w:val="20"/>
          <w:szCs w:val="20"/>
          <w:color w:val="auto"/>
        </w:rPr>
      </w:pPr>
    </w:p>
    <w:p>
      <w:pPr>
        <w:ind w:left="160" w:right="140"/>
        <w:spacing w:after="0" w:line="255" w:lineRule="auto"/>
        <w:rPr>
          <w:sz w:val="20"/>
          <w:szCs w:val="20"/>
          <w:color w:val="auto"/>
        </w:rPr>
      </w:pPr>
      <w:r>
        <w:rPr>
          <w:rFonts w:ascii="Arial" w:cs="Arial" w:eastAsia="Arial" w:hAnsi="Arial"/>
          <w:sz w:val="16"/>
          <w:szCs w:val="16"/>
          <w:i w:val="1"/>
          <w:iCs w:val="1"/>
          <w:color w:val="55565A"/>
        </w:rPr>
        <w:t>Our revenues and operating profit on a consolidated basis do not tend to be significantly impacted by seasonality as we record a large portion of our revenues ratably over the contract term and our costs are generally incurred evenly throughout the year. However, our revenues from quarter to consecutive quarter can be impacted by seasonality, particularly in our Tax &amp; Accounting business, where revenues tend to be concentrated in the first and fourth quarters.</w:t>
      </w:r>
    </w:p>
    <w:p>
      <w:pPr>
        <w:spacing w:after="0" w:line="72" w:lineRule="exact"/>
        <w:rPr>
          <w:sz w:val="20"/>
          <w:szCs w:val="20"/>
          <w:color w:val="auto"/>
        </w:rPr>
      </w:pPr>
    </w:p>
    <w:p>
      <w:pPr>
        <w:ind w:left="160" w:right="520"/>
        <w:spacing w:after="0" w:line="279" w:lineRule="auto"/>
        <w:rPr>
          <w:sz w:val="20"/>
          <w:szCs w:val="20"/>
          <w:color w:val="auto"/>
        </w:rPr>
      </w:pPr>
      <w:r>
        <w:rPr>
          <w:rFonts w:ascii="Arial" w:cs="Arial" w:eastAsia="Arial" w:hAnsi="Arial"/>
          <w:sz w:val="16"/>
          <w:szCs w:val="16"/>
          <w:color w:val="55565A"/>
        </w:rPr>
        <w:t>The section below contains non-IFRS measures where indicated. Refer to Appendices A and B of this management’s discussion and analysis for additional information and reconciliations of our non-IFRS financial measures to the most directly comparable IFRS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4</w:t>
      </w:r>
    </w:p>
    <w:p>
      <w:pPr>
        <w:sectPr>
          <w:pgSz w:w="11900" w:h="16838" w:orient="portrait"/>
          <w:cols w:equalWidth="0" w:num="1">
            <w:col w:w="10960"/>
          </w:cols>
          <w:pgMar w:left="320" w:top="454" w:right="6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5565A"/>
        </w:rPr>
        <w:t>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4600" w:type="dxa"/>
            <w:vAlign w:val="bottom"/>
            <w:gridSpan w:val="4"/>
          </w:tcPr>
          <w:p>
            <w:pPr>
              <w:jc w:val="right"/>
              <w:ind w:right="269"/>
              <w:spacing w:after="0"/>
              <w:rPr>
                <w:sz w:val="20"/>
                <w:szCs w:val="20"/>
                <w:color w:val="auto"/>
              </w:rPr>
            </w:pPr>
            <w:r>
              <w:rPr>
                <w:rFonts w:ascii="Arial" w:cs="Arial" w:eastAsia="Arial" w:hAnsi="Arial"/>
                <w:sz w:val="14"/>
                <w:szCs w:val="14"/>
                <w:b w:val="1"/>
                <w:bCs w:val="1"/>
                <w:color w:val="55565A"/>
              </w:rPr>
              <w:t>Three months ended March 31,</w:t>
            </w:r>
          </w:p>
        </w:tc>
      </w:tr>
      <w:tr>
        <w:trPr>
          <w:trHeight w:val="248"/>
        </w:trPr>
        <w:tc>
          <w:tcPr>
            <w:tcW w:w="6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gridSpan w:val="2"/>
          </w:tcPr>
          <w:p>
            <w:pPr>
              <w:jc w:val="right"/>
              <w:ind w:right="409"/>
              <w:spacing w:after="0"/>
              <w:rPr>
                <w:sz w:val="20"/>
                <w:szCs w:val="20"/>
                <w:color w:val="auto"/>
              </w:rPr>
            </w:pPr>
            <w:r>
              <w:rPr>
                <w:rFonts w:ascii="Arial" w:cs="Arial" w:eastAsia="Arial" w:hAnsi="Arial"/>
                <w:sz w:val="14"/>
                <w:szCs w:val="14"/>
                <w:color w:val="55565A"/>
              </w:rPr>
              <w:t>Change</w:t>
            </w:r>
          </w:p>
        </w:tc>
      </w:tr>
      <w:tr>
        <w:trPr>
          <w:trHeight w:val="239"/>
        </w:trPr>
        <w:tc>
          <w:tcPr>
            <w:tcW w:w="6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55565A"/>
              </w:rPr>
              <w:t>Constant</w:t>
            </w:r>
          </w:p>
        </w:tc>
      </w:tr>
      <w:tr>
        <w:trPr>
          <w:trHeight w:val="195"/>
        </w:trPr>
        <w:tc>
          <w:tcPr>
            <w:tcW w:w="6320" w:type="dxa"/>
            <w:vAlign w:val="bottom"/>
          </w:tcPr>
          <w:p>
            <w:pPr>
              <w:spacing w:after="0"/>
              <w:rPr>
                <w:sz w:val="20"/>
                <w:szCs w:val="20"/>
                <w:color w:val="auto"/>
              </w:rPr>
            </w:pPr>
            <w:r>
              <w:rPr>
                <w:rFonts w:ascii="Arial" w:cs="Arial" w:eastAsia="Arial" w:hAnsi="Arial"/>
                <w:sz w:val="14"/>
                <w:szCs w:val="14"/>
                <w:b w:val="1"/>
                <w:bCs w:val="1"/>
                <w:color w:val="55565A"/>
              </w:rPr>
              <w:t>(millions of U.S. dollars, except per share amounts and margins)</w:t>
            </w:r>
          </w:p>
        </w:tc>
        <w:tc>
          <w:tcPr>
            <w:tcW w:w="2500" w:type="dxa"/>
            <w:vAlign w:val="bottom"/>
          </w:tcPr>
          <w:p>
            <w:pPr>
              <w:jc w:val="right"/>
              <w:ind w:right="69"/>
              <w:spacing w:after="0"/>
              <w:rPr>
                <w:sz w:val="20"/>
                <w:szCs w:val="20"/>
                <w:color w:val="auto"/>
              </w:rPr>
            </w:pPr>
            <w:r>
              <w:rPr>
                <w:rFonts w:ascii="Arial" w:cs="Arial" w:eastAsia="Arial" w:hAnsi="Arial"/>
                <w:sz w:val="14"/>
                <w:szCs w:val="14"/>
                <w:b w:val="1"/>
                <w:bCs w:val="1"/>
                <w:color w:val="55565A"/>
              </w:rPr>
              <w:t>2024</w:t>
            </w:r>
          </w:p>
        </w:tc>
        <w:tc>
          <w:tcPr>
            <w:tcW w:w="740" w:type="dxa"/>
            <w:vAlign w:val="bottom"/>
          </w:tcPr>
          <w:p>
            <w:pPr>
              <w:jc w:val="right"/>
              <w:ind w:right="129"/>
              <w:spacing w:after="0"/>
              <w:rPr>
                <w:sz w:val="20"/>
                <w:szCs w:val="20"/>
                <w:color w:val="auto"/>
              </w:rPr>
            </w:pPr>
            <w:r>
              <w:rPr>
                <w:rFonts w:ascii="Arial" w:cs="Arial" w:eastAsia="Arial" w:hAnsi="Arial"/>
                <w:sz w:val="14"/>
                <w:szCs w:val="14"/>
                <w:color w:val="55565A"/>
              </w:rPr>
              <w:t>2023</w:t>
            </w:r>
          </w:p>
        </w:tc>
        <w:tc>
          <w:tcPr>
            <w:tcW w:w="560" w:type="dxa"/>
            <w:vAlign w:val="bottom"/>
          </w:tcPr>
          <w:p>
            <w:pPr>
              <w:jc w:val="right"/>
              <w:ind w:right="29"/>
              <w:spacing w:after="0"/>
              <w:rPr>
                <w:sz w:val="20"/>
                <w:szCs w:val="20"/>
                <w:color w:val="auto"/>
              </w:rPr>
            </w:pPr>
            <w:r>
              <w:rPr>
                <w:rFonts w:ascii="Arial" w:cs="Arial" w:eastAsia="Arial" w:hAnsi="Arial"/>
                <w:sz w:val="14"/>
                <w:szCs w:val="14"/>
                <w:color w:val="55565A"/>
              </w:rPr>
              <w:t>Total</w:t>
            </w:r>
          </w:p>
        </w:tc>
        <w:tc>
          <w:tcPr>
            <w:tcW w:w="800" w:type="dxa"/>
            <w:vAlign w:val="bottom"/>
          </w:tcPr>
          <w:p>
            <w:pPr>
              <w:jc w:val="right"/>
              <w:ind w:right="49"/>
              <w:spacing w:after="0"/>
              <w:rPr>
                <w:sz w:val="20"/>
                <w:szCs w:val="20"/>
                <w:color w:val="auto"/>
              </w:rPr>
            </w:pPr>
            <w:r>
              <w:rPr>
                <w:rFonts w:ascii="Arial" w:cs="Arial" w:eastAsia="Arial" w:hAnsi="Arial"/>
                <w:sz w:val="14"/>
                <w:szCs w:val="14"/>
                <w:color w:val="55565A"/>
              </w:rPr>
              <w:t>Currency</w:t>
            </w:r>
          </w:p>
        </w:tc>
      </w:tr>
      <w:tr>
        <w:trPr>
          <w:trHeight w:val="28"/>
        </w:trPr>
        <w:tc>
          <w:tcPr>
            <w:tcW w:w="6320" w:type="dxa"/>
            <w:vAlign w:val="bottom"/>
            <w:tcBorders>
              <w:bottom w:val="single" w:sz="8" w:color="88888B"/>
            </w:tcBorders>
          </w:tcPr>
          <w:p>
            <w:pPr>
              <w:spacing w:after="0"/>
              <w:rPr>
                <w:sz w:val="2"/>
                <w:szCs w:val="2"/>
                <w:color w:val="auto"/>
              </w:rPr>
            </w:pPr>
          </w:p>
        </w:tc>
        <w:tc>
          <w:tcPr>
            <w:tcW w:w="2500" w:type="dxa"/>
            <w:vAlign w:val="bottom"/>
            <w:tcBorders>
              <w:bottom w:val="single" w:sz="8" w:color="88888B"/>
            </w:tcBorders>
          </w:tcPr>
          <w:p>
            <w:pPr>
              <w:spacing w:after="0"/>
              <w:rPr>
                <w:sz w:val="2"/>
                <w:szCs w:val="2"/>
                <w:color w:val="auto"/>
              </w:rPr>
            </w:pPr>
          </w:p>
        </w:tc>
        <w:tc>
          <w:tcPr>
            <w:tcW w:w="740" w:type="dxa"/>
            <w:vAlign w:val="bottom"/>
            <w:tcBorders>
              <w:bottom w:val="single" w:sz="8" w:color="88888B"/>
            </w:tcBorders>
          </w:tcPr>
          <w:p>
            <w:pPr>
              <w:spacing w:after="0"/>
              <w:rPr>
                <w:sz w:val="2"/>
                <w:szCs w:val="2"/>
                <w:color w:val="auto"/>
              </w:rPr>
            </w:pPr>
          </w:p>
        </w:tc>
        <w:tc>
          <w:tcPr>
            <w:tcW w:w="560" w:type="dxa"/>
            <w:vAlign w:val="bottom"/>
            <w:tcBorders>
              <w:bottom w:val="single" w:sz="8" w:color="88888B"/>
            </w:tcBorders>
          </w:tcPr>
          <w:p>
            <w:pPr>
              <w:spacing w:after="0"/>
              <w:rPr>
                <w:sz w:val="2"/>
                <w:szCs w:val="2"/>
                <w:color w:val="auto"/>
              </w:rPr>
            </w:pPr>
          </w:p>
        </w:tc>
        <w:tc>
          <w:tcPr>
            <w:tcW w:w="800" w:type="dxa"/>
            <w:vAlign w:val="bottom"/>
            <w:tcBorders>
              <w:bottom w:val="single" w:sz="8" w:color="88888B"/>
            </w:tcBorders>
          </w:tcPr>
          <w:p>
            <w:pPr>
              <w:spacing w:after="0"/>
              <w:rPr>
                <w:sz w:val="2"/>
                <w:szCs w:val="2"/>
                <w:color w:val="auto"/>
              </w:rPr>
            </w:pPr>
          </w:p>
        </w:tc>
      </w:tr>
      <w:tr>
        <w:trPr>
          <w:trHeight w:val="154"/>
        </w:trPr>
        <w:tc>
          <w:tcPr>
            <w:tcW w:w="6320" w:type="dxa"/>
            <w:vAlign w:val="bottom"/>
            <w:shd w:val="clear" w:color="auto" w:fill="CCEEFF"/>
          </w:tcPr>
          <w:p>
            <w:pPr>
              <w:ind w:left="120"/>
              <w:spacing w:after="0" w:line="154" w:lineRule="exact"/>
              <w:rPr>
                <w:sz w:val="20"/>
                <w:szCs w:val="20"/>
                <w:color w:val="auto"/>
              </w:rPr>
            </w:pPr>
            <w:r>
              <w:rPr>
                <w:rFonts w:ascii="Arial" w:cs="Arial" w:eastAsia="Arial" w:hAnsi="Arial"/>
                <w:sz w:val="14"/>
                <w:szCs w:val="14"/>
                <w:b w:val="1"/>
                <w:bCs w:val="1"/>
                <w:color w:val="55565A"/>
              </w:rPr>
              <w:t>IFRS Financial Measures</w:t>
            </w:r>
          </w:p>
        </w:tc>
        <w:tc>
          <w:tcPr>
            <w:tcW w:w="2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0"/>
        </w:trPr>
        <w:tc>
          <w:tcPr>
            <w:tcW w:w="6320" w:type="dxa"/>
            <w:vAlign w:val="bottom"/>
          </w:tcPr>
          <w:p>
            <w:pPr>
              <w:ind w:left="300"/>
              <w:spacing w:after="0"/>
              <w:rPr>
                <w:sz w:val="20"/>
                <w:szCs w:val="20"/>
                <w:color w:val="auto"/>
              </w:rPr>
            </w:pPr>
            <w:r>
              <w:rPr>
                <w:rFonts w:ascii="Arial" w:cs="Arial" w:eastAsia="Arial" w:hAnsi="Arial"/>
                <w:sz w:val="14"/>
                <w:szCs w:val="14"/>
                <w:color w:val="55565A"/>
              </w:rPr>
              <w:t>Revenues</w:t>
            </w:r>
          </w:p>
        </w:tc>
        <w:tc>
          <w:tcPr>
            <w:tcW w:w="2500" w:type="dxa"/>
            <w:vAlign w:val="bottom"/>
          </w:tcPr>
          <w:p>
            <w:pPr>
              <w:jc w:val="right"/>
              <w:ind w:right="69"/>
              <w:spacing w:after="0"/>
              <w:rPr>
                <w:sz w:val="20"/>
                <w:szCs w:val="20"/>
                <w:color w:val="auto"/>
              </w:rPr>
            </w:pPr>
            <w:r>
              <w:rPr>
                <w:rFonts w:ascii="Arial" w:cs="Arial" w:eastAsia="Arial" w:hAnsi="Arial"/>
                <w:sz w:val="14"/>
                <w:szCs w:val="14"/>
                <w:b w:val="1"/>
                <w:bCs w:val="1"/>
                <w:color w:val="55565A"/>
              </w:rPr>
              <w:t>1,885</w:t>
            </w:r>
          </w:p>
        </w:tc>
        <w:tc>
          <w:tcPr>
            <w:tcW w:w="740" w:type="dxa"/>
            <w:vAlign w:val="bottom"/>
          </w:tcPr>
          <w:p>
            <w:pPr>
              <w:jc w:val="right"/>
              <w:ind w:right="129"/>
              <w:spacing w:after="0"/>
              <w:rPr>
                <w:sz w:val="20"/>
                <w:szCs w:val="20"/>
                <w:color w:val="auto"/>
              </w:rPr>
            </w:pPr>
            <w:r>
              <w:rPr>
                <w:rFonts w:ascii="Arial" w:cs="Arial" w:eastAsia="Arial" w:hAnsi="Arial"/>
                <w:sz w:val="14"/>
                <w:szCs w:val="14"/>
                <w:color w:val="55565A"/>
              </w:rPr>
              <w:t>1,738</w:t>
            </w:r>
          </w:p>
        </w:tc>
        <w:tc>
          <w:tcPr>
            <w:tcW w:w="560" w:type="dxa"/>
            <w:vAlign w:val="bottom"/>
          </w:tcPr>
          <w:p>
            <w:pPr>
              <w:jc w:val="right"/>
              <w:ind w:right="29"/>
              <w:spacing w:after="0"/>
              <w:rPr>
                <w:sz w:val="20"/>
                <w:szCs w:val="20"/>
                <w:color w:val="auto"/>
              </w:rPr>
            </w:pPr>
            <w:r>
              <w:rPr>
                <w:rFonts w:ascii="Arial" w:cs="Arial" w:eastAsia="Arial" w:hAnsi="Arial"/>
                <w:sz w:val="14"/>
                <w:szCs w:val="14"/>
                <w:color w:val="55565A"/>
              </w:rPr>
              <w:t>8%</w:t>
            </w:r>
          </w:p>
        </w:tc>
        <w:tc>
          <w:tcPr>
            <w:tcW w:w="800" w:type="dxa"/>
            <w:vAlign w:val="bottom"/>
          </w:tcPr>
          <w:p>
            <w:pPr>
              <w:spacing w:after="0"/>
              <w:rPr>
                <w:sz w:val="13"/>
                <w:szCs w:val="13"/>
                <w:color w:val="auto"/>
              </w:rPr>
            </w:pPr>
          </w:p>
        </w:tc>
      </w:tr>
      <w:tr>
        <w:trPr>
          <w:trHeight w:val="160"/>
        </w:trPr>
        <w:tc>
          <w:tcPr>
            <w:tcW w:w="6320" w:type="dxa"/>
            <w:vAlign w:val="bottom"/>
            <w:shd w:val="clear" w:color="auto" w:fill="CCEEFF"/>
          </w:tcPr>
          <w:p>
            <w:pPr>
              <w:ind w:left="300"/>
              <w:spacing w:after="0"/>
              <w:rPr>
                <w:sz w:val="20"/>
                <w:szCs w:val="20"/>
                <w:color w:val="auto"/>
              </w:rPr>
            </w:pPr>
            <w:r>
              <w:rPr>
                <w:rFonts w:ascii="Arial" w:cs="Arial" w:eastAsia="Arial" w:hAnsi="Arial"/>
                <w:sz w:val="14"/>
                <w:szCs w:val="14"/>
                <w:color w:val="55565A"/>
              </w:rPr>
              <w:t>Operating profit</w:t>
            </w:r>
          </w:p>
        </w:tc>
        <w:tc>
          <w:tcPr>
            <w:tcW w:w="25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5565A"/>
              </w:rPr>
              <w:t>557</w:t>
            </w:r>
          </w:p>
        </w:tc>
        <w:tc>
          <w:tcPr>
            <w:tcW w:w="7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508</w:t>
            </w: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5565A"/>
              </w:rPr>
              <w:t>10%</w:t>
            </w:r>
          </w:p>
        </w:tc>
        <w:tc>
          <w:tcPr>
            <w:tcW w:w="800" w:type="dxa"/>
            <w:vAlign w:val="bottom"/>
            <w:shd w:val="clear" w:color="auto" w:fill="CCEEFF"/>
          </w:tcPr>
          <w:p>
            <w:pPr>
              <w:spacing w:after="0"/>
              <w:rPr>
                <w:sz w:val="13"/>
                <w:szCs w:val="13"/>
                <w:color w:val="auto"/>
              </w:rPr>
            </w:pPr>
          </w:p>
        </w:tc>
      </w:tr>
      <w:tr>
        <w:trPr>
          <w:trHeight w:val="160"/>
        </w:trPr>
        <w:tc>
          <w:tcPr>
            <w:tcW w:w="6320" w:type="dxa"/>
            <w:vAlign w:val="bottom"/>
            <w:tcBorders>
              <w:bottom w:val="single" w:sz="8" w:color="88888B"/>
            </w:tcBorders>
          </w:tcPr>
          <w:p>
            <w:pPr>
              <w:ind w:left="300"/>
              <w:spacing w:after="0"/>
              <w:rPr>
                <w:sz w:val="20"/>
                <w:szCs w:val="20"/>
                <w:color w:val="auto"/>
              </w:rPr>
            </w:pPr>
            <w:r>
              <w:rPr>
                <w:rFonts w:ascii="Arial" w:cs="Arial" w:eastAsia="Arial" w:hAnsi="Arial"/>
                <w:sz w:val="14"/>
                <w:szCs w:val="14"/>
                <w:color w:val="55565A"/>
              </w:rPr>
              <w:t>Diluted EPS</w:t>
            </w:r>
          </w:p>
        </w:tc>
        <w:tc>
          <w:tcPr>
            <w:tcW w:w="2500" w:type="dxa"/>
            <w:vAlign w:val="bottom"/>
            <w:tcBorders>
              <w:bottom w:val="single" w:sz="8" w:color="88888B"/>
            </w:tcBorders>
          </w:tcPr>
          <w:p>
            <w:pPr>
              <w:jc w:val="right"/>
              <w:ind w:right="69"/>
              <w:spacing w:after="0"/>
              <w:rPr>
                <w:sz w:val="20"/>
                <w:szCs w:val="20"/>
                <w:color w:val="auto"/>
              </w:rPr>
            </w:pPr>
            <w:r>
              <w:rPr>
                <w:rFonts w:ascii="Arial" w:cs="Arial" w:eastAsia="Arial" w:hAnsi="Arial"/>
                <w:sz w:val="14"/>
                <w:szCs w:val="14"/>
                <w:b w:val="1"/>
                <w:bCs w:val="1"/>
                <w:color w:val="55565A"/>
              </w:rPr>
              <w:t>$1.06</w:t>
            </w:r>
          </w:p>
        </w:tc>
        <w:tc>
          <w:tcPr>
            <w:tcW w:w="740" w:type="dxa"/>
            <w:vAlign w:val="bottom"/>
            <w:tcBorders>
              <w:bottom w:val="single" w:sz="8" w:color="88888B"/>
            </w:tcBorders>
          </w:tcPr>
          <w:p>
            <w:pPr>
              <w:jc w:val="right"/>
              <w:ind w:right="129"/>
              <w:spacing w:after="0"/>
              <w:rPr>
                <w:sz w:val="20"/>
                <w:szCs w:val="20"/>
                <w:color w:val="auto"/>
              </w:rPr>
            </w:pPr>
            <w:r>
              <w:rPr>
                <w:rFonts w:ascii="Arial" w:cs="Arial" w:eastAsia="Arial" w:hAnsi="Arial"/>
                <w:sz w:val="14"/>
                <w:szCs w:val="14"/>
                <w:color w:val="55565A"/>
              </w:rPr>
              <w:t>$1.59</w:t>
            </w:r>
          </w:p>
        </w:tc>
        <w:tc>
          <w:tcPr>
            <w:tcW w:w="560" w:type="dxa"/>
            <w:vAlign w:val="bottom"/>
            <w:tcBorders>
              <w:bottom w:val="single" w:sz="8" w:color="88888B"/>
            </w:tcBorders>
          </w:tcPr>
          <w:p>
            <w:pPr>
              <w:jc w:val="right"/>
              <w:ind w:right="29"/>
              <w:spacing w:after="0"/>
              <w:rPr>
                <w:sz w:val="20"/>
                <w:szCs w:val="20"/>
                <w:color w:val="auto"/>
              </w:rPr>
            </w:pPr>
            <w:r>
              <w:rPr>
                <w:rFonts w:ascii="Arial" w:cs="Arial" w:eastAsia="Arial" w:hAnsi="Arial"/>
                <w:sz w:val="14"/>
                <w:szCs w:val="14"/>
                <w:color w:val="55565A"/>
              </w:rPr>
              <w:t>(33%)</w:t>
            </w:r>
          </w:p>
        </w:tc>
        <w:tc>
          <w:tcPr>
            <w:tcW w:w="800" w:type="dxa"/>
            <w:vAlign w:val="bottom"/>
            <w:tcBorders>
              <w:bottom w:val="single" w:sz="8" w:color="88888B"/>
            </w:tcBorders>
          </w:tcPr>
          <w:p>
            <w:pPr>
              <w:spacing w:after="0"/>
              <w:rPr>
                <w:sz w:val="13"/>
                <w:szCs w:val="13"/>
                <w:color w:val="auto"/>
              </w:rPr>
            </w:pPr>
          </w:p>
        </w:tc>
      </w:tr>
      <w:tr>
        <w:trPr>
          <w:trHeight w:val="154"/>
        </w:trPr>
        <w:tc>
          <w:tcPr>
            <w:tcW w:w="6320" w:type="dxa"/>
            <w:vAlign w:val="bottom"/>
            <w:shd w:val="clear" w:color="auto" w:fill="CCEEFF"/>
          </w:tcPr>
          <w:p>
            <w:pPr>
              <w:ind w:left="120"/>
              <w:spacing w:after="0" w:line="154" w:lineRule="exact"/>
              <w:rPr>
                <w:sz w:val="20"/>
                <w:szCs w:val="20"/>
                <w:color w:val="auto"/>
              </w:rPr>
            </w:pPr>
            <w:r>
              <w:rPr>
                <w:rFonts w:ascii="Arial" w:cs="Arial" w:eastAsia="Arial" w:hAnsi="Arial"/>
                <w:sz w:val="14"/>
                <w:szCs w:val="14"/>
                <w:b w:val="1"/>
                <w:bCs w:val="1"/>
                <w:color w:val="55565A"/>
              </w:rPr>
              <w:t>Non-IFRS Financial Measures</w:t>
            </w:r>
          </w:p>
        </w:tc>
        <w:tc>
          <w:tcPr>
            <w:tcW w:w="2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0"/>
        </w:trPr>
        <w:tc>
          <w:tcPr>
            <w:tcW w:w="6320" w:type="dxa"/>
            <w:vAlign w:val="bottom"/>
          </w:tcPr>
          <w:p>
            <w:pPr>
              <w:ind w:left="300"/>
              <w:spacing w:after="0"/>
              <w:rPr>
                <w:sz w:val="20"/>
                <w:szCs w:val="20"/>
                <w:color w:val="auto"/>
              </w:rPr>
            </w:pPr>
            <w:r>
              <w:rPr>
                <w:rFonts w:ascii="Arial" w:cs="Arial" w:eastAsia="Arial" w:hAnsi="Arial"/>
                <w:sz w:val="14"/>
                <w:szCs w:val="14"/>
                <w:color w:val="55565A"/>
              </w:rPr>
              <w:t>Revenues</w:t>
            </w:r>
          </w:p>
        </w:tc>
        <w:tc>
          <w:tcPr>
            <w:tcW w:w="2500" w:type="dxa"/>
            <w:vAlign w:val="bottom"/>
          </w:tcPr>
          <w:p>
            <w:pPr>
              <w:jc w:val="right"/>
              <w:ind w:right="69"/>
              <w:spacing w:after="0"/>
              <w:rPr>
                <w:sz w:val="20"/>
                <w:szCs w:val="20"/>
                <w:color w:val="auto"/>
              </w:rPr>
            </w:pPr>
            <w:r>
              <w:rPr>
                <w:rFonts w:ascii="Arial" w:cs="Arial" w:eastAsia="Arial" w:hAnsi="Arial"/>
                <w:sz w:val="14"/>
                <w:szCs w:val="14"/>
                <w:b w:val="1"/>
                <w:bCs w:val="1"/>
                <w:color w:val="55565A"/>
              </w:rPr>
              <w:t>1,885</w:t>
            </w:r>
          </w:p>
        </w:tc>
        <w:tc>
          <w:tcPr>
            <w:tcW w:w="740" w:type="dxa"/>
            <w:vAlign w:val="bottom"/>
          </w:tcPr>
          <w:p>
            <w:pPr>
              <w:jc w:val="right"/>
              <w:ind w:right="129"/>
              <w:spacing w:after="0"/>
              <w:rPr>
                <w:sz w:val="20"/>
                <w:szCs w:val="20"/>
                <w:color w:val="auto"/>
              </w:rPr>
            </w:pPr>
            <w:r>
              <w:rPr>
                <w:rFonts w:ascii="Arial" w:cs="Arial" w:eastAsia="Arial" w:hAnsi="Arial"/>
                <w:sz w:val="14"/>
                <w:szCs w:val="14"/>
                <w:color w:val="55565A"/>
              </w:rPr>
              <w:t>1,738</w:t>
            </w:r>
          </w:p>
        </w:tc>
        <w:tc>
          <w:tcPr>
            <w:tcW w:w="560" w:type="dxa"/>
            <w:vAlign w:val="bottom"/>
          </w:tcPr>
          <w:p>
            <w:pPr>
              <w:jc w:val="right"/>
              <w:ind w:right="29"/>
              <w:spacing w:after="0"/>
              <w:rPr>
                <w:sz w:val="20"/>
                <w:szCs w:val="20"/>
                <w:color w:val="auto"/>
              </w:rPr>
            </w:pPr>
            <w:r>
              <w:rPr>
                <w:rFonts w:ascii="Arial" w:cs="Arial" w:eastAsia="Arial" w:hAnsi="Arial"/>
                <w:sz w:val="14"/>
                <w:szCs w:val="14"/>
                <w:color w:val="55565A"/>
              </w:rPr>
              <w:t>8%</w:t>
            </w:r>
          </w:p>
        </w:tc>
        <w:tc>
          <w:tcPr>
            <w:tcW w:w="800" w:type="dxa"/>
            <w:vAlign w:val="bottom"/>
          </w:tcPr>
          <w:p>
            <w:pPr>
              <w:jc w:val="right"/>
              <w:ind w:right="29"/>
              <w:spacing w:after="0"/>
              <w:rPr>
                <w:sz w:val="20"/>
                <w:szCs w:val="20"/>
                <w:color w:val="auto"/>
              </w:rPr>
            </w:pPr>
            <w:r>
              <w:rPr>
                <w:rFonts w:ascii="Arial" w:cs="Arial" w:eastAsia="Arial" w:hAnsi="Arial"/>
                <w:sz w:val="14"/>
                <w:szCs w:val="14"/>
                <w:color w:val="55565A"/>
              </w:rPr>
              <w:t>8%</w:t>
            </w:r>
          </w:p>
        </w:tc>
      </w:tr>
      <w:tr>
        <w:trPr>
          <w:trHeight w:val="160"/>
        </w:trPr>
        <w:tc>
          <w:tcPr>
            <w:tcW w:w="6320" w:type="dxa"/>
            <w:vAlign w:val="bottom"/>
            <w:shd w:val="clear" w:color="auto" w:fill="CCEEFF"/>
          </w:tcPr>
          <w:p>
            <w:pPr>
              <w:ind w:left="480"/>
              <w:spacing w:after="0"/>
              <w:rPr>
                <w:sz w:val="20"/>
                <w:szCs w:val="20"/>
                <w:color w:val="auto"/>
              </w:rPr>
            </w:pPr>
            <w:r>
              <w:rPr>
                <w:rFonts w:ascii="Arial" w:cs="Arial" w:eastAsia="Arial" w:hAnsi="Arial"/>
                <w:sz w:val="14"/>
                <w:szCs w:val="14"/>
                <w:i w:val="1"/>
                <w:iCs w:val="1"/>
                <w:color w:val="55565A"/>
              </w:rPr>
              <w:t>Organic revenue growth</w:t>
            </w:r>
          </w:p>
        </w:tc>
        <w:tc>
          <w:tcPr>
            <w:tcW w:w="2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i w:val="1"/>
                <w:iCs w:val="1"/>
                <w:color w:val="55565A"/>
              </w:rPr>
              <w:t>9%</w:t>
            </w:r>
          </w:p>
        </w:tc>
      </w:tr>
      <w:tr>
        <w:trPr>
          <w:trHeight w:val="160"/>
        </w:trPr>
        <w:tc>
          <w:tcPr>
            <w:tcW w:w="6320" w:type="dxa"/>
            <w:vAlign w:val="bottom"/>
          </w:tcPr>
          <w:p>
            <w:pPr>
              <w:ind w:left="300"/>
              <w:spacing w:after="0"/>
              <w:rPr>
                <w:sz w:val="20"/>
                <w:szCs w:val="20"/>
                <w:color w:val="auto"/>
              </w:rPr>
            </w:pPr>
            <w:r>
              <w:rPr>
                <w:rFonts w:ascii="Arial" w:cs="Arial" w:eastAsia="Arial" w:hAnsi="Arial"/>
                <w:sz w:val="14"/>
                <w:szCs w:val="14"/>
                <w:color w:val="55565A"/>
              </w:rPr>
              <w:t>Adjusted EBITDA</w:t>
            </w:r>
          </w:p>
        </w:tc>
        <w:tc>
          <w:tcPr>
            <w:tcW w:w="2500" w:type="dxa"/>
            <w:vAlign w:val="bottom"/>
          </w:tcPr>
          <w:p>
            <w:pPr>
              <w:jc w:val="right"/>
              <w:ind w:right="69"/>
              <w:spacing w:after="0"/>
              <w:rPr>
                <w:sz w:val="20"/>
                <w:szCs w:val="20"/>
                <w:color w:val="auto"/>
              </w:rPr>
            </w:pPr>
            <w:r>
              <w:rPr>
                <w:rFonts w:ascii="Arial" w:cs="Arial" w:eastAsia="Arial" w:hAnsi="Arial"/>
                <w:sz w:val="14"/>
                <w:szCs w:val="14"/>
                <w:b w:val="1"/>
                <w:bCs w:val="1"/>
                <w:color w:val="55565A"/>
              </w:rPr>
              <w:t>806</w:t>
            </w:r>
          </w:p>
        </w:tc>
        <w:tc>
          <w:tcPr>
            <w:tcW w:w="740" w:type="dxa"/>
            <w:vAlign w:val="bottom"/>
          </w:tcPr>
          <w:p>
            <w:pPr>
              <w:jc w:val="right"/>
              <w:ind w:right="129"/>
              <w:spacing w:after="0"/>
              <w:rPr>
                <w:sz w:val="20"/>
                <w:szCs w:val="20"/>
                <w:color w:val="auto"/>
              </w:rPr>
            </w:pPr>
            <w:r>
              <w:rPr>
                <w:rFonts w:ascii="Arial" w:cs="Arial" w:eastAsia="Arial" w:hAnsi="Arial"/>
                <w:sz w:val="14"/>
                <w:szCs w:val="14"/>
                <w:color w:val="55565A"/>
              </w:rPr>
              <w:t>677</w:t>
            </w:r>
          </w:p>
        </w:tc>
        <w:tc>
          <w:tcPr>
            <w:tcW w:w="560" w:type="dxa"/>
            <w:vAlign w:val="bottom"/>
          </w:tcPr>
          <w:p>
            <w:pPr>
              <w:jc w:val="right"/>
              <w:ind w:right="29"/>
              <w:spacing w:after="0"/>
              <w:rPr>
                <w:sz w:val="20"/>
                <w:szCs w:val="20"/>
                <w:color w:val="auto"/>
              </w:rPr>
            </w:pPr>
            <w:r>
              <w:rPr>
                <w:rFonts w:ascii="Arial" w:cs="Arial" w:eastAsia="Arial" w:hAnsi="Arial"/>
                <w:sz w:val="14"/>
                <w:szCs w:val="14"/>
                <w:color w:val="55565A"/>
              </w:rPr>
              <w:t>19%</w:t>
            </w:r>
          </w:p>
        </w:tc>
        <w:tc>
          <w:tcPr>
            <w:tcW w:w="800" w:type="dxa"/>
            <w:vAlign w:val="bottom"/>
          </w:tcPr>
          <w:p>
            <w:pPr>
              <w:jc w:val="right"/>
              <w:ind w:right="29"/>
              <w:spacing w:after="0"/>
              <w:rPr>
                <w:sz w:val="20"/>
                <w:szCs w:val="20"/>
                <w:color w:val="auto"/>
              </w:rPr>
            </w:pPr>
            <w:r>
              <w:rPr>
                <w:rFonts w:ascii="Arial" w:cs="Arial" w:eastAsia="Arial" w:hAnsi="Arial"/>
                <w:sz w:val="14"/>
                <w:szCs w:val="14"/>
                <w:color w:val="55565A"/>
              </w:rPr>
              <w:t>19%</w:t>
            </w:r>
          </w:p>
        </w:tc>
      </w:tr>
      <w:tr>
        <w:trPr>
          <w:trHeight w:val="160"/>
        </w:trPr>
        <w:tc>
          <w:tcPr>
            <w:tcW w:w="6320" w:type="dxa"/>
            <w:vAlign w:val="bottom"/>
            <w:shd w:val="clear" w:color="auto" w:fill="CCEEFF"/>
          </w:tcPr>
          <w:p>
            <w:pPr>
              <w:ind w:left="300"/>
              <w:spacing w:after="0"/>
              <w:rPr>
                <w:sz w:val="20"/>
                <w:szCs w:val="20"/>
                <w:color w:val="auto"/>
              </w:rPr>
            </w:pPr>
            <w:r>
              <w:rPr>
                <w:rFonts w:ascii="Arial" w:cs="Arial" w:eastAsia="Arial" w:hAnsi="Arial"/>
                <w:sz w:val="14"/>
                <w:szCs w:val="14"/>
                <w:color w:val="55565A"/>
              </w:rPr>
              <w:t>Adjusted EBITDA margin</w:t>
            </w:r>
          </w:p>
        </w:tc>
        <w:tc>
          <w:tcPr>
            <w:tcW w:w="25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5565A"/>
              </w:rPr>
              <w:t>42.7%</w:t>
            </w:r>
          </w:p>
        </w:tc>
        <w:tc>
          <w:tcPr>
            <w:tcW w:w="7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38.8%</w:t>
            </w: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5565A"/>
              </w:rPr>
              <w:t>390bp</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5565A"/>
              </w:rPr>
              <w:t>390bp</w:t>
            </w:r>
          </w:p>
        </w:tc>
      </w:tr>
      <w:tr>
        <w:trPr>
          <w:trHeight w:val="160"/>
        </w:trPr>
        <w:tc>
          <w:tcPr>
            <w:tcW w:w="6320" w:type="dxa"/>
            <w:vAlign w:val="bottom"/>
          </w:tcPr>
          <w:p>
            <w:pPr>
              <w:ind w:left="300"/>
              <w:spacing w:after="0"/>
              <w:rPr>
                <w:sz w:val="20"/>
                <w:szCs w:val="20"/>
                <w:color w:val="auto"/>
              </w:rPr>
            </w:pPr>
            <w:r>
              <w:rPr>
                <w:rFonts w:ascii="Arial" w:cs="Arial" w:eastAsia="Arial" w:hAnsi="Arial"/>
                <w:sz w:val="14"/>
                <w:szCs w:val="14"/>
                <w:color w:val="55565A"/>
              </w:rPr>
              <w:t>Adjusted EBITDA less accrued capital expenditures</w:t>
            </w:r>
          </w:p>
        </w:tc>
        <w:tc>
          <w:tcPr>
            <w:tcW w:w="2500" w:type="dxa"/>
            <w:vAlign w:val="bottom"/>
          </w:tcPr>
          <w:p>
            <w:pPr>
              <w:jc w:val="right"/>
              <w:ind w:right="69"/>
              <w:spacing w:after="0"/>
              <w:rPr>
                <w:sz w:val="20"/>
                <w:szCs w:val="20"/>
                <w:color w:val="auto"/>
              </w:rPr>
            </w:pPr>
            <w:r>
              <w:rPr>
                <w:rFonts w:ascii="Arial" w:cs="Arial" w:eastAsia="Arial" w:hAnsi="Arial"/>
                <w:sz w:val="14"/>
                <w:szCs w:val="14"/>
                <w:b w:val="1"/>
                <w:bCs w:val="1"/>
                <w:color w:val="55565A"/>
              </w:rPr>
              <w:t>672</w:t>
            </w:r>
          </w:p>
        </w:tc>
        <w:tc>
          <w:tcPr>
            <w:tcW w:w="740" w:type="dxa"/>
            <w:vAlign w:val="bottom"/>
          </w:tcPr>
          <w:p>
            <w:pPr>
              <w:jc w:val="right"/>
              <w:ind w:right="129"/>
              <w:spacing w:after="0"/>
              <w:rPr>
                <w:sz w:val="20"/>
                <w:szCs w:val="20"/>
                <w:color w:val="auto"/>
              </w:rPr>
            </w:pPr>
            <w:r>
              <w:rPr>
                <w:rFonts w:ascii="Arial" w:cs="Arial" w:eastAsia="Arial" w:hAnsi="Arial"/>
                <w:sz w:val="14"/>
                <w:szCs w:val="14"/>
                <w:color w:val="55565A"/>
              </w:rPr>
              <w:t>556</w:t>
            </w:r>
          </w:p>
        </w:tc>
        <w:tc>
          <w:tcPr>
            <w:tcW w:w="560" w:type="dxa"/>
            <w:vAlign w:val="bottom"/>
          </w:tcPr>
          <w:p>
            <w:pPr>
              <w:jc w:val="right"/>
              <w:ind w:right="29"/>
              <w:spacing w:after="0"/>
              <w:rPr>
                <w:sz w:val="20"/>
                <w:szCs w:val="20"/>
                <w:color w:val="auto"/>
              </w:rPr>
            </w:pPr>
            <w:r>
              <w:rPr>
                <w:rFonts w:ascii="Arial" w:cs="Arial" w:eastAsia="Arial" w:hAnsi="Arial"/>
                <w:sz w:val="14"/>
                <w:szCs w:val="14"/>
                <w:color w:val="55565A"/>
              </w:rPr>
              <w:t>21%</w:t>
            </w:r>
          </w:p>
        </w:tc>
        <w:tc>
          <w:tcPr>
            <w:tcW w:w="800" w:type="dxa"/>
            <w:vAlign w:val="bottom"/>
          </w:tcPr>
          <w:p>
            <w:pPr>
              <w:spacing w:after="0"/>
              <w:rPr>
                <w:sz w:val="13"/>
                <w:szCs w:val="13"/>
                <w:color w:val="auto"/>
              </w:rPr>
            </w:pPr>
          </w:p>
        </w:tc>
      </w:tr>
      <w:tr>
        <w:trPr>
          <w:trHeight w:val="160"/>
        </w:trPr>
        <w:tc>
          <w:tcPr>
            <w:tcW w:w="6320" w:type="dxa"/>
            <w:vAlign w:val="bottom"/>
            <w:shd w:val="clear" w:color="auto" w:fill="CCEEFF"/>
          </w:tcPr>
          <w:p>
            <w:pPr>
              <w:ind w:left="300"/>
              <w:spacing w:after="0"/>
              <w:rPr>
                <w:sz w:val="20"/>
                <w:szCs w:val="20"/>
                <w:color w:val="auto"/>
              </w:rPr>
            </w:pPr>
            <w:r>
              <w:rPr>
                <w:rFonts w:ascii="Arial" w:cs="Arial" w:eastAsia="Arial" w:hAnsi="Arial"/>
                <w:sz w:val="14"/>
                <w:szCs w:val="14"/>
                <w:color w:val="55565A"/>
              </w:rPr>
              <w:t>Adjusted EBITDA less accrued capital expenditures margin</w:t>
            </w:r>
          </w:p>
        </w:tc>
        <w:tc>
          <w:tcPr>
            <w:tcW w:w="25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5565A"/>
              </w:rPr>
              <w:t>35.6%</w:t>
            </w:r>
          </w:p>
        </w:tc>
        <w:tc>
          <w:tcPr>
            <w:tcW w:w="7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31.8%</w:t>
            </w: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5565A"/>
              </w:rPr>
              <w:t>380bp</w:t>
            </w:r>
          </w:p>
        </w:tc>
        <w:tc>
          <w:tcPr>
            <w:tcW w:w="800" w:type="dxa"/>
            <w:vAlign w:val="bottom"/>
            <w:shd w:val="clear" w:color="auto" w:fill="CCEEFF"/>
          </w:tcPr>
          <w:p>
            <w:pPr>
              <w:spacing w:after="0"/>
              <w:rPr>
                <w:sz w:val="13"/>
                <w:szCs w:val="13"/>
                <w:color w:val="auto"/>
              </w:rPr>
            </w:pPr>
          </w:p>
        </w:tc>
      </w:tr>
      <w:tr>
        <w:trPr>
          <w:trHeight w:val="160"/>
        </w:trPr>
        <w:tc>
          <w:tcPr>
            <w:tcW w:w="6320" w:type="dxa"/>
            <w:vAlign w:val="bottom"/>
          </w:tcPr>
          <w:p>
            <w:pPr>
              <w:ind w:left="300"/>
              <w:spacing w:after="0"/>
              <w:rPr>
                <w:sz w:val="20"/>
                <w:szCs w:val="20"/>
                <w:color w:val="auto"/>
              </w:rPr>
            </w:pPr>
            <w:r>
              <w:rPr>
                <w:rFonts w:ascii="Arial" w:cs="Arial" w:eastAsia="Arial" w:hAnsi="Arial"/>
                <w:sz w:val="14"/>
                <w:szCs w:val="14"/>
                <w:color w:val="55565A"/>
              </w:rPr>
              <w:t>Adjusted EPS</w:t>
            </w:r>
          </w:p>
        </w:tc>
        <w:tc>
          <w:tcPr>
            <w:tcW w:w="2500" w:type="dxa"/>
            <w:vAlign w:val="bottom"/>
          </w:tcPr>
          <w:p>
            <w:pPr>
              <w:jc w:val="right"/>
              <w:ind w:right="69"/>
              <w:spacing w:after="0"/>
              <w:rPr>
                <w:sz w:val="20"/>
                <w:szCs w:val="20"/>
                <w:color w:val="auto"/>
              </w:rPr>
            </w:pPr>
            <w:r>
              <w:rPr>
                <w:rFonts w:ascii="Arial" w:cs="Arial" w:eastAsia="Arial" w:hAnsi="Arial"/>
                <w:sz w:val="14"/>
                <w:szCs w:val="14"/>
                <w:b w:val="1"/>
                <w:bCs w:val="1"/>
                <w:color w:val="55565A"/>
              </w:rPr>
              <w:t>$1.11</w:t>
            </w:r>
          </w:p>
        </w:tc>
        <w:tc>
          <w:tcPr>
            <w:tcW w:w="740" w:type="dxa"/>
            <w:vAlign w:val="bottom"/>
          </w:tcPr>
          <w:p>
            <w:pPr>
              <w:jc w:val="right"/>
              <w:ind w:right="9"/>
              <w:spacing w:after="0" w:line="161" w:lineRule="exact"/>
              <w:rPr>
                <w:sz w:val="20"/>
                <w:szCs w:val="20"/>
                <w:color w:val="auto"/>
              </w:rPr>
            </w:pPr>
            <w:r>
              <w:rPr>
                <w:rFonts w:ascii="Arial" w:cs="Arial" w:eastAsia="Arial" w:hAnsi="Arial"/>
                <w:sz w:val="12"/>
                <w:szCs w:val="12"/>
                <w:color w:val="55565A"/>
              </w:rPr>
              <w:t>$0.84</w:t>
            </w:r>
            <w:r>
              <w:rPr>
                <w:rFonts w:ascii="Arial" w:cs="Arial" w:eastAsia="Arial" w:hAnsi="Arial"/>
                <w:sz w:val="18"/>
                <w:szCs w:val="18"/>
                <w:color w:val="55565A"/>
                <w:vertAlign w:val="superscript"/>
              </w:rPr>
              <w:t>(1)</w:t>
            </w:r>
          </w:p>
        </w:tc>
        <w:tc>
          <w:tcPr>
            <w:tcW w:w="560" w:type="dxa"/>
            <w:vAlign w:val="bottom"/>
          </w:tcPr>
          <w:p>
            <w:pPr>
              <w:jc w:val="right"/>
              <w:ind w:right="29"/>
              <w:spacing w:after="0"/>
              <w:rPr>
                <w:sz w:val="20"/>
                <w:szCs w:val="20"/>
                <w:color w:val="auto"/>
              </w:rPr>
            </w:pPr>
            <w:r>
              <w:rPr>
                <w:rFonts w:ascii="Arial" w:cs="Arial" w:eastAsia="Arial" w:hAnsi="Arial"/>
                <w:sz w:val="14"/>
                <w:szCs w:val="14"/>
                <w:color w:val="55565A"/>
              </w:rPr>
              <w:t>32%</w:t>
            </w:r>
          </w:p>
        </w:tc>
        <w:tc>
          <w:tcPr>
            <w:tcW w:w="800" w:type="dxa"/>
            <w:vAlign w:val="bottom"/>
          </w:tcPr>
          <w:p>
            <w:pPr>
              <w:jc w:val="right"/>
              <w:ind w:right="29"/>
              <w:spacing w:after="0"/>
              <w:rPr>
                <w:sz w:val="20"/>
                <w:szCs w:val="20"/>
                <w:color w:val="auto"/>
              </w:rPr>
            </w:pPr>
            <w:r>
              <w:rPr>
                <w:rFonts w:ascii="Arial" w:cs="Arial" w:eastAsia="Arial" w:hAnsi="Arial"/>
                <w:sz w:val="14"/>
                <w:szCs w:val="14"/>
                <w:color w:val="55565A"/>
              </w:rPr>
              <w:t>32%</w:t>
            </w:r>
          </w:p>
        </w:tc>
      </w:tr>
      <w:tr>
        <w:trPr>
          <w:trHeight w:val="160"/>
        </w:trPr>
        <w:tc>
          <w:tcPr>
            <w:tcW w:w="6320" w:type="dxa"/>
            <w:vAlign w:val="bottom"/>
            <w:shd w:val="clear" w:color="auto" w:fill="CCEEFF"/>
          </w:tcPr>
          <w:p>
            <w:pPr>
              <w:ind w:left="120"/>
              <w:spacing w:after="0"/>
              <w:rPr>
                <w:sz w:val="20"/>
                <w:szCs w:val="20"/>
                <w:color w:val="auto"/>
              </w:rPr>
            </w:pPr>
            <w:r>
              <w:rPr>
                <w:rFonts w:ascii="Arial" w:cs="Arial" w:eastAsia="Arial" w:hAnsi="Arial"/>
                <w:sz w:val="14"/>
                <w:szCs w:val="14"/>
                <w:color w:val="55565A"/>
              </w:rPr>
              <w:t>“Big 3” Segments</w:t>
            </w:r>
          </w:p>
        </w:tc>
        <w:tc>
          <w:tcPr>
            <w:tcW w:w="2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0"/>
        </w:trPr>
        <w:tc>
          <w:tcPr>
            <w:tcW w:w="6320" w:type="dxa"/>
            <w:vAlign w:val="bottom"/>
          </w:tcPr>
          <w:p>
            <w:pPr>
              <w:ind w:left="300"/>
              <w:spacing w:after="0"/>
              <w:rPr>
                <w:sz w:val="20"/>
                <w:szCs w:val="20"/>
                <w:color w:val="auto"/>
              </w:rPr>
            </w:pPr>
            <w:r>
              <w:rPr>
                <w:rFonts w:ascii="Arial" w:cs="Arial" w:eastAsia="Arial" w:hAnsi="Arial"/>
                <w:sz w:val="14"/>
                <w:szCs w:val="14"/>
                <w:color w:val="55565A"/>
              </w:rPr>
              <w:t>Revenues</w:t>
            </w:r>
          </w:p>
        </w:tc>
        <w:tc>
          <w:tcPr>
            <w:tcW w:w="2500" w:type="dxa"/>
            <w:vAlign w:val="bottom"/>
          </w:tcPr>
          <w:p>
            <w:pPr>
              <w:jc w:val="right"/>
              <w:ind w:right="69"/>
              <w:spacing w:after="0"/>
              <w:rPr>
                <w:sz w:val="20"/>
                <w:szCs w:val="20"/>
                <w:color w:val="auto"/>
              </w:rPr>
            </w:pPr>
            <w:r>
              <w:rPr>
                <w:rFonts w:ascii="Arial" w:cs="Arial" w:eastAsia="Arial" w:hAnsi="Arial"/>
                <w:sz w:val="14"/>
                <w:szCs w:val="14"/>
                <w:b w:val="1"/>
                <w:bCs w:val="1"/>
                <w:color w:val="55565A"/>
              </w:rPr>
              <w:t>1,556</w:t>
            </w:r>
          </w:p>
        </w:tc>
        <w:tc>
          <w:tcPr>
            <w:tcW w:w="740" w:type="dxa"/>
            <w:vAlign w:val="bottom"/>
          </w:tcPr>
          <w:p>
            <w:pPr>
              <w:jc w:val="right"/>
              <w:ind w:right="129"/>
              <w:spacing w:after="0"/>
              <w:rPr>
                <w:sz w:val="20"/>
                <w:szCs w:val="20"/>
                <w:color w:val="auto"/>
              </w:rPr>
            </w:pPr>
            <w:r>
              <w:rPr>
                <w:rFonts w:ascii="Arial" w:cs="Arial" w:eastAsia="Arial" w:hAnsi="Arial"/>
                <w:sz w:val="14"/>
                <w:szCs w:val="14"/>
                <w:color w:val="55565A"/>
              </w:rPr>
              <w:t>1,431</w:t>
            </w:r>
          </w:p>
        </w:tc>
        <w:tc>
          <w:tcPr>
            <w:tcW w:w="560" w:type="dxa"/>
            <w:vAlign w:val="bottom"/>
          </w:tcPr>
          <w:p>
            <w:pPr>
              <w:jc w:val="right"/>
              <w:ind w:right="29"/>
              <w:spacing w:after="0"/>
              <w:rPr>
                <w:sz w:val="20"/>
                <w:szCs w:val="20"/>
                <w:color w:val="auto"/>
              </w:rPr>
            </w:pPr>
            <w:r>
              <w:rPr>
                <w:rFonts w:ascii="Arial" w:cs="Arial" w:eastAsia="Arial" w:hAnsi="Arial"/>
                <w:sz w:val="14"/>
                <w:szCs w:val="14"/>
                <w:color w:val="55565A"/>
              </w:rPr>
              <w:t>9%</w:t>
            </w:r>
          </w:p>
        </w:tc>
        <w:tc>
          <w:tcPr>
            <w:tcW w:w="800" w:type="dxa"/>
            <w:vAlign w:val="bottom"/>
          </w:tcPr>
          <w:p>
            <w:pPr>
              <w:jc w:val="right"/>
              <w:ind w:right="29"/>
              <w:spacing w:after="0"/>
              <w:rPr>
                <w:sz w:val="20"/>
                <w:szCs w:val="20"/>
                <w:color w:val="auto"/>
              </w:rPr>
            </w:pPr>
            <w:r>
              <w:rPr>
                <w:rFonts w:ascii="Arial" w:cs="Arial" w:eastAsia="Arial" w:hAnsi="Arial"/>
                <w:sz w:val="14"/>
                <w:szCs w:val="14"/>
                <w:color w:val="55565A"/>
              </w:rPr>
              <w:t>9%</w:t>
            </w:r>
          </w:p>
        </w:tc>
      </w:tr>
      <w:tr>
        <w:trPr>
          <w:trHeight w:val="160"/>
        </w:trPr>
        <w:tc>
          <w:tcPr>
            <w:tcW w:w="6320" w:type="dxa"/>
            <w:vAlign w:val="bottom"/>
            <w:shd w:val="clear" w:color="auto" w:fill="CCEEFF"/>
          </w:tcPr>
          <w:p>
            <w:pPr>
              <w:ind w:left="480"/>
              <w:spacing w:after="0"/>
              <w:rPr>
                <w:sz w:val="20"/>
                <w:szCs w:val="20"/>
                <w:color w:val="auto"/>
              </w:rPr>
            </w:pPr>
            <w:r>
              <w:rPr>
                <w:rFonts w:ascii="Arial" w:cs="Arial" w:eastAsia="Arial" w:hAnsi="Arial"/>
                <w:sz w:val="14"/>
                <w:szCs w:val="14"/>
                <w:i w:val="1"/>
                <w:iCs w:val="1"/>
                <w:color w:val="55565A"/>
              </w:rPr>
              <w:t>Organic revenue growth</w:t>
            </w:r>
          </w:p>
        </w:tc>
        <w:tc>
          <w:tcPr>
            <w:tcW w:w="2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i w:val="1"/>
                <w:iCs w:val="1"/>
                <w:color w:val="55565A"/>
              </w:rPr>
              <w:t>10%</w:t>
            </w:r>
          </w:p>
        </w:tc>
      </w:tr>
      <w:tr>
        <w:trPr>
          <w:trHeight w:val="160"/>
        </w:trPr>
        <w:tc>
          <w:tcPr>
            <w:tcW w:w="6320" w:type="dxa"/>
            <w:vAlign w:val="bottom"/>
          </w:tcPr>
          <w:p>
            <w:pPr>
              <w:ind w:left="300"/>
              <w:spacing w:after="0"/>
              <w:rPr>
                <w:sz w:val="20"/>
                <w:szCs w:val="20"/>
                <w:color w:val="auto"/>
              </w:rPr>
            </w:pPr>
            <w:r>
              <w:rPr>
                <w:rFonts w:ascii="Arial" w:cs="Arial" w:eastAsia="Arial" w:hAnsi="Arial"/>
                <w:sz w:val="14"/>
                <w:szCs w:val="14"/>
                <w:color w:val="55565A"/>
              </w:rPr>
              <w:t>Adjusted EBITDA</w:t>
            </w:r>
          </w:p>
        </w:tc>
        <w:tc>
          <w:tcPr>
            <w:tcW w:w="2500" w:type="dxa"/>
            <w:vAlign w:val="bottom"/>
          </w:tcPr>
          <w:p>
            <w:pPr>
              <w:jc w:val="right"/>
              <w:ind w:right="69"/>
              <w:spacing w:after="0"/>
              <w:rPr>
                <w:sz w:val="20"/>
                <w:szCs w:val="20"/>
                <w:color w:val="auto"/>
              </w:rPr>
            </w:pPr>
            <w:r>
              <w:rPr>
                <w:rFonts w:ascii="Arial" w:cs="Arial" w:eastAsia="Arial" w:hAnsi="Arial"/>
                <w:sz w:val="14"/>
                <w:szCs w:val="14"/>
                <w:b w:val="1"/>
                <w:bCs w:val="1"/>
                <w:color w:val="55565A"/>
              </w:rPr>
              <w:t>716</w:t>
            </w:r>
          </w:p>
        </w:tc>
        <w:tc>
          <w:tcPr>
            <w:tcW w:w="740" w:type="dxa"/>
            <w:vAlign w:val="bottom"/>
          </w:tcPr>
          <w:p>
            <w:pPr>
              <w:jc w:val="right"/>
              <w:ind w:right="129"/>
              <w:spacing w:after="0"/>
              <w:rPr>
                <w:sz w:val="20"/>
                <w:szCs w:val="20"/>
                <w:color w:val="auto"/>
              </w:rPr>
            </w:pPr>
            <w:r>
              <w:rPr>
                <w:rFonts w:ascii="Arial" w:cs="Arial" w:eastAsia="Arial" w:hAnsi="Arial"/>
                <w:sz w:val="14"/>
                <w:szCs w:val="14"/>
                <w:color w:val="55565A"/>
              </w:rPr>
              <w:t>621</w:t>
            </w:r>
          </w:p>
        </w:tc>
        <w:tc>
          <w:tcPr>
            <w:tcW w:w="560" w:type="dxa"/>
            <w:vAlign w:val="bottom"/>
          </w:tcPr>
          <w:p>
            <w:pPr>
              <w:jc w:val="right"/>
              <w:ind w:right="29"/>
              <w:spacing w:after="0"/>
              <w:rPr>
                <w:sz w:val="20"/>
                <w:szCs w:val="20"/>
                <w:color w:val="auto"/>
              </w:rPr>
            </w:pPr>
            <w:r>
              <w:rPr>
                <w:rFonts w:ascii="Arial" w:cs="Arial" w:eastAsia="Arial" w:hAnsi="Arial"/>
                <w:sz w:val="14"/>
                <w:szCs w:val="14"/>
                <w:color w:val="55565A"/>
              </w:rPr>
              <w:t>15%</w:t>
            </w:r>
          </w:p>
        </w:tc>
        <w:tc>
          <w:tcPr>
            <w:tcW w:w="800" w:type="dxa"/>
            <w:vAlign w:val="bottom"/>
          </w:tcPr>
          <w:p>
            <w:pPr>
              <w:jc w:val="right"/>
              <w:ind w:right="29"/>
              <w:spacing w:after="0"/>
              <w:rPr>
                <w:sz w:val="20"/>
                <w:szCs w:val="20"/>
                <w:color w:val="auto"/>
              </w:rPr>
            </w:pPr>
            <w:r>
              <w:rPr>
                <w:rFonts w:ascii="Arial" w:cs="Arial" w:eastAsia="Arial" w:hAnsi="Arial"/>
                <w:sz w:val="14"/>
                <w:szCs w:val="14"/>
                <w:color w:val="55565A"/>
              </w:rPr>
              <w:t>16%</w:t>
            </w:r>
          </w:p>
        </w:tc>
      </w:tr>
      <w:tr>
        <w:trPr>
          <w:trHeight w:val="160"/>
        </w:trPr>
        <w:tc>
          <w:tcPr>
            <w:tcW w:w="6320" w:type="dxa"/>
            <w:vAlign w:val="bottom"/>
            <w:tcBorders>
              <w:bottom w:val="single" w:sz="8" w:color="88888B"/>
            </w:tcBorders>
            <w:shd w:val="clear" w:color="auto" w:fill="CCEEFF"/>
          </w:tcPr>
          <w:p>
            <w:pPr>
              <w:ind w:left="300"/>
              <w:spacing w:after="0"/>
              <w:rPr>
                <w:sz w:val="20"/>
                <w:szCs w:val="20"/>
                <w:color w:val="auto"/>
              </w:rPr>
            </w:pPr>
            <w:r>
              <w:rPr>
                <w:rFonts w:ascii="Arial" w:cs="Arial" w:eastAsia="Arial" w:hAnsi="Arial"/>
                <w:sz w:val="14"/>
                <w:szCs w:val="14"/>
                <w:color w:val="55565A"/>
              </w:rPr>
              <w:t>Adjusted EBITDA margin</w:t>
            </w:r>
          </w:p>
        </w:tc>
        <w:tc>
          <w:tcPr>
            <w:tcW w:w="2500" w:type="dxa"/>
            <w:vAlign w:val="bottom"/>
            <w:tcBorders>
              <w:bottom w:val="single" w:sz="8" w:color="88888B"/>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55565A"/>
              </w:rPr>
              <w:t>45.8%</w:t>
            </w:r>
          </w:p>
        </w:tc>
        <w:tc>
          <w:tcPr>
            <w:tcW w:w="74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color w:val="55565A"/>
              </w:rPr>
              <w:t>43.1%</w:t>
            </w:r>
          </w:p>
        </w:tc>
        <w:tc>
          <w:tcPr>
            <w:tcW w:w="560" w:type="dxa"/>
            <w:vAlign w:val="bottom"/>
            <w:tcBorders>
              <w:bottom w:val="single" w:sz="8" w:color="88888B"/>
            </w:tcBorders>
            <w:shd w:val="clear" w:color="auto" w:fill="CCEEFF"/>
          </w:tcPr>
          <w:p>
            <w:pPr>
              <w:jc w:val="right"/>
              <w:ind w:right="29"/>
              <w:spacing w:after="0"/>
              <w:rPr>
                <w:sz w:val="20"/>
                <w:szCs w:val="20"/>
                <w:color w:val="auto"/>
              </w:rPr>
            </w:pPr>
            <w:r>
              <w:rPr>
                <w:rFonts w:ascii="Arial" w:cs="Arial" w:eastAsia="Arial" w:hAnsi="Arial"/>
                <w:sz w:val="14"/>
                <w:szCs w:val="14"/>
                <w:color w:val="55565A"/>
              </w:rPr>
              <w:t>270bp</w:t>
            </w:r>
          </w:p>
        </w:tc>
        <w:tc>
          <w:tcPr>
            <w:tcW w:w="800" w:type="dxa"/>
            <w:vAlign w:val="bottom"/>
            <w:tcBorders>
              <w:bottom w:val="single" w:sz="8" w:color="88888B"/>
            </w:tcBorders>
            <w:shd w:val="clear" w:color="auto" w:fill="CCEEFF"/>
          </w:tcPr>
          <w:p>
            <w:pPr>
              <w:jc w:val="right"/>
              <w:ind w:right="29"/>
              <w:spacing w:after="0"/>
              <w:rPr>
                <w:sz w:val="20"/>
                <w:szCs w:val="20"/>
                <w:color w:val="auto"/>
              </w:rPr>
            </w:pPr>
            <w:r>
              <w:rPr>
                <w:rFonts w:ascii="Arial" w:cs="Arial" w:eastAsia="Arial" w:hAnsi="Arial"/>
                <w:sz w:val="14"/>
                <w:szCs w:val="14"/>
                <w:color w:val="55565A"/>
              </w:rPr>
              <w:t>290bp</w:t>
            </w:r>
          </w:p>
        </w:tc>
      </w:tr>
    </w:tbl>
    <w:p>
      <w:pPr>
        <w:spacing w:after="0" w:line="111" w:lineRule="exact"/>
        <w:rPr>
          <w:sz w:val="20"/>
          <w:szCs w:val="20"/>
          <w:color w:val="auto"/>
        </w:rPr>
      </w:pPr>
    </w:p>
    <w:p>
      <w:pPr>
        <w:ind w:left="600" w:right="140" w:hanging="433"/>
        <w:spacing w:after="0" w:line="260" w:lineRule="auto"/>
        <w:tabs>
          <w:tab w:leader="none" w:pos="600" w:val="left"/>
        </w:tabs>
        <w:numPr>
          <w:ilvl w:val="0"/>
          <w:numId w:val="3"/>
        </w:numPr>
        <w:rPr>
          <w:rFonts w:ascii="Arial" w:cs="Arial" w:eastAsia="Arial" w:hAnsi="Arial"/>
          <w:sz w:val="14"/>
          <w:szCs w:val="14"/>
          <w:color w:val="55565A"/>
        </w:rPr>
      </w:pPr>
      <w:r>
        <w:rPr>
          <w:rFonts w:ascii="Arial" w:cs="Arial" w:eastAsia="Arial" w:hAnsi="Arial"/>
          <w:sz w:val="14"/>
          <w:szCs w:val="14"/>
          <w:color w:val="55565A"/>
        </w:rPr>
        <w:t>In the third quarter of 2023, we amended our definition of adjusted earnings and adjusted EPS to exclude amortization from acquired computer software. We revised the comparative 2023 period to reflect the current period presentation. Refer to Appendices A and B of this management’s discussion and analysis for additional information.</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5"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700" w:type="dxa"/>
            <w:vAlign w:val="bottom"/>
            <w:gridSpan w:val="3"/>
          </w:tcPr>
          <w:p>
            <w:pPr>
              <w:jc w:val="right"/>
              <w:ind w:right="229"/>
              <w:spacing w:after="0"/>
              <w:rPr>
                <w:sz w:val="20"/>
                <w:szCs w:val="20"/>
                <w:color w:val="auto"/>
              </w:rPr>
            </w:pPr>
            <w:r>
              <w:rPr>
                <w:rFonts w:ascii="Arial" w:cs="Arial" w:eastAsia="Arial" w:hAnsi="Arial"/>
                <w:sz w:val="14"/>
                <w:szCs w:val="14"/>
                <w:b w:val="1"/>
                <w:bCs w:val="1"/>
                <w:color w:val="55565A"/>
              </w:rPr>
              <w:t>Three months ended March 31,</w:t>
            </w:r>
          </w:p>
        </w:tc>
        <w:tc>
          <w:tcPr>
            <w:tcW w:w="680" w:type="dxa"/>
            <w:vAlign w:val="bottom"/>
          </w:tcPr>
          <w:p>
            <w:pPr>
              <w:spacing w:after="0"/>
              <w:rPr>
                <w:sz w:val="16"/>
                <w:szCs w:val="16"/>
                <w:color w:val="auto"/>
              </w:rPr>
            </w:pPr>
          </w:p>
        </w:tc>
      </w:tr>
      <w:tr>
        <w:trPr>
          <w:trHeight w:val="248"/>
        </w:trPr>
        <w:tc>
          <w:tcPr>
            <w:tcW w:w="43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ind w:right="269"/>
              <w:spacing w:after="0"/>
              <w:rPr>
                <w:sz w:val="20"/>
                <w:szCs w:val="20"/>
                <w:color w:val="auto"/>
              </w:rPr>
            </w:pPr>
            <w:r>
              <w:rPr>
                <w:rFonts w:ascii="Arial" w:cs="Arial" w:eastAsia="Arial" w:hAnsi="Arial"/>
                <w:sz w:val="14"/>
                <w:szCs w:val="14"/>
                <w:color w:val="55565A"/>
              </w:rPr>
              <w:t>Change</w:t>
            </w:r>
          </w:p>
        </w:tc>
        <w:tc>
          <w:tcPr>
            <w:tcW w:w="680" w:type="dxa"/>
            <w:vAlign w:val="bottom"/>
          </w:tcPr>
          <w:p>
            <w:pPr>
              <w:spacing w:after="0"/>
              <w:rPr>
                <w:sz w:val="21"/>
                <w:szCs w:val="21"/>
                <w:color w:val="auto"/>
              </w:rPr>
            </w:pPr>
          </w:p>
        </w:tc>
      </w:tr>
      <w:tr>
        <w:trPr>
          <w:trHeight w:val="252"/>
        </w:trPr>
        <w:tc>
          <w:tcPr>
            <w:tcW w:w="43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55565A"/>
              </w:rPr>
              <w:t>Constant</w:t>
            </w:r>
          </w:p>
        </w:tc>
        <w:tc>
          <w:tcPr>
            <w:tcW w:w="680" w:type="dxa"/>
            <w:vAlign w:val="bottom"/>
          </w:tcPr>
          <w:p>
            <w:pPr>
              <w:spacing w:after="0"/>
              <w:rPr>
                <w:sz w:val="21"/>
                <w:szCs w:val="21"/>
                <w:color w:val="auto"/>
              </w:rPr>
            </w:pPr>
          </w:p>
        </w:tc>
      </w:tr>
      <w:tr>
        <w:trPr>
          <w:trHeight w:val="195"/>
        </w:trPr>
        <w:tc>
          <w:tcPr>
            <w:tcW w:w="4380" w:type="dxa"/>
            <w:vAlign w:val="bottom"/>
          </w:tcPr>
          <w:p>
            <w:pPr>
              <w:spacing w:after="0"/>
              <w:rPr>
                <w:sz w:val="20"/>
                <w:szCs w:val="20"/>
                <w:color w:val="auto"/>
              </w:rPr>
            </w:pPr>
            <w:r>
              <w:rPr>
                <w:rFonts w:ascii="Arial" w:cs="Arial" w:eastAsia="Arial" w:hAnsi="Arial"/>
                <w:sz w:val="14"/>
                <w:szCs w:val="14"/>
                <w:color w:val="55565A"/>
              </w:rPr>
              <w:t>   (millions of U.S. dollars)</w:t>
            </w:r>
          </w:p>
        </w:tc>
        <w:tc>
          <w:tcPr>
            <w:tcW w:w="3160" w:type="dxa"/>
            <w:vAlign w:val="bottom"/>
          </w:tcPr>
          <w:p>
            <w:pPr>
              <w:jc w:val="right"/>
              <w:ind w:right="129"/>
              <w:spacing w:after="0"/>
              <w:rPr>
                <w:sz w:val="20"/>
                <w:szCs w:val="20"/>
                <w:color w:val="auto"/>
              </w:rPr>
            </w:pPr>
            <w:r>
              <w:rPr>
                <w:rFonts w:ascii="Arial" w:cs="Arial" w:eastAsia="Arial" w:hAnsi="Arial"/>
                <w:sz w:val="14"/>
                <w:szCs w:val="14"/>
                <w:b w:val="1"/>
                <w:bCs w:val="1"/>
                <w:color w:val="55565A"/>
              </w:rPr>
              <w:t>2024</w:t>
            </w:r>
          </w:p>
        </w:tc>
        <w:tc>
          <w:tcPr>
            <w:tcW w:w="760" w:type="dxa"/>
            <w:vAlign w:val="bottom"/>
          </w:tcPr>
          <w:p>
            <w:pPr>
              <w:jc w:val="right"/>
              <w:ind w:right="149"/>
              <w:spacing w:after="0"/>
              <w:rPr>
                <w:sz w:val="20"/>
                <w:szCs w:val="20"/>
                <w:color w:val="auto"/>
              </w:rPr>
            </w:pPr>
            <w:r>
              <w:rPr>
                <w:rFonts w:ascii="Arial" w:cs="Arial" w:eastAsia="Arial" w:hAnsi="Arial"/>
                <w:sz w:val="14"/>
                <w:szCs w:val="14"/>
                <w:color w:val="55565A"/>
              </w:rPr>
              <w:t>2023</w:t>
            </w:r>
          </w:p>
        </w:tc>
        <w:tc>
          <w:tcPr>
            <w:tcW w:w="860" w:type="dxa"/>
            <w:vAlign w:val="bottom"/>
          </w:tcPr>
          <w:p>
            <w:pPr>
              <w:jc w:val="right"/>
              <w:ind w:right="169"/>
              <w:spacing w:after="0"/>
              <w:rPr>
                <w:sz w:val="20"/>
                <w:szCs w:val="20"/>
                <w:color w:val="auto"/>
              </w:rPr>
            </w:pPr>
            <w:r>
              <w:rPr>
                <w:rFonts w:ascii="Arial" w:cs="Arial" w:eastAsia="Arial" w:hAnsi="Arial"/>
                <w:sz w:val="14"/>
                <w:szCs w:val="14"/>
                <w:color w:val="55565A"/>
              </w:rPr>
              <w:t>Total</w:t>
            </w:r>
          </w:p>
        </w:tc>
        <w:tc>
          <w:tcPr>
            <w:tcW w:w="1080" w:type="dxa"/>
            <w:vAlign w:val="bottom"/>
          </w:tcPr>
          <w:p>
            <w:pPr>
              <w:jc w:val="right"/>
              <w:ind w:right="9"/>
              <w:spacing w:after="0"/>
              <w:rPr>
                <w:sz w:val="20"/>
                <w:szCs w:val="20"/>
                <w:color w:val="auto"/>
              </w:rPr>
            </w:pPr>
            <w:r>
              <w:rPr>
                <w:rFonts w:ascii="Arial" w:cs="Arial" w:eastAsia="Arial" w:hAnsi="Arial"/>
                <w:sz w:val="14"/>
                <w:szCs w:val="14"/>
                <w:color w:val="55565A"/>
              </w:rPr>
              <w:t>Currency</w:t>
            </w:r>
          </w:p>
        </w:tc>
        <w:tc>
          <w:tcPr>
            <w:tcW w:w="680" w:type="dxa"/>
            <w:vAlign w:val="bottom"/>
          </w:tcPr>
          <w:p>
            <w:pPr>
              <w:jc w:val="right"/>
              <w:ind w:right="29"/>
              <w:spacing w:after="0"/>
              <w:rPr>
                <w:sz w:val="20"/>
                <w:szCs w:val="20"/>
                <w:color w:val="auto"/>
              </w:rPr>
            </w:pPr>
            <w:r>
              <w:rPr>
                <w:rFonts w:ascii="Arial" w:cs="Arial" w:eastAsia="Arial" w:hAnsi="Arial"/>
                <w:sz w:val="14"/>
                <w:szCs w:val="14"/>
                <w:color w:val="55565A"/>
              </w:rPr>
              <w:t>Organic</w:t>
            </w:r>
          </w:p>
        </w:tc>
      </w:tr>
      <w:tr>
        <w:trPr>
          <w:trHeight w:val="28"/>
        </w:trPr>
        <w:tc>
          <w:tcPr>
            <w:tcW w:w="4380" w:type="dxa"/>
            <w:vAlign w:val="bottom"/>
            <w:tcBorders>
              <w:bottom w:val="single" w:sz="8" w:color="88888B"/>
            </w:tcBorders>
          </w:tcPr>
          <w:p>
            <w:pPr>
              <w:spacing w:after="0"/>
              <w:rPr>
                <w:sz w:val="2"/>
                <w:szCs w:val="2"/>
                <w:color w:val="auto"/>
              </w:rPr>
            </w:pPr>
          </w:p>
        </w:tc>
        <w:tc>
          <w:tcPr>
            <w:tcW w:w="3160" w:type="dxa"/>
            <w:vAlign w:val="bottom"/>
            <w:tcBorders>
              <w:bottom w:val="single" w:sz="8" w:color="88888B"/>
            </w:tcBorders>
          </w:tcPr>
          <w:p>
            <w:pPr>
              <w:spacing w:after="0"/>
              <w:rPr>
                <w:sz w:val="2"/>
                <w:szCs w:val="2"/>
                <w:color w:val="auto"/>
              </w:rPr>
            </w:pPr>
          </w:p>
        </w:tc>
        <w:tc>
          <w:tcPr>
            <w:tcW w:w="760" w:type="dxa"/>
            <w:vAlign w:val="bottom"/>
            <w:tcBorders>
              <w:bottom w:val="single" w:sz="8" w:color="88888B"/>
            </w:tcBorders>
          </w:tcPr>
          <w:p>
            <w:pPr>
              <w:spacing w:after="0"/>
              <w:rPr>
                <w:sz w:val="2"/>
                <w:szCs w:val="2"/>
                <w:color w:val="auto"/>
              </w:rPr>
            </w:pPr>
          </w:p>
        </w:tc>
        <w:tc>
          <w:tcPr>
            <w:tcW w:w="860" w:type="dxa"/>
            <w:vAlign w:val="bottom"/>
            <w:tcBorders>
              <w:bottom w:val="single" w:sz="8" w:color="88888B"/>
            </w:tcBorders>
          </w:tcPr>
          <w:p>
            <w:pPr>
              <w:spacing w:after="0"/>
              <w:rPr>
                <w:sz w:val="2"/>
                <w:szCs w:val="2"/>
                <w:color w:val="auto"/>
              </w:rPr>
            </w:pPr>
          </w:p>
        </w:tc>
        <w:tc>
          <w:tcPr>
            <w:tcW w:w="1080" w:type="dxa"/>
            <w:vAlign w:val="bottom"/>
            <w:tcBorders>
              <w:bottom w:val="single" w:sz="8" w:color="88888B"/>
            </w:tcBorders>
          </w:tcPr>
          <w:p>
            <w:pPr>
              <w:spacing w:after="0"/>
              <w:rPr>
                <w:sz w:val="2"/>
                <w:szCs w:val="2"/>
                <w:color w:val="auto"/>
              </w:rPr>
            </w:pPr>
          </w:p>
        </w:tc>
        <w:tc>
          <w:tcPr>
            <w:tcW w:w="680" w:type="dxa"/>
            <w:vAlign w:val="bottom"/>
            <w:tcBorders>
              <w:bottom w:val="single" w:sz="8" w:color="88888B"/>
            </w:tcBorders>
          </w:tcPr>
          <w:p>
            <w:pPr>
              <w:spacing w:after="0"/>
              <w:rPr>
                <w:sz w:val="2"/>
                <w:szCs w:val="2"/>
                <w:color w:val="auto"/>
              </w:rPr>
            </w:pPr>
          </w:p>
        </w:tc>
      </w:tr>
      <w:tr>
        <w:trPr>
          <w:trHeight w:val="154"/>
        </w:trPr>
        <w:tc>
          <w:tcPr>
            <w:tcW w:w="4380" w:type="dxa"/>
            <w:vAlign w:val="bottom"/>
            <w:shd w:val="clear" w:color="auto" w:fill="CCEEFF"/>
          </w:tcPr>
          <w:p>
            <w:pPr>
              <w:ind w:left="220"/>
              <w:spacing w:after="0" w:line="154" w:lineRule="exact"/>
              <w:rPr>
                <w:sz w:val="20"/>
                <w:szCs w:val="20"/>
                <w:color w:val="auto"/>
              </w:rPr>
            </w:pPr>
            <w:r>
              <w:rPr>
                <w:rFonts w:ascii="Arial" w:cs="Arial" w:eastAsia="Arial" w:hAnsi="Arial"/>
                <w:sz w:val="14"/>
                <w:szCs w:val="14"/>
                <w:b w:val="1"/>
                <w:bCs w:val="1"/>
                <w:color w:val="55565A"/>
              </w:rPr>
              <w:t>Recurring revenues</w:t>
            </w:r>
          </w:p>
        </w:tc>
        <w:tc>
          <w:tcPr>
            <w:tcW w:w="3160" w:type="dxa"/>
            <w:vAlign w:val="bottom"/>
            <w:shd w:val="clear" w:color="auto" w:fill="CCEEFF"/>
          </w:tcPr>
          <w:p>
            <w:pPr>
              <w:jc w:val="right"/>
              <w:ind w:right="129"/>
              <w:spacing w:after="0" w:line="154" w:lineRule="exact"/>
              <w:rPr>
                <w:sz w:val="20"/>
                <w:szCs w:val="20"/>
                <w:color w:val="auto"/>
              </w:rPr>
            </w:pPr>
            <w:r>
              <w:rPr>
                <w:rFonts w:ascii="Arial" w:cs="Arial" w:eastAsia="Arial" w:hAnsi="Arial"/>
                <w:sz w:val="14"/>
                <w:szCs w:val="14"/>
                <w:b w:val="1"/>
                <w:bCs w:val="1"/>
                <w:color w:val="55565A"/>
              </w:rPr>
              <w:t>1,426</w:t>
            </w:r>
          </w:p>
        </w:tc>
        <w:tc>
          <w:tcPr>
            <w:tcW w:w="760" w:type="dxa"/>
            <w:vAlign w:val="bottom"/>
            <w:shd w:val="clear" w:color="auto" w:fill="CCEEFF"/>
          </w:tcPr>
          <w:p>
            <w:pPr>
              <w:jc w:val="right"/>
              <w:ind w:right="149"/>
              <w:spacing w:after="0" w:line="154" w:lineRule="exact"/>
              <w:rPr>
                <w:sz w:val="20"/>
                <w:szCs w:val="20"/>
                <w:color w:val="auto"/>
              </w:rPr>
            </w:pPr>
            <w:r>
              <w:rPr>
                <w:rFonts w:ascii="Arial" w:cs="Arial" w:eastAsia="Arial" w:hAnsi="Arial"/>
                <w:sz w:val="14"/>
                <w:szCs w:val="14"/>
                <w:color w:val="55565A"/>
              </w:rPr>
              <w:t>1,323</w:t>
            </w:r>
          </w:p>
        </w:tc>
        <w:tc>
          <w:tcPr>
            <w:tcW w:w="860" w:type="dxa"/>
            <w:vAlign w:val="bottom"/>
            <w:shd w:val="clear" w:color="auto" w:fill="CCEEFF"/>
          </w:tcPr>
          <w:p>
            <w:pPr>
              <w:jc w:val="right"/>
              <w:ind w:right="169"/>
              <w:spacing w:after="0" w:line="154" w:lineRule="exact"/>
              <w:rPr>
                <w:sz w:val="20"/>
                <w:szCs w:val="20"/>
                <w:color w:val="auto"/>
              </w:rPr>
            </w:pPr>
            <w:r>
              <w:rPr>
                <w:rFonts w:ascii="Arial" w:cs="Arial" w:eastAsia="Arial" w:hAnsi="Arial"/>
                <w:sz w:val="14"/>
                <w:szCs w:val="14"/>
                <w:color w:val="55565A"/>
              </w:rPr>
              <w:t>8%</w:t>
            </w:r>
          </w:p>
        </w:tc>
        <w:tc>
          <w:tcPr>
            <w:tcW w:w="1080" w:type="dxa"/>
            <w:vAlign w:val="bottom"/>
            <w:shd w:val="clear" w:color="auto" w:fill="CCEEFF"/>
          </w:tcPr>
          <w:p>
            <w:pPr>
              <w:jc w:val="right"/>
              <w:ind w:right="9"/>
              <w:spacing w:after="0" w:line="154" w:lineRule="exact"/>
              <w:rPr>
                <w:sz w:val="20"/>
                <w:szCs w:val="20"/>
                <w:color w:val="auto"/>
              </w:rPr>
            </w:pPr>
            <w:r>
              <w:rPr>
                <w:rFonts w:ascii="Arial" w:cs="Arial" w:eastAsia="Arial" w:hAnsi="Arial"/>
                <w:sz w:val="14"/>
                <w:szCs w:val="14"/>
                <w:color w:val="55565A"/>
              </w:rPr>
              <w:t>8%</w:t>
            </w:r>
          </w:p>
        </w:tc>
        <w:tc>
          <w:tcPr>
            <w:tcW w:w="68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5565A"/>
              </w:rPr>
              <w:t>9%</w:t>
            </w:r>
          </w:p>
        </w:tc>
      </w:tr>
      <w:tr>
        <w:trPr>
          <w:trHeight w:val="160"/>
        </w:trPr>
        <w:tc>
          <w:tcPr>
            <w:tcW w:w="4380" w:type="dxa"/>
            <w:vAlign w:val="bottom"/>
          </w:tcPr>
          <w:p>
            <w:pPr>
              <w:ind w:left="220"/>
              <w:spacing w:after="0"/>
              <w:rPr>
                <w:sz w:val="20"/>
                <w:szCs w:val="20"/>
                <w:color w:val="auto"/>
              </w:rPr>
            </w:pPr>
            <w:r>
              <w:rPr>
                <w:rFonts w:ascii="Arial" w:cs="Arial" w:eastAsia="Arial" w:hAnsi="Arial"/>
                <w:sz w:val="14"/>
                <w:szCs w:val="14"/>
                <w:b w:val="1"/>
                <w:bCs w:val="1"/>
                <w:color w:val="55565A"/>
              </w:rPr>
              <w:t>Transactions revenues</w:t>
            </w:r>
          </w:p>
        </w:tc>
        <w:tc>
          <w:tcPr>
            <w:tcW w:w="3160" w:type="dxa"/>
            <w:vAlign w:val="bottom"/>
          </w:tcPr>
          <w:p>
            <w:pPr>
              <w:jc w:val="right"/>
              <w:ind w:right="109"/>
              <w:spacing w:after="0"/>
              <w:rPr>
                <w:sz w:val="20"/>
                <w:szCs w:val="20"/>
                <w:color w:val="auto"/>
              </w:rPr>
            </w:pPr>
            <w:r>
              <w:rPr>
                <w:rFonts w:ascii="Arial" w:cs="Arial" w:eastAsia="Arial" w:hAnsi="Arial"/>
                <w:sz w:val="14"/>
                <w:szCs w:val="14"/>
                <w:b w:val="1"/>
                <w:bCs w:val="1"/>
                <w:color w:val="55565A"/>
              </w:rPr>
              <w:t>335</w:t>
            </w:r>
          </w:p>
        </w:tc>
        <w:tc>
          <w:tcPr>
            <w:tcW w:w="760" w:type="dxa"/>
            <w:vAlign w:val="bottom"/>
          </w:tcPr>
          <w:p>
            <w:pPr>
              <w:jc w:val="right"/>
              <w:ind w:right="149"/>
              <w:spacing w:after="0"/>
              <w:rPr>
                <w:sz w:val="20"/>
                <w:szCs w:val="20"/>
                <w:color w:val="auto"/>
              </w:rPr>
            </w:pPr>
            <w:r>
              <w:rPr>
                <w:rFonts w:ascii="Arial" w:cs="Arial" w:eastAsia="Arial" w:hAnsi="Arial"/>
                <w:sz w:val="14"/>
                <w:szCs w:val="14"/>
                <w:color w:val="55565A"/>
              </w:rPr>
              <w:t>277</w:t>
            </w:r>
          </w:p>
        </w:tc>
        <w:tc>
          <w:tcPr>
            <w:tcW w:w="860" w:type="dxa"/>
            <w:vAlign w:val="bottom"/>
          </w:tcPr>
          <w:p>
            <w:pPr>
              <w:jc w:val="right"/>
              <w:ind w:right="169"/>
              <w:spacing w:after="0"/>
              <w:rPr>
                <w:sz w:val="20"/>
                <w:szCs w:val="20"/>
                <w:color w:val="auto"/>
              </w:rPr>
            </w:pPr>
            <w:r>
              <w:rPr>
                <w:rFonts w:ascii="Arial" w:cs="Arial" w:eastAsia="Arial" w:hAnsi="Arial"/>
                <w:sz w:val="14"/>
                <w:szCs w:val="14"/>
                <w:color w:val="55565A"/>
              </w:rPr>
              <w:t>21%</w:t>
            </w:r>
          </w:p>
        </w:tc>
        <w:tc>
          <w:tcPr>
            <w:tcW w:w="1080" w:type="dxa"/>
            <w:vAlign w:val="bottom"/>
          </w:tcPr>
          <w:p>
            <w:pPr>
              <w:jc w:val="right"/>
              <w:ind w:right="9"/>
              <w:spacing w:after="0"/>
              <w:rPr>
                <w:sz w:val="20"/>
                <w:szCs w:val="20"/>
                <w:color w:val="auto"/>
              </w:rPr>
            </w:pPr>
            <w:r>
              <w:rPr>
                <w:rFonts w:ascii="Arial" w:cs="Arial" w:eastAsia="Arial" w:hAnsi="Arial"/>
                <w:sz w:val="14"/>
                <w:szCs w:val="14"/>
                <w:color w:val="55565A"/>
              </w:rPr>
              <w:t>22%</w:t>
            </w:r>
          </w:p>
        </w:tc>
        <w:tc>
          <w:tcPr>
            <w:tcW w:w="680" w:type="dxa"/>
            <w:vAlign w:val="bottom"/>
          </w:tcPr>
          <w:p>
            <w:pPr>
              <w:jc w:val="right"/>
              <w:ind w:right="29"/>
              <w:spacing w:after="0"/>
              <w:rPr>
                <w:sz w:val="20"/>
                <w:szCs w:val="20"/>
                <w:color w:val="auto"/>
              </w:rPr>
            </w:pPr>
            <w:r>
              <w:rPr>
                <w:rFonts w:ascii="Arial" w:cs="Arial" w:eastAsia="Arial" w:hAnsi="Arial"/>
                <w:sz w:val="14"/>
                <w:szCs w:val="14"/>
                <w:color w:val="55565A"/>
              </w:rPr>
              <w:t>22%</w:t>
            </w:r>
          </w:p>
        </w:tc>
      </w:tr>
      <w:tr>
        <w:trPr>
          <w:trHeight w:val="160"/>
        </w:trPr>
        <w:tc>
          <w:tcPr>
            <w:tcW w:w="4380" w:type="dxa"/>
            <w:vAlign w:val="bottom"/>
            <w:tcBorders>
              <w:bottom w:val="single" w:sz="8" w:color="88888B"/>
            </w:tcBorders>
            <w:shd w:val="clear" w:color="auto" w:fill="CCEEFF"/>
          </w:tcPr>
          <w:p>
            <w:pPr>
              <w:ind w:left="220"/>
              <w:spacing w:after="0"/>
              <w:rPr>
                <w:sz w:val="20"/>
                <w:szCs w:val="20"/>
                <w:color w:val="auto"/>
              </w:rPr>
            </w:pPr>
            <w:r>
              <w:rPr>
                <w:rFonts w:ascii="Arial" w:cs="Arial" w:eastAsia="Arial" w:hAnsi="Arial"/>
                <w:sz w:val="14"/>
                <w:szCs w:val="14"/>
                <w:b w:val="1"/>
                <w:bCs w:val="1"/>
                <w:color w:val="55565A"/>
              </w:rPr>
              <w:t>Global Print revenues</w:t>
            </w:r>
          </w:p>
        </w:tc>
        <w:tc>
          <w:tcPr>
            <w:tcW w:w="316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124</w:t>
            </w:r>
          </w:p>
        </w:tc>
        <w:tc>
          <w:tcPr>
            <w:tcW w:w="760" w:type="dxa"/>
            <w:vAlign w:val="bottom"/>
            <w:tcBorders>
              <w:bottom w:val="single" w:sz="8" w:color="88888B"/>
            </w:tcBorders>
            <w:shd w:val="clear" w:color="auto" w:fill="CCEEFF"/>
          </w:tcPr>
          <w:p>
            <w:pPr>
              <w:jc w:val="right"/>
              <w:ind w:right="149"/>
              <w:spacing w:after="0"/>
              <w:rPr>
                <w:sz w:val="20"/>
                <w:szCs w:val="20"/>
                <w:color w:val="auto"/>
              </w:rPr>
            </w:pPr>
            <w:r>
              <w:rPr>
                <w:rFonts w:ascii="Arial" w:cs="Arial" w:eastAsia="Arial" w:hAnsi="Arial"/>
                <w:sz w:val="14"/>
                <w:szCs w:val="14"/>
                <w:color w:val="55565A"/>
              </w:rPr>
              <w:t>138</w:t>
            </w:r>
          </w:p>
        </w:tc>
        <w:tc>
          <w:tcPr>
            <w:tcW w:w="860" w:type="dxa"/>
            <w:vAlign w:val="bottom"/>
            <w:tcBorders>
              <w:bottom w:val="single" w:sz="8" w:color="88888B"/>
            </w:tcBorders>
            <w:shd w:val="clear" w:color="auto" w:fill="CCEEFF"/>
          </w:tcPr>
          <w:p>
            <w:pPr>
              <w:jc w:val="right"/>
              <w:ind w:right="169"/>
              <w:spacing w:after="0"/>
              <w:rPr>
                <w:sz w:val="20"/>
                <w:szCs w:val="20"/>
                <w:color w:val="auto"/>
              </w:rPr>
            </w:pPr>
            <w:r>
              <w:rPr>
                <w:rFonts w:ascii="Arial" w:cs="Arial" w:eastAsia="Arial" w:hAnsi="Arial"/>
                <w:sz w:val="14"/>
                <w:szCs w:val="14"/>
                <w:color w:val="55565A"/>
              </w:rPr>
              <w:t>(10%)</w:t>
            </w:r>
          </w:p>
        </w:tc>
        <w:tc>
          <w:tcPr>
            <w:tcW w:w="108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(10%)</w:t>
            </w:r>
          </w:p>
        </w:tc>
        <w:tc>
          <w:tcPr>
            <w:tcW w:w="680" w:type="dxa"/>
            <w:vAlign w:val="bottom"/>
            <w:tcBorders>
              <w:bottom w:val="single" w:sz="8" w:color="88888B"/>
            </w:tcBorders>
            <w:shd w:val="clear" w:color="auto" w:fill="CCEEFF"/>
          </w:tcPr>
          <w:p>
            <w:pPr>
              <w:jc w:val="right"/>
              <w:ind w:right="29"/>
              <w:spacing w:after="0"/>
              <w:rPr>
                <w:sz w:val="20"/>
                <w:szCs w:val="20"/>
                <w:color w:val="auto"/>
              </w:rPr>
            </w:pPr>
            <w:r>
              <w:rPr>
                <w:rFonts w:ascii="Arial" w:cs="Arial" w:eastAsia="Arial" w:hAnsi="Arial"/>
                <w:sz w:val="14"/>
                <w:szCs w:val="14"/>
                <w:color w:val="55565A"/>
              </w:rPr>
              <w:t>(10%)</w:t>
            </w:r>
          </w:p>
        </w:tc>
      </w:tr>
      <w:tr>
        <w:trPr>
          <w:trHeight w:val="154"/>
        </w:trPr>
        <w:tc>
          <w:tcPr>
            <w:tcW w:w="4380" w:type="dxa"/>
            <w:vAlign w:val="bottom"/>
            <w:tcBorders>
              <w:bottom w:val="single" w:sz="8" w:color="88888B"/>
            </w:tcBorders>
          </w:tcPr>
          <w:p>
            <w:pPr>
              <w:ind w:left="120"/>
              <w:spacing w:after="0" w:line="154" w:lineRule="exact"/>
              <w:rPr>
                <w:sz w:val="20"/>
                <w:szCs w:val="20"/>
                <w:color w:val="auto"/>
              </w:rPr>
            </w:pPr>
            <w:r>
              <w:rPr>
                <w:rFonts w:ascii="Arial" w:cs="Arial" w:eastAsia="Arial" w:hAnsi="Arial"/>
                <w:sz w:val="14"/>
                <w:szCs w:val="14"/>
                <w:b w:val="1"/>
                <w:bCs w:val="1"/>
                <w:color w:val="55565A"/>
              </w:rPr>
              <w:t>Revenues</w:t>
            </w:r>
          </w:p>
        </w:tc>
        <w:tc>
          <w:tcPr>
            <w:tcW w:w="3160" w:type="dxa"/>
            <w:vAlign w:val="bottom"/>
            <w:tcBorders>
              <w:bottom w:val="single" w:sz="8" w:color="88888B"/>
            </w:tcBorders>
          </w:tcPr>
          <w:p>
            <w:pPr>
              <w:jc w:val="right"/>
              <w:ind w:right="129"/>
              <w:spacing w:after="0" w:line="154" w:lineRule="exact"/>
              <w:rPr>
                <w:sz w:val="20"/>
                <w:szCs w:val="20"/>
                <w:color w:val="auto"/>
              </w:rPr>
            </w:pPr>
            <w:r>
              <w:rPr>
                <w:rFonts w:ascii="Arial" w:cs="Arial" w:eastAsia="Arial" w:hAnsi="Arial"/>
                <w:sz w:val="14"/>
                <w:szCs w:val="14"/>
                <w:b w:val="1"/>
                <w:bCs w:val="1"/>
                <w:color w:val="55565A"/>
              </w:rPr>
              <w:t>1,885</w:t>
            </w:r>
          </w:p>
        </w:tc>
        <w:tc>
          <w:tcPr>
            <w:tcW w:w="760" w:type="dxa"/>
            <w:vAlign w:val="bottom"/>
            <w:tcBorders>
              <w:bottom w:val="single" w:sz="8" w:color="88888B"/>
            </w:tcBorders>
          </w:tcPr>
          <w:p>
            <w:pPr>
              <w:jc w:val="right"/>
              <w:ind w:right="149"/>
              <w:spacing w:after="0" w:line="154" w:lineRule="exact"/>
              <w:rPr>
                <w:sz w:val="20"/>
                <w:szCs w:val="20"/>
                <w:color w:val="auto"/>
              </w:rPr>
            </w:pPr>
            <w:r>
              <w:rPr>
                <w:rFonts w:ascii="Arial" w:cs="Arial" w:eastAsia="Arial" w:hAnsi="Arial"/>
                <w:sz w:val="14"/>
                <w:szCs w:val="14"/>
                <w:color w:val="55565A"/>
              </w:rPr>
              <w:t>1,738</w:t>
            </w:r>
          </w:p>
        </w:tc>
        <w:tc>
          <w:tcPr>
            <w:tcW w:w="860" w:type="dxa"/>
            <w:vAlign w:val="bottom"/>
            <w:tcBorders>
              <w:bottom w:val="single" w:sz="8" w:color="88888B"/>
            </w:tcBorders>
          </w:tcPr>
          <w:p>
            <w:pPr>
              <w:jc w:val="right"/>
              <w:ind w:right="169"/>
              <w:spacing w:after="0" w:line="154" w:lineRule="exact"/>
              <w:rPr>
                <w:sz w:val="20"/>
                <w:szCs w:val="20"/>
                <w:color w:val="auto"/>
              </w:rPr>
            </w:pPr>
            <w:r>
              <w:rPr>
                <w:rFonts w:ascii="Arial" w:cs="Arial" w:eastAsia="Arial" w:hAnsi="Arial"/>
                <w:sz w:val="14"/>
                <w:szCs w:val="14"/>
                <w:color w:val="55565A"/>
              </w:rPr>
              <w:t>8%</w:t>
            </w:r>
          </w:p>
        </w:tc>
        <w:tc>
          <w:tcPr>
            <w:tcW w:w="1080" w:type="dxa"/>
            <w:vAlign w:val="bottom"/>
            <w:tcBorders>
              <w:bottom w:val="single" w:sz="8" w:color="88888B"/>
            </w:tcBorders>
          </w:tcPr>
          <w:p>
            <w:pPr>
              <w:jc w:val="right"/>
              <w:ind w:right="9"/>
              <w:spacing w:after="0" w:line="154" w:lineRule="exact"/>
              <w:rPr>
                <w:sz w:val="20"/>
                <w:szCs w:val="20"/>
                <w:color w:val="auto"/>
              </w:rPr>
            </w:pPr>
            <w:r>
              <w:rPr>
                <w:rFonts w:ascii="Arial" w:cs="Arial" w:eastAsia="Arial" w:hAnsi="Arial"/>
                <w:sz w:val="14"/>
                <w:szCs w:val="14"/>
                <w:color w:val="55565A"/>
              </w:rPr>
              <w:t>8%</w:t>
            </w:r>
          </w:p>
        </w:tc>
        <w:tc>
          <w:tcPr>
            <w:tcW w:w="680" w:type="dxa"/>
            <w:vAlign w:val="bottom"/>
            <w:tcBorders>
              <w:bottom w:val="single" w:sz="8" w:color="88888B"/>
            </w:tcBorders>
          </w:tcPr>
          <w:p>
            <w:pPr>
              <w:jc w:val="right"/>
              <w:ind w:right="29"/>
              <w:spacing w:after="0" w:line="154" w:lineRule="exact"/>
              <w:rPr>
                <w:sz w:val="20"/>
                <w:szCs w:val="20"/>
                <w:color w:val="auto"/>
              </w:rPr>
            </w:pPr>
            <w:r>
              <w:rPr>
                <w:rFonts w:ascii="Arial" w:cs="Arial" w:eastAsia="Arial" w:hAnsi="Arial"/>
                <w:sz w:val="14"/>
                <w:szCs w:val="14"/>
                <w:color w:val="55565A"/>
              </w:rPr>
              <w:t>9%</w:t>
            </w:r>
          </w:p>
        </w:tc>
      </w:tr>
    </w:tbl>
    <w:p>
      <w:pPr>
        <w:spacing w:after="0" w:line="93"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55565A"/>
        </w:rPr>
        <w:t>Revenues increased 8% in total and in constant currency primarily due to growth in recurring and transactions revenues, as well as a contribution from acquisitions. Revenue growth was partly offset by the loss of revenues from the divestiture of our Elite business. On an organic basis, total revenues increased 9%, driven by 9% growth in recurring revenues (76% of total revenues) and 22% growth in transactions revenues. Global Print revenues decreased 10% on an organic basis.</w:t>
      </w:r>
    </w:p>
    <w:p>
      <w:pPr>
        <w:spacing w:after="0" w:line="71"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55565A"/>
        </w:rPr>
        <w:t>Revenues from the “Big 3” segments (83% of total revenues) increased 9% in total and in constant currency. On an organic basis, revenues increased 10%, driven by 9% growth in recurring revenues and 14% growth in transactions revenues.</w:t>
      </w:r>
    </w:p>
    <w:p>
      <w:pPr>
        <w:spacing w:after="0" w:line="54" w:lineRule="exact"/>
        <w:rPr>
          <w:sz w:val="20"/>
          <w:szCs w:val="20"/>
          <w:color w:val="auto"/>
        </w:rPr>
      </w:pPr>
    </w:p>
    <w:p>
      <w:pPr>
        <w:ind w:left="160" w:right="1760"/>
        <w:spacing w:after="0" w:line="383" w:lineRule="auto"/>
        <w:rPr>
          <w:sz w:val="20"/>
          <w:szCs w:val="20"/>
          <w:color w:val="auto"/>
        </w:rPr>
      </w:pPr>
      <w:r>
        <w:rPr>
          <w:rFonts w:ascii="Arial" w:cs="Arial" w:eastAsia="Arial" w:hAnsi="Arial"/>
          <w:sz w:val="16"/>
          <w:szCs w:val="16"/>
          <w:color w:val="55565A"/>
        </w:rPr>
        <w:t xml:space="preserve">Foreign currency had no net impact on either our consolidated revenue growth or on the revenue growth of our “Big 3” segments. </w:t>
      </w:r>
      <w:r>
        <w:rPr>
          <w:rFonts w:ascii="Arial" w:cs="Arial" w:eastAsia="Arial" w:hAnsi="Arial"/>
          <w:sz w:val="16"/>
          <w:szCs w:val="16"/>
          <w:b w:val="1"/>
          <w:bCs w:val="1"/>
          <w:color w:val="55565A"/>
        </w:rPr>
        <w:t>Operating profit, adjusted EBITDA and adjusted EBITDA less accrued capital expenditures</w:t>
      </w:r>
    </w:p>
    <w:p>
      <w:pPr>
        <w:spacing w:after="0" w:line="1" w:lineRule="exact"/>
        <w:rPr>
          <w:sz w:val="20"/>
          <w:szCs w:val="20"/>
          <w:color w:val="auto"/>
        </w:rPr>
      </w:pPr>
    </w:p>
    <w:p>
      <w:pPr>
        <w:ind w:left="160" w:right="740"/>
        <w:spacing w:after="0" w:line="279" w:lineRule="auto"/>
        <w:rPr>
          <w:sz w:val="20"/>
          <w:szCs w:val="20"/>
          <w:color w:val="auto"/>
        </w:rPr>
      </w:pPr>
      <w:r>
        <w:rPr>
          <w:rFonts w:ascii="Arial" w:cs="Arial" w:eastAsia="Arial" w:hAnsi="Arial"/>
          <w:sz w:val="16"/>
          <w:szCs w:val="16"/>
          <w:color w:val="55565A"/>
        </w:rPr>
        <w:t>Operating profit increased 10% as higher revenues more than offset higher software amortization and slightly higher costs. Operating profit was negatively impacted by other operating losses in the current-year period, compared to other operating gains in the prior-year period.</w:t>
      </w:r>
    </w:p>
    <w:p>
      <w:pPr>
        <w:spacing w:after="0" w:line="54" w:lineRule="exact"/>
        <w:rPr>
          <w:sz w:val="20"/>
          <w:szCs w:val="20"/>
          <w:color w:val="auto"/>
        </w:rPr>
      </w:pPr>
    </w:p>
    <w:p>
      <w:pPr>
        <w:ind w:left="160" w:right="320"/>
        <w:spacing w:after="0" w:line="262" w:lineRule="auto"/>
        <w:rPr>
          <w:sz w:val="20"/>
          <w:szCs w:val="20"/>
          <w:color w:val="auto"/>
        </w:rPr>
      </w:pPr>
      <w:r>
        <w:rPr>
          <w:rFonts w:ascii="Arial" w:cs="Arial" w:eastAsia="Arial" w:hAnsi="Arial"/>
          <w:sz w:val="16"/>
          <w:szCs w:val="16"/>
          <w:color w:val="55565A"/>
        </w:rPr>
        <w:t>Adjusted EBITDA, which excludes amortization of software, other operating gains and losses, as well as other items, increased 19% and the related margin increased to 42.7% from 38.8% in the prior-year period as higher revenues more than offset slightly higher costs. Foreign currency had no net impact on the year-over-year change in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5</w:t>
      </w:r>
    </w:p>
    <w:p>
      <w:pPr>
        <w:sectPr>
          <w:pgSz w:w="11900" w:h="16838" w:orient="portrait"/>
          <w:cols w:equalWidth="0" w:num="1">
            <w:col w:w="11080"/>
          </w:cols>
          <w:pgMar w:left="320" w:top="454"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55565A"/>
        </w:rPr>
        <w:t>Adjusted EBITDA less accrued capital expenditures and the related margin increased due to higher adjusted EBITDA, which more than offset a moderate increase in accrued capital expenditures.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0"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55565A"/>
        </w:rPr>
        <w:t>Three months ended March 31,</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ind w:right="549"/>
              <w:spacing w:after="0"/>
              <w:rPr>
                <w:sz w:val="20"/>
                <w:szCs w:val="20"/>
                <w:color w:val="auto"/>
              </w:rPr>
            </w:pPr>
            <w:r>
              <w:rPr>
                <w:rFonts w:ascii="Arial" w:cs="Arial" w:eastAsia="Arial" w:hAnsi="Arial"/>
                <w:sz w:val="14"/>
                <w:szCs w:val="14"/>
                <w:color w:val="55565A"/>
              </w:rPr>
              <w:t>Change</w:t>
            </w:r>
          </w:p>
        </w:tc>
      </w:tr>
      <w:tr>
        <w:trPr>
          <w:trHeight w:val="252"/>
        </w:trPr>
        <w:tc>
          <w:tcPr>
            <w:tcW w:w="58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ind w:right="149"/>
              <w:spacing w:after="0"/>
              <w:rPr>
                <w:sz w:val="20"/>
                <w:szCs w:val="20"/>
                <w:color w:val="auto"/>
              </w:rPr>
            </w:pPr>
            <w:r>
              <w:rPr>
                <w:rFonts w:ascii="Arial" w:cs="Arial" w:eastAsia="Arial" w:hAnsi="Arial"/>
                <w:sz w:val="14"/>
                <w:szCs w:val="14"/>
                <w:color w:val="55565A"/>
              </w:rPr>
              <w:t>Constant</w:t>
            </w:r>
          </w:p>
        </w:tc>
      </w:tr>
      <w:tr>
        <w:trPr>
          <w:trHeight w:val="195"/>
        </w:trPr>
        <w:tc>
          <w:tcPr>
            <w:tcW w:w="5820" w:type="dxa"/>
            <w:vAlign w:val="bottom"/>
          </w:tcPr>
          <w:p>
            <w:pPr>
              <w:spacing w:after="0"/>
              <w:rPr>
                <w:sz w:val="20"/>
                <w:szCs w:val="20"/>
                <w:color w:val="auto"/>
              </w:rPr>
            </w:pPr>
            <w:r>
              <w:rPr>
                <w:rFonts w:ascii="Arial" w:cs="Arial" w:eastAsia="Arial" w:hAnsi="Arial"/>
                <w:sz w:val="14"/>
                <w:szCs w:val="14"/>
                <w:color w:val="55565A"/>
              </w:rPr>
              <w:t>   (millions of U.S. dollars)</w:t>
            </w:r>
          </w:p>
        </w:tc>
        <w:tc>
          <w:tcPr>
            <w:tcW w:w="2600" w:type="dxa"/>
            <w:vAlign w:val="bottom"/>
          </w:tcPr>
          <w:p>
            <w:pPr>
              <w:jc w:val="right"/>
              <w:ind w:right="109"/>
              <w:spacing w:after="0"/>
              <w:rPr>
                <w:sz w:val="20"/>
                <w:szCs w:val="20"/>
                <w:color w:val="auto"/>
              </w:rPr>
            </w:pPr>
            <w:r>
              <w:rPr>
                <w:rFonts w:ascii="Arial" w:cs="Arial" w:eastAsia="Arial" w:hAnsi="Arial"/>
                <w:sz w:val="14"/>
                <w:szCs w:val="14"/>
                <w:b w:val="1"/>
                <w:bCs w:val="1"/>
                <w:color w:val="55565A"/>
              </w:rPr>
              <w:t>2024</w:t>
            </w:r>
          </w:p>
        </w:tc>
        <w:tc>
          <w:tcPr>
            <w:tcW w:w="760" w:type="dxa"/>
            <w:vAlign w:val="bottom"/>
          </w:tcPr>
          <w:p>
            <w:pPr>
              <w:jc w:val="right"/>
              <w:ind w:right="149"/>
              <w:spacing w:after="0"/>
              <w:rPr>
                <w:sz w:val="20"/>
                <w:szCs w:val="20"/>
                <w:color w:val="auto"/>
              </w:rPr>
            </w:pPr>
            <w:r>
              <w:rPr>
                <w:rFonts w:ascii="Arial" w:cs="Arial" w:eastAsia="Arial" w:hAnsi="Arial"/>
                <w:sz w:val="14"/>
                <w:szCs w:val="14"/>
                <w:color w:val="55565A"/>
              </w:rPr>
              <w:t>2023</w:t>
            </w:r>
          </w:p>
        </w:tc>
        <w:tc>
          <w:tcPr>
            <w:tcW w:w="560" w:type="dxa"/>
            <w:vAlign w:val="bottom"/>
          </w:tcPr>
          <w:p>
            <w:pPr>
              <w:jc w:val="right"/>
              <w:spacing w:after="0"/>
              <w:rPr>
                <w:sz w:val="20"/>
                <w:szCs w:val="20"/>
                <w:color w:val="auto"/>
              </w:rPr>
            </w:pPr>
            <w:r>
              <w:rPr>
                <w:rFonts w:ascii="Arial" w:cs="Arial" w:eastAsia="Arial" w:hAnsi="Arial"/>
                <w:sz w:val="14"/>
                <w:szCs w:val="14"/>
                <w:color w:val="55565A"/>
              </w:rPr>
              <w:t>Total</w:t>
            </w:r>
          </w:p>
        </w:tc>
        <w:tc>
          <w:tcPr>
            <w:tcW w:w="1180" w:type="dxa"/>
            <w:vAlign w:val="bottom"/>
          </w:tcPr>
          <w:p>
            <w:pPr>
              <w:jc w:val="right"/>
              <w:ind w:right="149"/>
              <w:spacing w:after="0"/>
              <w:rPr>
                <w:sz w:val="20"/>
                <w:szCs w:val="20"/>
                <w:color w:val="auto"/>
              </w:rPr>
            </w:pPr>
            <w:r>
              <w:rPr>
                <w:rFonts w:ascii="Arial" w:cs="Arial" w:eastAsia="Arial" w:hAnsi="Arial"/>
                <w:sz w:val="14"/>
                <w:szCs w:val="14"/>
                <w:color w:val="55565A"/>
              </w:rPr>
              <w:t>Currency</w:t>
            </w:r>
          </w:p>
        </w:tc>
      </w:tr>
      <w:tr>
        <w:trPr>
          <w:trHeight w:val="28"/>
        </w:trPr>
        <w:tc>
          <w:tcPr>
            <w:tcW w:w="58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60"/>
        </w:trPr>
        <w:tc>
          <w:tcPr>
            <w:tcW w:w="58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5565A"/>
              </w:rPr>
              <w:t>Operating expenses</w:t>
            </w:r>
          </w:p>
        </w:tc>
        <w:tc>
          <w:tcPr>
            <w:tcW w:w="26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1,081</w:t>
            </w:r>
          </w:p>
        </w:tc>
        <w:tc>
          <w:tcPr>
            <w:tcW w:w="7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5565A"/>
              </w:rPr>
              <w:t>1,074</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55565A"/>
              </w:rPr>
              <w:t>1%</w:t>
            </w:r>
          </w:p>
        </w:tc>
        <w:tc>
          <w:tcPr>
            <w:tcW w:w="11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5565A"/>
              </w:rPr>
              <w:t>1%</w:t>
            </w:r>
          </w:p>
        </w:tc>
      </w:tr>
      <w:tr>
        <w:trPr>
          <w:trHeight w:val="160"/>
        </w:trPr>
        <w:tc>
          <w:tcPr>
            <w:tcW w:w="5820" w:type="dxa"/>
            <w:vAlign w:val="bottom"/>
            <w:tcBorders>
              <w:bottom w:val="single" w:sz="8" w:color="88888B"/>
            </w:tcBorders>
          </w:tcPr>
          <w:p>
            <w:pPr>
              <w:ind w:left="120"/>
              <w:spacing w:after="0" w:line="161" w:lineRule="exact"/>
              <w:rPr>
                <w:sz w:val="20"/>
                <w:szCs w:val="20"/>
                <w:color w:val="auto"/>
              </w:rPr>
            </w:pPr>
            <w:r>
              <w:rPr>
                <w:rFonts w:ascii="Arial" w:cs="Arial" w:eastAsia="Arial" w:hAnsi="Arial"/>
                <w:sz w:val="12"/>
                <w:szCs w:val="12"/>
                <w:b w:val="1"/>
                <w:bCs w:val="1"/>
                <w:color w:val="55565A"/>
              </w:rPr>
              <w:t>Remove fair value adjustments</w:t>
            </w:r>
            <w:r>
              <w:rPr>
                <w:rFonts w:ascii="Arial" w:cs="Arial" w:eastAsia="Arial" w:hAnsi="Arial"/>
                <w:sz w:val="18"/>
                <w:szCs w:val="18"/>
                <w:b w:val="1"/>
                <w:bCs w:val="1"/>
                <w:color w:val="55565A"/>
                <w:vertAlign w:val="superscript"/>
              </w:rPr>
              <w:t>(1)</w:t>
            </w:r>
          </w:p>
        </w:tc>
        <w:tc>
          <w:tcPr>
            <w:tcW w:w="2600" w:type="dxa"/>
            <w:vAlign w:val="bottom"/>
            <w:tcBorders>
              <w:bottom w:val="single" w:sz="8" w:color="88888B"/>
            </w:tcBorders>
          </w:tcPr>
          <w:p>
            <w:pPr>
              <w:jc w:val="right"/>
              <w:ind w:right="109"/>
              <w:spacing w:after="0"/>
              <w:rPr>
                <w:sz w:val="20"/>
                <w:szCs w:val="20"/>
                <w:color w:val="auto"/>
              </w:rPr>
            </w:pPr>
            <w:r>
              <w:rPr>
                <w:rFonts w:ascii="Arial" w:cs="Arial" w:eastAsia="Arial" w:hAnsi="Arial"/>
                <w:sz w:val="14"/>
                <w:szCs w:val="14"/>
                <w:b w:val="1"/>
                <w:bCs w:val="1"/>
                <w:color w:val="55565A"/>
              </w:rPr>
              <w:t>2</w:t>
            </w:r>
          </w:p>
        </w:tc>
        <w:tc>
          <w:tcPr>
            <w:tcW w:w="760" w:type="dxa"/>
            <w:vAlign w:val="bottom"/>
            <w:tcBorders>
              <w:bottom w:val="single" w:sz="8" w:color="88888B"/>
            </w:tcBorders>
          </w:tcPr>
          <w:p>
            <w:pPr>
              <w:jc w:val="right"/>
              <w:ind w:right="149"/>
              <w:spacing w:after="0"/>
              <w:rPr>
                <w:sz w:val="20"/>
                <w:szCs w:val="20"/>
                <w:color w:val="auto"/>
              </w:rPr>
            </w:pPr>
            <w:r>
              <w:rPr>
                <w:rFonts w:ascii="Arial" w:cs="Arial" w:eastAsia="Arial" w:hAnsi="Arial"/>
                <w:sz w:val="14"/>
                <w:szCs w:val="14"/>
                <w:color w:val="55565A"/>
              </w:rPr>
              <w:t>(4)</w:t>
            </w:r>
          </w:p>
        </w:tc>
        <w:tc>
          <w:tcPr>
            <w:tcW w:w="560" w:type="dxa"/>
            <w:vAlign w:val="bottom"/>
            <w:tcBorders>
              <w:bottom w:val="single" w:sz="8" w:color="88888B"/>
            </w:tcBorders>
          </w:tcPr>
          <w:p>
            <w:pPr>
              <w:spacing w:after="0"/>
              <w:rPr>
                <w:sz w:val="13"/>
                <w:szCs w:val="13"/>
                <w:color w:val="auto"/>
              </w:rPr>
            </w:pPr>
          </w:p>
        </w:tc>
        <w:tc>
          <w:tcPr>
            <w:tcW w:w="1180" w:type="dxa"/>
            <w:vAlign w:val="bottom"/>
            <w:tcBorders>
              <w:bottom w:val="single" w:sz="8" w:color="88888B"/>
            </w:tcBorders>
          </w:tcPr>
          <w:p>
            <w:pPr>
              <w:spacing w:after="0"/>
              <w:rPr>
                <w:sz w:val="13"/>
                <w:szCs w:val="13"/>
                <w:color w:val="auto"/>
              </w:rPr>
            </w:pPr>
          </w:p>
        </w:tc>
      </w:tr>
      <w:tr>
        <w:trPr>
          <w:trHeight w:val="154"/>
        </w:trPr>
        <w:tc>
          <w:tcPr>
            <w:tcW w:w="5820" w:type="dxa"/>
            <w:vAlign w:val="bottom"/>
            <w:tcBorders>
              <w:bottom w:val="single" w:sz="8" w:color="88888B"/>
            </w:tcBorders>
            <w:shd w:val="clear" w:color="auto" w:fill="CCEEFF"/>
          </w:tcPr>
          <w:p>
            <w:pPr>
              <w:ind w:left="120"/>
              <w:spacing w:after="0" w:line="154" w:lineRule="exact"/>
              <w:rPr>
                <w:sz w:val="20"/>
                <w:szCs w:val="20"/>
                <w:color w:val="auto"/>
              </w:rPr>
            </w:pPr>
            <w:r>
              <w:rPr>
                <w:rFonts w:ascii="Arial" w:cs="Arial" w:eastAsia="Arial" w:hAnsi="Arial"/>
                <w:sz w:val="14"/>
                <w:szCs w:val="14"/>
                <w:b w:val="1"/>
                <w:bCs w:val="1"/>
                <w:color w:val="55565A"/>
              </w:rPr>
              <w:t>Operating expenses, excluding fair value adjustments</w:t>
            </w:r>
          </w:p>
        </w:tc>
        <w:tc>
          <w:tcPr>
            <w:tcW w:w="2600" w:type="dxa"/>
            <w:vAlign w:val="bottom"/>
            <w:tcBorders>
              <w:bottom w:val="single" w:sz="8" w:color="88888B"/>
            </w:tcBorders>
            <w:shd w:val="clear" w:color="auto" w:fill="CCEEFF"/>
          </w:tcPr>
          <w:p>
            <w:pPr>
              <w:jc w:val="right"/>
              <w:ind w:right="109"/>
              <w:spacing w:after="0" w:line="154" w:lineRule="exact"/>
              <w:rPr>
                <w:sz w:val="20"/>
                <w:szCs w:val="20"/>
                <w:color w:val="auto"/>
              </w:rPr>
            </w:pPr>
            <w:r>
              <w:rPr>
                <w:rFonts w:ascii="Arial" w:cs="Arial" w:eastAsia="Arial" w:hAnsi="Arial"/>
                <w:sz w:val="14"/>
                <w:szCs w:val="14"/>
                <w:b w:val="1"/>
                <w:bCs w:val="1"/>
                <w:color w:val="55565A"/>
              </w:rPr>
              <w:t>1083</w:t>
            </w:r>
          </w:p>
        </w:tc>
        <w:tc>
          <w:tcPr>
            <w:tcW w:w="760" w:type="dxa"/>
            <w:vAlign w:val="bottom"/>
            <w:tcBorders>
              <w:bottom w:val="single" w:sz="8" w:color="88888B"/>
            </w:tcBorders>
            <w:shd w:val="clear" w:color="auto" w:fill="CCEEFF"/>
          </w:tcPr>
          <w:p>
            <w:pPr>
              <w:jc w:val="right"/>
              <w:ind w:right="149"/>
              <w:spacing w:after="0" w:line="154" w:lineRule="exact"/>
              <w:rPr>
                <w:sz w:val="20"/>
                <w:szCs w:val="20"/>
                <w:color w:val="auto"/>
              </w:rPr>
            </w:pPr>
            <w:r>
              <w:rPr>
                <w:rFonts w:ascii="Arial" w:cs="Arial" w:eastAsia="Arial" w:hAnsi="Arial"/>
                <w:sz w:val="14"/>
                <w:szCs w:val="14"/>
                <w:color w:val="55565A"/>
              </w:rPr>
              <w:t>1,070</w:t>
            </w:r>
          </w:p>
        </w:tc>
        <w:tc>
          <w:tcPr>
            <w:tcW w:w="560" w:type="dxa"/>
            <w:vAlign w:val="bottom"/>
            <w:tcBorders>
              <w:bottom w:val="single" w:sz="8" w:color="88888B"/>
            </w:tcBorders>
            <w:shd w:val="clear" w:color="auto" w:fill="CCEEFF"/>
          </w:tcPr>
          <w:p>
            <w:pPr>
              <w:jc w:val="right"/>
              <w:spacing w:after="0" w:line="154" w:lineRule="exact"/>
              <w:rPr>
                <w:sz w:val="20"/>
                <w:szCs w:val="20"/>
                <w:color w:val="auto"/>
              </w:rPr>
            </w:pPr>
            <w:r>
              <w:rPr>
                <w:rFonts w:ascii="Arial" w:cs="Arial" w:eastAsia="Arial" w:hAnsi="Arial"/>
                <w:sz w:val="14"/>
                <w:szCs w:val="14"/>
                <w:color w:val="55565A"/>
              </w:rPr>
              <w:t>1%</w:t>
            </w:r>
          </w:p>
        </w:tc>
        <w:tc>
          <w:tcPr>
            <w:tcW w:w="1180" w:type="dxa"/>
            <w:vAlign w:val="bottom"/>
            <w:tcBorders>
              <w:bottom w:val="single" w:sz="8" w:color="88888B"/>
            </w:tcBorders>
            <w:shd w:val="clear" w:color="auto" w:fill="CCEEFF"/>
          </w:tcPr>
          <w:p>
            <w:pPr>
              <w:jc w:val="right"/>
              <w:ind w:right="149"/>
              <w:spacing w:after="0" w:line="154" w:lineRule="exact"/>
              <w:rPr>
                <w:sz w:val="20"/>
                <w:szCs w:val="20"/>
                <w:color w:val="auto"/>
              </w:rPr>
            </w:pPr>
            <w:r>
              <w:rPr>
                <w:rFonts w:ascii="Arial" w:cs="Arial" w:eastAsia="Arial" w:hAnsi="Arial"/>
                <w:sz w:val="14"/>
                <w:szCs w:val="14"/>
                <w:color w:val="55565A"/>
              </w:rPr>
              <w:t>1%</w:t>
            </w:r>
          </w:p>
        </w:tc>
      </w:tr>
    </w:tbl>
    <w:p>
      <w:pPr>
        <w:spacing w:after="0" w:line="111" w:lineRule="exact"/>
        <w:rPr>
          <w:sz w:val="20"/>
          <w:szCs w:val="20"/>
          <w:color w:val="auto"/>
        </w:rPr>
      </w:pPr>
    </w:p>
    <w:p>
      <w:pPr>
        <w:ind w:left="600" w:right="120" w:hanging="433"/>
        <w:spacing w:after="0" w:line="281" w:lineRule="auto"/>
        <w:tabs>
          <w:tab w:leader="none" w:pos="600" w:val="left"/>
        </w:tabs>
        <w:numPr>
          <w:ilvl w:val="0"/>
          <w:numId w:val="4"/>
        </w:numPr>
        <w:rPr>
          <w:rFonts w:ascii="Arial" w:cs="Arial" w:eastAsia="Arial" w:hAnsi="Arial"/>
          <w:sz w:val="14"/>
          <w:szCs w:val="14"/>
          <w:color w:val="55565A"/>
        </w:rPr>
      </w:pPr>
      <w:r>
        <w:rPr>
          <w:rFonts w:ascii="Arial" w:cs="Arial" w:eastAsia="Arial" w:hAnsi="Arial"/>
          <w:sz w:val="14"/>
          <w:szCs w:val="14"/>
          <w:color w:val="55565A"/>
        </w:rPr>
        <w:t>Fair value adjustments primarily represent gains or losses on intercompany balances that arise in the ordinary course of business due to changes in foreign currency exchange rates.</w:t>
      </w:r>
    </w:p>
    <w:p>
      <w:pPr>
        <w:spacing w:after="0" w:line="46" w:lineRule="exact"/>
        <w:rPr>
          <w:sz w:val="20"/>
          <w:szCs w:val="20"/>
          <w:color w:val="auto"/>
        </w:rPr>
      </w:pPr>
    </w:p>
    <w:p>
      <w:pPr>
        <w:jc w:val="both"/>
        <w:ind w:left="160" w:right="240"/>
        <w:spacing w:after="0" w:line="262" w:lineRule="auto"/>
        <w:rPr>
          <w:sz w:val="20"/>
          <w:szCs w:val="20"/>
          <w:color w:val="auto"/>
        </w:rPr>
      </w:pPr>
      <w:r>
        <w:rPr>
          <w:rFonts w:ascii="Arial" w:cs="Arial" w:eastAsia="Arial" w:hAnsi="Arial"/>
          <w:sz w:val="16"/>
          <w:szCs w:val="16"/>
          <w:color w:val="55565A"/>
        </w:rPr>
        <w:t>Operating expenses, excluding fair value adjustments, increased slightly in total and on a constant currency basis as higher costs from acquisitions as well as higher product, marketing and sales expenses related to higher revenues more than offset lower costs due to the Elite divestiture in June 2023, and from our commercial and technology operations.</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0"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55565A"/>
        </w:rPr>
        <w:t>Three months ended March 31,</w:t>
      </w:r>
    </w:p>
    <w:p>
      <w:pPr>
        <w:spacing w:after="0" w:line="88"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5640" w:type="dxa"/>
            <w:vAlign w:val="bottom"/>
          </w:tcPr>
          <w:p>
            <w:pPr>
              <w:spacing w:after="0"/>
              <w:rPr>
                <w:sz w:val="20"/>
                <w:szCs w:val="20"/>
                <w:color w:val="auto"/>
              </w:rPr>
            </w:pPr>
            <w:r>
              <w:rPr>
                <w:rFonts w:ascii="Arial" w:cs="Arial" w:eastAsia="Arial" w:hAnsi="Arial"/>
                <w:sz w:val="14"/>
                <w:szCs w:val="14"/>
                <w:color w:val="55565A"/>
              </w:rPr>
              <w:t>   (millions of U.S. dollars)</w:t>
            </w:r>
          </w:p>
        </w:tc>
        <w:tc>
          <w:tcPr>
            <w:tcW w:w="2800" w:type="dxa"/>
            <w:vAlign w:val="bottom"/>
          </w:tcPr>
          <w:p>
            <w:pPr>
              <w:jc w:val="right"/>
              <w:ind w:right="289"/>
              <w:spacing w:after="0"/>
              <w:rPr>
                <w:sz w:val="20"/>
                <w:szCs w:val="20"/>
                <w:color w:val="auto"/>
              </w:rPr>
            </w:pPr>
            <w:r>
              <w:rPr>
                <w:rFonts w:ascii="Arial" w:cs="Arial" w:eastAsia="Arial" w:hAnsi="Arial"/>
                <w:sz w:val="14"/>
                <w:szCs w:val="14"/>
                <w:b w:val="1"/>
                <w:bCs w:val="1"/>
                <w:color w:val="55565A"/>
              </w:rPr>
              <w:t>2024</w:t>
            </w:r>
          </w:p>
        </w:tc>
        <w:tc>
          <w:tcPr>
            <w:tcW w:w="1180" w:type="dxa"/>
            <w:vAlign w:val="bottom"/>
          </w:tcPr>
          <w:p>
            <w:pPr>
              <w:jc w:val="right"/>
              <w:ind w:right="429"/>
              <w:spacing w:after="0"/>
              <w:rPr>
                <w:sz w:val="20"/>
                <w:szCs w:val="20"/>
                <w:color w:val="auto"/>
              </w:rPr>
            </w:pPr>
            <w:r>
              <w:rPr>
                <w:rFonts w:ascii="Arial" w:cs="Arial" w:eastAsia="Arial" w:hAnsi="Arial"/>
                <w:sz w:val="14"/>
                <w:szCs w:val="14"/>
                <w:color w:val="55565A"/>
              </w:rPr>
              <w:t>2023</w:t>
            </w:r>
          </w:p>
        </w:tc>
        <w:tc>
          <w:tcPr>
            <w:tcW w:w="1300" w:type="dxa"/>
            <w:vAlign w:val="bottom"/>
          </w:tcPr>
          <w:p>
            <w:pPr>
              <w:jc w:val="right"/>
              <w:ind w:right="229"/>
              <w:spacing w:after="0"/>
              <w:rPr>
                <w:sz w:val="20"/>
                <w:szCs w:val="20"/>
                <w:color w:val="auto"/>
              </w:rPr>
            </w:pPr>
            <w:r>
              <w:rPr>
                <w:rFonts w:ascii="Arial" w:cs="Arial" w:eastAsia="Arial" w:hAnsi="Arial"/>
                <w:sz w:val="14"/>
                <w:szCs w:val="14"/>
                <w:color w:val="55565A"/>
              </w:rPr>
              <w:t>Change</w:t>
            </w:r>
          </w:p>
        </w:tc>
      </w:tr>
      <w:tr>
        <w:trPr>
          <w:trHeight w:val="28"/>
        </w:trPr>
        <w:tc>
          <w:tcPr>
            <w:tcW w:w="5640" w:type="dxa"/>
            <w:vAlign w:val="bottom"/>
            <w:tcBorders>
              <w:bottom w:val="single" w:sz="8" w:color="88888B"/>
            </w:tcBorders>
          </w:tcPr>
          <w:p>
            <w:pPr>
              <w:spacing w:after="0"/>
              <w:rPr>
                <w:sz w:val="2"/>
                <w:szCs w:val="2"/>
                <w:color w:val="auto"/>
              </w:rPr>
            </w:pPr>
          </w:p>
        </w:tc>
        <w:tc>
          <w:tcPr>
            <w:tcW w:w="2800" w:type="dxa"/>
            <w:vAlign w:val="bottom"/>
            <w:tcBorders>
              <w:bottom w:val="single" w:sz="8" w:color="88888B"/>
            </w:tcBorders>
          </w:tcPr>
          <w:p>
            <w:pPr>
              <w:spacing w:after="0"/>
              <w:rPr>
                <w:sz w:val="2"/>
                <w:szCs w:val="2"/>
                <w:color w:val="auto"/>
              </w:rPr>
            </w:pPr>
          </w:p>
        </w:tc>
        <w:tc>
          <w:tcPr>
            <w:tcW w:w="1180" w:type="dxa"/>
            <w:vAlign w:val="bottom"/>
            <w:tcBorders>
              <w:bottom w:val="single" w:sz="8" w:color="88888B"/>
            </w:tcBorders>
          </w:tcPr>
          <w:p>
            <w:pPr>
              <w:spacing w:after="0"/>
              <w:rPr>
                <w:sz w:val="2"/>
                <w:szCs w:val="2"/>
                <w:color w:val="auto"/>
              </w:rPr>
            </w:pPr>
          </w:p>
        </w:tc>
        <w:tc>
          <w:tcPr>
            <w:tcW w:w="1300" w:type="dxa"/>
            <w:vAlign w:val="bottom"/>
            <w:tcBorders>
              <w:bottom w:val="single" w:sz="8" w:color="88888B"/>
            </w:tcBorders>
          </w:tcPr>
          <w:p>
            <w:pPr>
              <w:spacing w:after="0"/>
              <w:rPr>
                <w:sz w:val="2"/>
                <w:szCs w:val="2"/>
                <w:color w:val="auto"/>
              </w:rPr>
            </w:pPr>
          </w:p>
        </w:tc>
      </w:tr>
      <w:tr>
        <w:trPr>
          <w:trHeight w:val="154"/>
        </w:trPr>
        <w:tc>
          <w:tcPr>
            <w:tcW w:w="5640" w:type="dxa"/>
            <w:vAlign w:val="bottom"/>
            <w:shd w:val="clear" w:color="auto" w:fill="CCEEFF"/>
          </w:tcPr>
          <w:p>
            <w:pPr>
              <w:ind w:left="120"/>
              <w:spacing w:after="0" w:line="154" w:lineRule="exact"/>
              <w:rPr>
                <w:sz w:val="20"/>
                <w:szCs w:val="20"/>
                <w:color w:val="auto"/>
              </w:rPr>
            </w:pPr>
            <w:r>
              <w:rPr>
                <w:rFonts w:ascii="Arial" w:cs="Arial" w:eastAsia="Arial" w:hAnsi="Arial"/>
                <w:sz w:val="14"/>
                <w:szCs w:val="14"/>
                <w:b w:val="1"/>
                <w:bCs w:val="1"/>
                <w:color w:val="55565A"/>
              </w:rPr>
              <w:t>Depreciation</w:t>
            </w:r>
          </w:p>
        </w:tc>
        <w:tc>
          <w:tcPr>
            <w:tcW w:w="2800" w:type="dxa"/>
            <w:vAlign w:val="bottom"/>
            <w:shd w:val="clear" w:color="auto" w:fill="CCEEFF"/>
          </w:tcPr>
          <w:p>
            <w:pPr>
              <w:jc w:val="right"/>
              <w:ind w:right="289"/>
              <w:spacing w:after="0" w:line="154" w:lineRule="exact"/>
              <w:rPr>
                <w:sz w:val="20"/>
                <w:szCs w:val="20"/>
                <w:color w:val="auto"/>
              </w:rPr>
            </w:pPr>
            <w:r>
              <w:rPr>
                <w:rFonts w:ascii="Arial" w:cs="Arial" w:eastAsia="Arial" w:hAnsi="Arial"/>
                <w:sz w:val="14"/>
                <w:szCs w:val="14"/>
                <w:b w:val="1"/>
                <w:bCs w:val="1"/>
                <w:color w:val="55565A"/>
              </w:rPr>
              <w:t>28</w:t>
            </w:r>
          </w:p>
        </w:tc>
        <w:tc>
          <w:tcPr>
            <w:tcW w:w="1180" w:type="dxa"/>
            <w:vAlign w:val="bottom"/>
            <w:shd w:val="clear" w:color="auto" w:fill="CCEEFF"/>
          </w:tcPr>
          <w:p>
            <w:pPr>
              <w:jc w:val="right"/>
              <w:ind w:right="429"/>
              <w:spacing w:after="0" w:line="154" w:lineRule="exact"/>
              <w:rPr>
                <w:sz w:val="20"/>
                <w:szCs w:val="20"/>
                <w:color w:val="auto"/>
              </w:rPr>
            </w:pPr>
            <w:r>
              <w:rPr>
                <w:rFonts w:ascii="Arial" w:cs="Arial" w:eastAsia="Arial" w:hAnsi="Arial"/>
                <w:sz w:val="14"/>
                <w:szCs w:val="14"/>
                <w:color w:val="55565A"/>
              </w:rPr>
              <w:t>30</w:t>
            </w:r>
          </w:p>
        </w:tc>
        <w:tc>
          <w:tcPr>
            <w:tcW w:w="1300" w:type="dxa"/>
            <w:vAlign w:val="bottom"/>
            <w:shd w:val="clear" w:color="auto" w:fill="CCEEFF"/>
          </w:tcPr>
          <w:p>
            <w:pPr>
              <w:jc w:val="right"/>
              <w:ind w:right="229"/>
              <w:spacing w:after="0" w:line="154" w:lineRule="exact"/>
              <w:rPr>
                <w:sz w:val="20"/>
                <w:szCs w:val="20"/>
                <w:color w:val="auto"/>
              </w:rPr>
            </w:pPr>
            <w:r>
              <w:rPr>
                <w:rFonts w:ascii="Arial" w:cs="Arial" w:eastAsia="Arial" w:hAnsi="Arial"/>
                <w:sz w:val="14"/>
                <w:szCs w:val="14"/>
                <w:color w:val="55565A"/>
              </w:rPr>
              <w:t>(4%)</w:t>
            </w:r>
          </w:p>
        </w:tc>
      </w:tr>
      <w:tr>
        <w:trPr>
          <w:trHeight w:val="160"/>
        </w:trPr>
        <w:tc>
          <w:tcPr>
            <w:tcW w:w="5640" w:type="dxa"/>
            <w:vAlign w:val="bottom"/>
          </w:tcPr>
          <w:p>
            <w:pPr>
              <w:ind w:left="120"/>
              <w:spacing w:after="0"/>
              <w:rPr>
                <w:sz w:val="20"/>
                <w:szCs w:val="20"/>
                <w:color w:val="auto"/>
              </w:rPr>
            </w:pPr>
            <w:r>
              <w:rPr>
                <w:rFonts w:ascii="Arial" w:cs="Arial" w:eastAsia="Arial" w:hAnsi="Arial"/>
                <w:sz w:val="14"/>
                <w:szCs w:val="14"/>
                <w:b w:val="1"/>
                <w:bCs w:val="1"/>
                <w:color w:val="55565A"/>
              </w:rPr>
              <w:t>Amortization of computer software</w:t>
            </w:r>
          </w:p>
        </w:tc>
        <w:tc>
          <w:tcPr>
            <w:tcW w:w="2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0"/>
        </w:trPr>
        <w:tc>
          <w:tcPr>
            <w:tcW w:w="56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55565A"/>
              </w:rPr>
              <w:t>Internally developed</w:t>
            </w:r>
          </w:p>
        </w:tc>
        <w:tc>
          <w:tcPr>
            <w:tcW w:w="280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115</w:t>
            </w:r>
          </w:p>
        </w:tc>
        <w:tc>
          <w:tcPr>
            <w:tcW w:w="11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55565A"/>
              </w:rPr>
              <w:t>111</w:t>
            </w:r>
          </w:p>
        </w:tc>
        <w:tc>
          <w:tcPr>
            <w:tcW w:w="13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3%</w:t>
            </w:r>
          </w:p>
        </w:tc>
      </w:tr>
      <w:tr>
        <w:trPr>
          <w:trHeight w:val="160"/>
        </w:trPr>
        <w:tc>
          <w:tcPr>
            <w:tcW w:w="5640" w:type="dxa"/>
            <w:vAlign w:val="bottom"/>
            <w:tcBorders>
              <w:bottom w:val="single" w:sz="8" w:color="88888B"/>
            </w:tcBorders>
          </w:tcPr>
          <w:p>
            <w:pPr>
              <w:ind w:left="180"/>
              <w:spacing w:after="0"/>
              <w:rPr>
                <w:sz w:val="20"/>
                <w:szCs w:val="20"/>
                <w:color w:val="auto"/>
              </w:rPr>
            </w:pPr>
            <w:r>
              <w:rPr>
                <w:rFonts w:ascii="Arial" w:cs="Arial" w:eastAsia="Arial" w:hAnsi="Arial"/>
                <w:sz w:val="14"/>
                <w:szCs w:val="14"/>
                <w:b w:val="1"/>
                <w:bCs w:val="1"/>
                <w:color w:val="55565A"/>
              </w:rPr>
              <w:t>Acquisition-related</w:t>
            </w:r>
          </w:p>
        </w:tc>
        <w:tc>
          <w:tcPr>
            <w:tcW w:w="280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b w:val="1"/>
                <w:bCs w:val="1"/>
                <w:color w:val="55565A"/>
              </w:rPr>
              <w:t>38</w:t>
            </w:r>
          </w:p>
        </w:tc>
        <w:tc>
          <w:tcPr>
            <w:tcW w:w="1180" w:type="dxa"/>
            <w:vAlign w:val="bottom"/>
            <w:tcBorders>
              <w:bottom w:val="single" w:sz="8" w:color="88888B"/>
            </w:tcBorders>
          </w:tcPr>
          <w:p>
            <w:pPr>
              <w:jc w:val="right"/>
              <w:ind w:right="429"/>
              <w:spacing w:after="0"/>
              <w:rPr>
                <w:sz w:val="20"/>
                <w:szCs w:val="20"/>
                <w:color w:val="auto"/>
              </w:rPr>
            </w:pPr>
            <w:r>
              <w:rPr>
                <w:rFonts w:ascii="Arial" w:cs="Arial" w:eastAsia="Arial" w:hAnsi="Arial"/>
                <w:sz w:val="14"/>
                <w:szCs w:val="14"/>
                <w:color w:val="55565A"/>
              </w:rPr>
              <w:t>7</w:t>
            </w:r>
          </w:p>
        </w:tc>
        <w:tc>
          <w:tcPr>
            <w:tcW w:w="130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454%</w:t>
            </w:r>
          </w:p>
        </w:tc>
      </w:tr>
      <w:tr>
        <w:trPr>
          <w:trHeight w:val="154"/>
        </w:trPr>
        <w:tc>
          <w:tcPr>
            <w:tcW w:w="5640" w:type="dxa"/>
            <w:vAlign w:val="bottom"/>
            <w:tcBorders>
              <w:bottom w:val="single" w:sz="8" w:color="88888B"/>
            </w:tcBorders>
            <w:shd w:val="clear" w:color="auto" w:fill="CCEEFF"/>
          </w:tcPr>
          <w:p>
            <w:pPr>
              <w:ind w:left="120"/>
              <w:spacing w:after="0" w:line="154" w:lineRule="exact"/>
              <w:rPr>
                <w:sz w:val="20"/>
                <w:szCs w:val="20"/>
                <w:color w:val="auto"/>
              </w:rPr>
            </w:pPr>
            <w:r>
              <w:rPr>
                <w:rFonts w:ascii="Arial" w:cs="Arial" w:eastAsia="Arial" w:hAnsi="Arial"/>
                <w:sz w:val="14"/>
                <w:szCs w:val="14"/>
                <w:b w:val="1"/>
                <w:bCs w:val="1"/>
                <w:color w:val="55565A"/>
              </w:rPr>
              <w:t>Total amortization of computer software</w:t>
            </w:r>
          </w:p>
        </w:tc>
        <w:tc>
          <w:tcPr>
            <w:tcW w:w="2800" w:type="dxa"/>
            <w:vAlign w:val="bottom"/>
            <w:tcBorders>
              <w:bottom w:val="single" w:sz="8" w:color="88888B"/>
            </w:tcBorders>
            <w:shd w:val="clear" w:color="auto" w:fill="CCEEFF"/>
          </w:tcPr>
          <w:p>
            <w:pPr>
              <w:jc w:val="right"/>
              <w:ind w:right="289"/>
              <w:spacing w:after="0" w:line="154" w:lineRule="exact"/>
              <w:rPr>
                <w:sz w:val="20"/>
                <w:szCs w:val="20"/>
                <w:color w:val="auto"/>
              </w:rPr>
            </w:pPr>
            <w:r>
              <w:rPr>
                <w:rFonts w:ascii="Arial" w:cs="Arial" w:eastAsia="Arial" w:hAnsi="Arial"/>
                <w:sz w:val="14"/>
                <w:szCs w:val="14"/>
                <w:b w:val="1"/>
                <w:bCs w:val="1"/>
                <w:color w:val="55565A"/>
              </w:rPr>
              <w:t>153</w:t>
            </w:r>
          </w:p>
        </w:tc>
        <w:tc>
          <w:tcPr>
            <w:tcW w:w="1180" w:type="dxa"/>
            <w:vAlign w:val="bottom"/>
            <w:tcBorders>
              <w:bottom w:val="single" w:sz="8" w:color="88888B"/>
            </w:tcBorders>
            <w:shd w:val="clear" w:color="auto" w:fill="CCEEFF"/>
          </w:tcPr>
          <w:p>
            <w:pPr>
              <w:jc w:val="right"/>
              <w:ind w:right="429"/>
              <w:spacing w:after="0" w:line="154" w:lineRule="exact"/>
              <w:rPr>
                <w:sz w:val="20"/>
                <w:szCs w:val="20"/>
                <w:color w:val="auto"/>
              </w:rPr>
            </w:pPr>
            <w:r>
              <w:rPr>
                <w:rFonts w:ascii="Arial" w:cs="Arial" w:eastAsia="Arial" w:hAnsi="Arial"/>
                <w:sz w:val="14"/>
                <w:szCs w:val="14"/>
                <w:color w:val="55565A"/>
              </w:rPr>
              <w:t>118</w:t>
            </w:r>
          </w:p>
        </w:tc>
        <w:tc>
          <w:tcPr>
            <w:tcW w:w="1300" w:type="dxa"/>
            <w:vAlign w:val="bottom"/>
            <w:tcBorders>
              <w:bottom w:val="single" w:sz="8" w:color="88888B"/>
            </w:tcBorders>
            <w:shd w:val="clear" w:color="auto" w:fill="CCEEFF"/>
          </w:tcPr>
          <w:p>
            <w:pPr>
              <w:jc w:val="right"/>
              <w:ind w:right="229"/>
              <w:spacing w:after="0" w:line="154" w:lineRule="exact"/>
              <w:rPr>
                <w:sz w:val="20"/>
                <w:szCs w:val="20"/>
                <w:color w:val="auto"/>
              </w:rPr>
            </w:pPr>
            <w:r>
              <w:rPr>
                <w:rFonts w:ascii="Arial" w:cs="Arial" w:eastAsia="Arial" w:hAnsi="Arial"/>
                <w:sz w:val="14"/>
                <w:szCs w:val="14"/>
                <w:color w:val="55565A"/>
              </w:rPr>
              <w:t>29%</w:t>
            </w:r>
          </w:p>
        </w:tc>
      </w:tr>
      <w:tr>
        <w:trPr>
          <w:trHeight w:val="154"/>
        </w:trPr>
        <w:tc>
          <w:tcPr>
            <w:tcW w:w="5640" w:type="dxa"/>
            <w:vAlign w:val="bottom"/>
            <w:tcBorders>
              <w:bottom w:val="single" w:sz="8" w:color="88888B"/>
            </w:tcBorders>
          </w:tcPr>
          <w:p>
            <w:pPr>
              <w:ind w:left="120"/>
              <w:spacing w:after="0" w:line="154" w:lineRule="exact"/>
              <w:rPr>
                <w:sz w:val="20"/>
                <w:szCs w:val="20"/>
                <w:color w:val="auto"/>
              </w:rPr>
            </w:pPr>
            <w:r>
              <w:rPr>
                <w:rFonts w:ascii="Arial" w:cs="Arial" w:eastAsia="Arial" w:hAnsi="Arial"/>
                <w:sz w:val="14"/>
                <w:szCs w:val="14"/>
                <w:b w:val="1"/>
                <w:bCs w:val="1"/>
                <w:color w:val="55565A"/>
              </w:rPr>
              <w:t>Amortization of other identifiable intangible assets</w:t>
            </w:r>
          </w:p>
        </w:tc>
        <w:tc>
          <w:tcPr>
            <w:tcW w:w="2800" w:type="dxa"/>
            <w:vAlign w:val="bottom"/>
            <w:tcBorders>
              <w:bottom w:val="single" w:sz="8" w:color="88888B"/>
            </w:tcBorders>
          </w:tcPr>
          <w:p>
            <w:pPr>
              <w:jc w:val="right"/>
              <w:ind w:right="289"/>
              <w:spacing w:after="0" w:line="154" w:lineRule="exact"/>
              <w:rPr>
                <w:sz w:val="20"/>
                <w:szCs w:val="20"/>
                <w:color w:val="auto"/>
              </w:rPr>
            </w:pPr>
            <w:r>
              <w:rPr>
                <w:rFonts w:ascii="Arial" w:cs="Arial" w:eastAsia="Arial" w:hAnsi="Arial"/>
                <w:sz w:val="14"/>
                <w:szCs w:val="14"/>
                <w:b w:val="1"/>
                <w:bCs w:val="1"/>
                <w:color w:val="55565A"/>
              </w:rPr>
              <w:t>25</w:t>
            </w:r>
          </w:p>
        </w:tc>
        <w:tc>
          <w:tcPr>
            <w:tcW w:w="1180" w:type="dxa"/>
            <w:vAlign w:val="bottom"/>
            <w:tcBorders>
              <w:bottom w:val="single" w:sz="8" w:color="88888B"/>
            </w:tcBorders>
          </w:tcPr>
          <w:p>
            <w:pPr>
              <w:jc w:val="right"/>
              <w:ind w:right="429"/>
              <w:spacing w:after="0" w:line="154" w:lineRule="exact"/>
              <w:rPr>
                <w:sz w:val="20"/>
                <w:szCs w:val="20"/>
                <w:color w:val="auto"/>
              </w:rPr>
            </w:pPr>
            <w:r>
              <w:rPr>
                <w:rFonts w:ascii="Arial" w:cs="Arial" w:eastAsia="Arial" w:hAnsi="Arial"/>
                <w:sz w:val="14"/>
                <w:szCs w:val="14"/>
                <w:color w:val="55565A"/>
              </w:rPr>
              <w:t>25</w:t>
            </w:r>
          </w:p>
        </w:tc>
        <w:tc>
          <w:tcPr>
            <w:tcW w:w="1300" w:type="dxa"/>
            <w:vAlign w:val="bottom"/>
            <w:tcBorders>
              <w:bottom w:val="single" w:sz="8" w:color="88888B"/>
            </w:tcBorders>
          </w:tcPr>
          <w:p>
            <w:pPr>
              <w:jc w:val="right"/>
              <w:ind w:right="229"/>
              <w:spacing w:after="0" w:line="154" w:lineRule="exact"/>
              <w:rPr>
                <w:sz w:val="20"/>
                <w:szCs w:val="20"/>
                <w:color w:val="auto"/>
              </w:rPr>
            </w:pPr>
            <w:r>
              <w:rPr>
                <w:rFonts w:ascii="Arial" w:cs="Arial" w:eastAsia="Arial" w:hAnsi="Arial"/>
                <w:sz w:val="14"/>
                <w:szCs w:val="14"/>
                <w:color w:val="55565A"/>
              </w:rPr>
              <w:t>(1%)</w:t>
            </w:r>
          </w:p>
        </w:tc>
      </w:tr>
    </w:tbl>
    <w:p>
      <w:pPr>
        <w:spacing w:after="0" w:line="106" w:lineRule="exact"/>
        <w:rPr>
          <w:sz w:val="20"/>
          <w:szCs w:val="20"/>
          <w:color w:val="auto"/>
        </w:rPr>
      </w:pPr>
    </w:p>
    <w:p>
      <w:pPr>
        <w:sectPr>
          <w:pgSz w:w="11900" w:h="16838" w:orient="portrait"/>
          <w:cols w:equalWidth="0" w:num="1">
            <w:col w:w="11080"/>
          </w:cols>
          <w:pgMar w:left="320" w:top="454" w:right="499" w:bottom="1440" w:gutter="0" w:footer="0" w:header="0"/>
        </w:sectPr>
      </w:pP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55565A"/>
        </w:rPr>
        <w:t>Depreciation decreased due to the completion of depreciation of assets acquired in previous years.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55565A"/>
        </w:rPr>
        <w:t>Total amortization of computer software increased due to acquisitions.</w:t>
      </w:r>
    </w:p>
    <w:p>
      <w:pPr>
        <w:spacing w:after="0" w:line="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55565A"/>
        </w:rPr>
        <w:t>Amortization of other identifiable intangible assets were essentially unchanged as higher expenses associated with recent acquisitions were offset by the completion of amortization of assets acquired in previous years.</w:t>
      </w:r>
    </w:p>
    <w:p>
      <w:pPr>
        <w:spacing w:after="0" w:line="70" w:lineRule="exact"/>
        <w:rPr>
          <w:sz w:val="20"/>
          <w:szCs w:val="20"/>
          <w:color w:val="auto"/>
        </w:rPr>
      </w:pPr>
    </w:p>
    <w:p>
      <w:pPr>
        <w:sectPr>
          <w:pgSz w:w="11900" w:h="16838" w:orient="portrait"/>
          <w:cols w:equalWidth="0" w:num="2">
            <w:col w:w="220" w:space="260"/>
            <w:col w:w="1060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16"/>
          <w:szCs w:val="16"/>
          <w:b w:val="1"/>
          <w:bCs w:val="1"/>
          <w:color w:val="55565A"/>
        </w:rPr>
        <w:t>Other operating (losses) gains,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720" w:type="dxa"/>
            <w:vAlign w:val="bottom"/>
            <w:gridSpan w:val="2"/>
          </w:tcPr>
          <w:p>
            <w:pPr>
              <w:jc w:val="right"/>
              <w:ind w:right="698"/>
              <w:spacing w:after="0"/>
              <w:rPr>
                <w:sz w:val="20"/>
                <w:szCs w:val="20"/>
                <w:color w:val="auto"/>
              </w:rPr>
            </w:pPr>
            <w:r>
              <w:rPr>
                <w:rFonts w:ascii="Arial" w:cs="Arial" w:eastAsia="Arial" w:hAnsi="Arial"/>
                <w:sz w:val="12"/>
                <w:szCs w:val="12"/>
                <w:b w:val="1"/>
                <w:bCs w:val="1"/>
                <w:color w:val="55565A"/>
              </w:rPr>
              <w:t>Three months ended March 31,</w:t>
            </w:r>
          </w:p>
        </w:tc>
      </w:tr>
      <w:tr>
        <w:trPr>
          <w:trHeight w:val="214"/>
        </w:trPr>
        <w:tc>
          <w:tcPr>
            <w:tcW w:w="5200" w:type="dxa"/>
            <w:vAlign w:val="bottom"/>
            <w:gridSpan w:val="2"/>
          </w:tcPr>
          <w:p>
            <w:pPr>
              <w:spacing w:after="0"/>
              <w:rPr>
                <w:sz w:val="20"/>
                <w:szCs w:val="20"/>
                <w:color w:val="auto"/>
              </w:rPr>
            </w:pPr>
            <w:r>
              <w:rPr>
                <w:rFonts w:ascii="Arial" w:cs="Arial" w:eastAsia="Arial" w:hAnsi="Arial"/>
                <w:sz w:val="12"/>
                <w:szCs w:val="12"/>
                <w:color w:val="55565A"/>
              </w:rPr>
              <w:t>(millions of U.S. dollars)</w:t>
            </w:r>
          </w:p>
        </w:tc>
        <w:tc>
          <w:tcPr>
            <w:tcW w:w="4160" w:type="dxa"/>
            <w:vAlign w:val="bottom"/>
          </w:tcPr>
          <w:p>
            <w:pPr>
              <w:jc w:val="right"/>
              <w:ind w:right="698"/>
              <w:spacing w:after="0"/>
              <w:rPr>
                <w:sz w:val="20"/>
                <w:szCs w:val="20"/>
                <w:color w:val="auto"/>
              </w:rPr>
            </w:pPr>
            <w:r>
              <w:rPr>
                <w:rFonts w:ascii="Arial" w:cs="Arial" w:eastAsia="Arial" w:hAnsi="Arial"/>
                <w:sz w:val="12"/>
                <w:szCs w:val="12"/>
                <w:b w:val="1"/>
                <w:bCs w:val="1"/>
                <w:color w:val="55565A"/>
              </w:rPr>
              <w:t>2024</w:t>
            </w:r>
          </w:p>
        </w:tc>
        <w:tc>
          <w:tcPr>
            <w:tcW w:w="1560" w:type="dxa"/>
            <w:vAlign w:val="bottom"/>
          </w:tcPr>
          <w:p>
            <w:pPr>
              <w:jc w:val="right"/>
              <w:ind w:right="458"/>
              <w:spacing w:after="0"/>
              <w:rPr>
                <w:sz w:val="20"/>
                <w:szCs w:val="20"/>
                <w:color w:val="auto"/>
              </w:rPr>
            </w:pPr>
            <w:r>
              <w:rPr>
                <w:rFonts w:ascii="Arial" w:cs="Arial" w:eastAsia="Arial" w:hAnsi="Arial"/>
                <w:sz w:val="12"/>
                <w:szCs w:val="12"/>
                <w:color w:val="55565A"/>
              </w:rPr>
              <w:t>2023</w:t>
            </w:r>
          </w:p>
        </w:tc>
      </w:tr>
      <w:tr>
        <w:trPr>
          <w:trHeight w:val="34"/>
        </w:trPr>
        <w:tc>
          <w:tcPr>
            <w:tcW w:w="20" w:type="dxa"/>
            <w:vAlign w:val="bottom"/>
          </w:tcPr>
          <w:p>
            <w:pPr>
              <w:spacing w:after="0"/>
              <w:rPr>
                <w:sz w:val="2"/>
                <w:szCs w:val="2"/>
                <w:color w:val="auto"/>
              </w:rPr>
            </w:pPr>
          </w:p>
        </w:tc>
        <w:tc>
          <w:tcPr>
            <w:tcW w:w="5180" w:type="dxa"/>
            <w:vAlign w:val="bottom"/>
            <w:tcBorders>
              <w:bottom w:val="single" w:sz="8" w:color="88888B"/>
            </w:tcBorders>
          </w:tcPr>
          <w:p>
            <w:pPr>
              <w:spacing w:after="0"/>
              <w:rPr>
                <w:sz w:val="2"/>
                <w:szCs w:val="2"/>
                <w:color w:val="auto"/>
              </w:rPr>
            </w:pPr>
          </w:p>
        </w:tc>
        <w:tc>
          <w:tcPr>
            <w:tcW w:w="4160" w:type="dxa"/>
            <w:vAlign w:val="bottom"/>
            <w:tcBorders>
              <w:bottom w:val="single" w:sz="8" w:color="88888B"/>
            </w:tcBorders>
          </w:tcPr>
          <w:p>
            <w:pPr>
              <w:spacing w:after="0"/>
              <w:rPr>
                <w:sz w:val="2"/>
                <w:szCs w:val="2"/>
                <w:color w:val="auto"/>
              </w:rPr>
            </w:pPr>
          </w:p>
        </w:tc>
        <w:tc>
          <w:tcPr>
            <w:tcW w:w="1560" w:type="dxa"/>
            <w:vAlign w:val="bottom"/>
            <w:tcBorders>
              <w:bottom w:val="single" w:sz="8" w:color="88888B"/>
            </w:tcBorders>
          </w:tcPr>
          <w:p>
            <w:pPr>
              <w:spacing w:after="0"/>
              <w:rPr>
                <w:sz w:val="2"/>
                <w:szCs w:val="2"/>
                <w:color w:val="auto"/>
              </w:rPr>
            </w:pPr>
          </w:p>
        </w:tc>
      </w:tr>
      <w:tr>
        <w:trPr>
          <w:trHeight w:val="127"/>
        </w:trPr>
        <w:tc>
          <w:tcPr>
            <w:tcW w:w="20" w:type="dxa"/>
            <w:vAlign w:val="bottom"/>
          </w:tcPr>
          <w:p>
            <w:pPr>
              <w:spacing w:after="0"/>
              <w:rPr>
                <w:sz w:val="11"/>
                <w:szCs w:val="11"/>
                <w:color w:val="auto"/>
              </w:rPr>
            </w:pPr>
          </w:p>
        </w:tc>
        <w:tc>
          <w:tcPr>
            <w:tcW w:w="5180" w:type="dxa"/>
            <w:vAlign w:val="bottom"/>
            <w:tcBorders>
              <w:bottom w:val="single" w:sz="8" w:color="88888B"/>
            </w:tcBorders>
            <w:shd w:val="clear" w:color="auto" w:fill="CCEEFF"/>
          </w:tcPr>
          <w:p>
            <w:pPr>
              <w:spacing w:after="0" w:line="128" w:lineRule="exact"/>
              <w:rPr>
                <w:sz w:val="20"/>
                <w:szCs w:val="20"/>
                <w:color w:val="auto"/>
              </w:rPr>
            </w:pPr>
            <w:r>
              <w:rPr>
                <w:rFonts w:ascii="Arial" w:cs="Arial" w:eastAsia="Arial" w:hAnsi="Arial"/>
                <w:sz w:val="12"/>
                <w:szCs w:val="12"/>
                <w:b w:val="1"/>
                <w:bCs w:val="1"/>
                <w:color w:val="55565A"/>
              </w:rPr>
              <w:t>Other operating (losses) gains, net</w:t>
            </w:r>
          </w:p>
        </w:tc>
        <w:tc>
          <w:tcPr>
            <w:tcW w:w="4160" w:type="dxa"/>
            <w:vAlign w:val="bottom"/>
            <w:tcBorders>
              <w:bottom w:val="single" w:sz="8" w:color="88888B"/>
            </w:tcBorders>
            <w:shd w:val="clear" w:color="auto" w:fill="CCEEFF"/>
          </w:tcPr>
          <w:p>
            <w:pPr>
              <w:jc w:val="right"/>
              <w:ind w:right="698"/>
              <w:spacing w:after="0" w:line="128" w:lineRule="exact"/>
              <w:rPr>
                <w:sz w:val="20"/>
                <w:szCs w:val="20"/>
                <w:color w:val="auto"/>
              </w:rPr>
            </w:pPr>
            <w:r>
              <w:rPr>
                <w:rFonts w:ascii="Arial" w:cs="Arial" w:eastAsia="Arial" w:hAnsi="Arial"/>
                <w:sz w:val="12"/>
                <w:szCs w:val="12"/>
                <w:b w:val="1"/>
                <w:bCs w:val="1"/>
                <w:color w:val="55565A"/>
              </w:rPr>
              <w:t>(41)</w:t>
            </w:r>
          </w:p>
        </w:tc>
        <w:tc>
          <w:tcPr>
            <w:tcW w:w="1560" w:type="dxa"/>
            <w:vAlign w:val="bottom"/>
            <w:tcBorders>
              <w:bottom w:val="single" w:sz="8" w:color="88888B"/>
            </w:tcBorders>
            <w:shd w:val="clear" w:color="auto" w:fill="CCEEFF"/>
          </w:tcPr>
          <w:p>
            <w:pPr>
              <w:jc w:val="right"/>
              <w:ind w:right="458"/>
              <w:spacing w:after="0" w:line="128" w:lineRule="exact"/>
              <w:rPr>
                <w:sz w:val="20"/>
                <w:szCs w:val="20"/>
                <w:color w:val="auto"/>
              </w:rPr>
            </w:pPr>
            <w:r>
              <w:rPr>
                <w:rFonts w:ascii="Arial" w:cs="Arial" w:eastAsia="Arial" w:hAnsi="Arial"/>
                <w:sz w:val="12"/>
                <w:szCs w:val="12"/>
                <w:color w:val="55565A"/>
              </w:rPr>
              <w:t>17</w:t>
            </w:r>
          </w:p>
        </w:tc>
      </w:tr>
    </w:tbl>
    <w:p>
      <w:pPr>
        <w:spacing w:after="0" w:line="93" w:lineRule="exact"/>
        <w:rPr>
          <w:sz w:val="20"/>
          <w:szCs w:val="20"/>
          <w:color w:val="auto"/>
        </w:rPr>
      </w:pPr>
    </w:p>
    <w:p>
      <w:pPr>
        <w:jc w:val="both"/>
        <w:ind w:left="160" w:right="160"/>
        <w:spacing w:after="0" w:line="279" w:lineRule="auto"/>
        <w:rPr>
          <w:sz w:val="20"/>
          <w:szCs w:val="20"/>
          <w:color w:val="auto"/>
        </w:rPr>
      </w:pPr>
      <w:r>
        <w:rPr>
          <w:rFonts w:ascii="Arial" w:cs="Arial" w:eastAsia="Arial" w:hAnsi="Arial"/>
          <w:sz w:val="16"/>
          <w:szCs w:val="16"/>
          <w:color w:val="55565A"/>
        </w:rPr>
        <w:t>In the first quarter of 2024, net other operating losses included acquisition-related deal costs and costs related to a legal provision. In the first quarter of 2023, net other operating gains included a $23 million gain on the sale of a wholly-owned Canadian subsidiary to a company affiliated with Woodbridge.</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Net interest expense</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00" w:type="dxa"/>
            <w:vAlign w:val="bottom"/>
            <w:tcBorders>
              <w:top w:val="single" w:sz="8" w:color="88888B"/>
            </w:tcBorders>
          </w:tcPr>
          <w:p>
            <w:pPr>
              <w:spacing w:after="0"/>
              <w:rPr>
                <w:sz w:val="16"/>
                <w:szCs w:val="16"/>
                <w:color w:val="auto"/>
              </w:rPr>
            </w:pPr>
          </w:p>
        </w:tc>
        <w:tc>
          <w:tcPr>
            <w:tcW w:w="3600" w:type="dxa"/>
            <w:vAlign w:val="bottom"/>
            <w:tcBorders>
              <w:top w:val="single" w:sz="8" w:color="88888B"/>
            </w:tcBorders>
          </w:tcPr>
          <w:p>
            <w:pPr>
              <w:spacing w:after="0"/>
              <w:rPr>
                <w:sz w:val="16"/>
                <w:szCs w:val="16"/>
                <w:color w:val="auto"/>
              </w:rPr>
            </w:pPr>
          </w:p>
        </w:tc>
        <w:tc>
          <w:tcPr>
            <w:tcW w:w="2700" w:type="dxa"/>
            <w:vAlign w:val="bottom"/>
            <w:tcBorders>
              <w:top w:val="single" w:sz="8" w:color="88888B"/>
            </w:tcBorders>
            <w:gridSpan w:val="2"/>
          </w:tcPr>
          <w:p>
            <w:pPr>
              <w:jc w:val="right"/>
              <w:ind w:right="778"/>
              <w:spacing w:after="0"/>
              <w:rPr>
                <w:sz w:val="20"/>
                <w:szCs w:val="20"/>
                <w:color w:val="auto"/>
              </w:rPr>
            </w:pPr>
            <w:r>
              <w:rPr>
                <w:rFonts w:ascii="Arial" w:cs="Arial" w:eastAsia="Arial" w:hAnsi="Arial"/>
                <w:sz w:val="12"/>
                <w:szCs w:val="12"/>
                <w:b w:val="1"/>
                <w:bCs w:val="1"/>
                <w:color w:val="55565A"/>
              </w:rPr>
              <w:t>Three months ended March 31,</w:t>
            </w:r>
          </w:p>
        </w:tc>
      </w:tr>
      <w:tr>
        <w:trPr>
          <w:trHeight w:val="209"/>
        </w:trPr>
        <w:tc>
          <w:tcPr>
            <w:tcW w:w="4620" w:type="dxa"/>
            <w:vAlign w:val="bottom"/>
            <w:gridSpan w:val="2"/>
          </w:tcPr>
          <w:p>
            <w:pPr>
              <w:spacing w:after="0"/>
              <w:rPr>
                <w:sz w:val="20"/>
                <w:szCs w:val="20"/>
                <w:color w:val="auto"/>
              </w:rPr>
            </w:pPr>
            <w:r>
              <w:rPr>
                <w:rFonts w:ascii="Arial" w:cs="Arial" w:eastAsia="Arial" w:hAnsi="Arial"/>
                <w:sz w:val="12"/>
                <w:szCs w:val="12"/>
                <w:color w:val="55565A"/>
              </w:rPr>
              <w:t>(millions of U.S. dollars)</w:t>
            </w:r>
          </w:p>
        </w:tc>
        <w:tc>
          <w:tcPr>
            <w:tcW w:w="3600" w:type="dxa"/>
            <w:vAlign w:val="bottom"/>
          </w:tcPr>
          <w:p>
            <w:pPr>
              <w:jc w:val="right"/>
              <w:spacing w:after="0"/>
              <w:rPr>
                <w:sz w:val="20"/>
                <w:szCs w:val="20"/>
                <w:color w:val="auto"/>
              </w:rPr>
            </w:pPr>
            <w:r>
              <w:rPr>
                <w:rFonts w:ascii="Arial" w:cs="Arial" w:eastAsia="Arial" w:hAnsi="Arial"/>
                <w:sz w:val="12"/>
                <w:szCs w:val="12"/>
                <w:b w:val="1"/>
                <w:bCs w:val="1"/>
                <w:color w:val="55565A"/>
              </w:rPr>
              <w:t>2024</w:t>
            </w:r>
          </w:p>
        </w:tc>
        <w:tc>
          <w:tcPr>
            <w:tcW w:w="1400" w:type="dxa"/>
            <w:vAlign w:val="bottom"/>
          </w:tcPr>
          <w:p>
            <w:pPr>
              <w:jc w:val="right"/>
              <w:ind w:right="398"/>
              <w:spacing w:after="0"/>
              <w:rPr>
                <w:sz w:val="20"/>
                <w:szCs w:val="20"/>
                <w:color w:val="auto"/>
              </w:rPr>
            </w:pPr>
            <w:r>
              <w:rPr>
                <w:rFonts w:ascii="Arial" w:cs="Arial" w:eastAsia="Arial" w:hAnsi="Arial"/>
                <w:sz w:val="12"/>
                <w:szCs w:val="12"/>
                <w:color w:val="55565A"/>
              </w:rPr>
              <w:t>2023</w:t>
            </w:r>
          </w:p>
        </w:tc>
        <w:tc>
          <w:tcPr>
            <w:tcW w:w="1300" w:type="dxa"/>
            <w:vAlign w:val="bottom"/>
          </w:tcPr>
          <w:p>
            <w:pPr>
              <w:jc w:val="right"/>
              <w:ind w:right="358"/>
              <w:spacing w:after="0"/>
              <w:rPr>
                <w:sz w:val="20"/>
                <w:szCs w:val="20"/>
                <w:color w:val="auto"/>
              </w:rPr>
            </w:pPr>
            <w:r>
              <w:rPr>
                <w:rFonts w:ascii="Arial" w:cs="Arial" w:eastAsia="Arial" w:hAnsi="Arial"/>
                <w:sz w:val="12"/>
                <w:szCs w:val="12"/>
                <w:color w:val="55565A"/>
              </w:rPr>
              <w:t>Change</w:t>
            </w:r>
          </w:p>
        </w:tc>
      </w:tr>
      <w:tr>
        <w:trPr>
          <w:trHeight w:val="34"/>
        </w:trPr>
        <w:tc>
          <w:tcPr>
            <w:tcW w:w="20" w:type="dxa"/>
            <w:vAlign w:val="bottom"/>
          </w:tcPr>
          <w:p>
            <w:pPr>
              <w:spacing w:after="0"/>
              <w:rPr>
                <w:sz w:val="2"/>
                <w:szCs w:val="2"/>
                <w:color w:val="auto"/>
              </w:rPr>
            </w:pPr>
          </w:p>
        </w:tc>
        <w:tc>
          <w:tcPr>
            <w:tcW w:w="4600" w:type="dxa"/>
            <w:vAlign w:val="bottom"/>
            <w:tcBorders>
              <w:bottom w:val="single" w:sz="8" w:color="88888B"/>
            </w:tcBorders>
          </w:tcPr>
          <w:p>
            <w:pPr>
              <w:spacing w:after="0"/>
              <w:rPr>
                <w:sz w:val="2"/>
                <w:szCs w:val="2"/>
                <w:color w:val="auto"/>
              </w:rPr>
            </w:pPr>
          </w:p>
        </w:tc>
        <w:tc>
          <w:tcPr>
            <w:tcW w:w="3600" w:type="dxa"/>
            <w:vAlign w:val="bottom"/>
            <w:tcBorders>
              <w:bottom w:val="single" w:sz="8" w:color="88888B"/>
            </w:tcBorders>
          </w:tcPr>
          <w:p>
            <w:pPr>
              <w:spacing w:after="0"/>
              <w:rPr>
                <w:sz w:val="2"/>
                <w:szCs w:val="2"/>
                <w:color w:val="auto"/>
              </w:rPr>
            </w:pPr>
          </w:p>
        </w:tc>
        <w:tc>
          <w:tcPr>
            <w:tcW w:w="1400" w:type="dxa"/>
            <w:vAlign w:val="bottom"/>
            <w:tcBorders>
              <w:bottom w:val="single" w:sz="8" w:color="88888B"/>
            </w:tcBorders>
          </w:tcPr>
          <w:p>
            <w:pPr>
              <w:spacing w:after="0"/>
              <w:rPr>
                <w:sz w:val="2"/>
                <w:szCs w:val="2"/>
                <w:color w:val="auto"/>
              </w:rPr>
            </w:pPr>
          </w:p>
        </w:tc>
        <w:tc>
          <w:tcPr>
            <w:tcW w:w="1300" w:type="dxa"/>
            <w:vAlign w:val="bottom"/>
            <w:tcBorders>
              <w:bottom w:val="single" w:sz="8" w:color="88888B"/>
            </w:tcBorders>
          </w:tcPr>
          <w:p>
            <w:pPr>
              <w:spacing w:after="0"/>
              <w:rPr>
                <w:sz w:val="2"/>
                <w:szCs w:val="2"/>
                <w:color w:val="auto"/>
              </w:rPr>
            </w:pPr>
          </w:p>
        </w:tc>
      </w:tr>
      <w:tr>
        <w:trPr>
          <w:trHeight w:val="127"/>
        </w:trPr>
        <w:tc>
          <w:tcPr>
            <w:tcW w:w="20" w:type="dxa"/>
            <w:vAlign w:val="bottom"/>
          </w:tcPr>
          <w:p>
            <w:pPr>
              <w:spacing w:after="0"/>
              <w:rPr>
                <w:sz w:val="11"/>
                <w:szCs w:val="11"/>
                <w:color w:val="auto"/>
              </w:rPr>
            </w:pPr>
          </w:p>
        </w:tc>
        <w:tc>
          <w:tcPr>
            <w:tcW w:w="4600" w:type="dxa"/>
            <w:vAlign w:val="bottom"/>
            <w:tcBorders>
              <w:bottom w:val="single" w:sz="8" w:color="88888B"/>
            </w:tcBorders>
            <w:shd w:val="clear" w:color="auto" w:fill="CCEEFF"/>
          </w:tcPr>
          <w:p>
            <w:pPr>
              <w:spacing w:after="0" w:line="128" w:lineRule="exact"/>
              <w:rPr>
                <w:sz w:val="20"/>
                <w:szCs w:val="20"/>
                <w:color w:val="auto"/>
              </w:rPr>
            </w:pPr>
            <w:r>
              <w:rPr>
                <w:rFonts w:ascii="Arial" w:cs="Arial" w:eastAsia="Arial" w:hAnsi="Arial"/>
                <w:sz w:val="12"/>
                <w:szCs w:val="12"/>
                <w:b w:val="1"/>
                <w:bCs w:val="1"/>
                <w:color w:val="55565A"/>
              </w:rPr>
              <w:t>Net interest expense</w:t>
            </w:r>
          </w:p>
        </w:tc>
        <w:tc>
          <w:tcPr>
            <w:tcW w:w="3600" w:type="dxa"/>
            <w:vAlign w:val="bottom"/>
            <w:tcBorders>
              <w:bottom w:val="single" w:sz="8" w:color="88888B"/>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55565A"/>
              </w:rPr>
              <w:t>40</w:t>
            </w:r>
          </w:p>
        </w:tc>
        <w:tc>
          <w:tcPr>
            <w:tcW w:w="1400" w:type="dxa"/>
            <w:vAlign w:val="bottom"/>
            <w:tcBorders>
              <w:bottom w:val="single" w:sz="8" w:color="88888B"/>
            </w:tcBorders>
            <w:shd w:val="clear" w:color="auto" w:fill="CCEEFF"/>
          </w:tcPr>
          <w:p>
            <w:pPr>
              <w:jc w:val="right"/>
              <w:ind w:right="398"/>
              <w:spacing w:after="0" w:line="128" w:lineRule="exact"/>
              <w:rPr>
                <w:sz w:val="20"/>
                <w:szCs w:val="20"/>
                <w:color w:val="auto"/>
              </w:rPr>
            </w:pPr>
            <w:r>
              <w:rPr>
                <w:rFonts w:ascii="Arial" w:cs="Arial" w:eastAsia="Arial" w:hAnsi="Arial"/>
                <w:sz w:val="12"/>
                <w:szCs w:val="12"/>
                <w:color w:val="55565A"/>
              </w:rPr>
              <w:t>55</w:t>
            </w:r>
          </w:p>
        </w:tc>
        <w:tc>
          <w:tcPr>
            <w:tcW w:w="1300" w:type="dxa"/>
            <w:vAlign w:val="bottom"/>
            <w:tcBorders>
              <w:bottom w:val="single" w:sz="8" w:color="88888B"/>
            </w:tcBorders>
            <w:shd w:val="clear" w:color="auto" w:fill="CCEEFF"/>
          </w:tcPr>
          <w:p>
            <w:pPr>
              <w:jc w:val="right"/>
              <w:ind w:right="358"/>
              <w:spacing w:after="0" w:line="128" w:lineRule="exact"/>
              <w:rPr>
                <w:sz w:val="20"/>
                <w:szCs w:val="20"/>
                <w:color w:val="auto"/>
              </w:rPr>
            </w:pPr>
            <w:r>
              <w:rPr>
                <w:rFonts w:ascii="Arial" w:cs="Arial" w:eastAsia="Arial" w:hAnsi="Arial"/>
                <w:sz w:val="12"/>
                <w:szCs w:val="12"/>
                <w:color w:val="55565A"/>
              </w:rPr>
              <w:t>(28%)</w:t>
            </w:r>
          </w:p>
        </w:tc>
      </w:tr>
    </w:tbl>
    <w:p>
      <w:pPr>
        <w:spacing w:after="0" w:line="93" w:lineRule="exact"/>
        <w:rPr>
          <w:sz w:val="20"/>
          <w:szCs w:val="20"/>
          <w:color w:val="auto"/>
        </w:rPr>
      </w:pPr>
    </w:p>
    <w:p>
      <w:pPr>
        <w:ind w:left="160" w:right="180"/>
        <w:spacing w:after="0" w:line="262" w:lineRule="auto"/>
        <w:rPr>
          <w:sz w:val="20"/>
          <w:szCs w:val="20"/>
          <w:color w:val="auto"/>
        </w:rPr>
      </w:pPr>
      <w:r>
        <w:rPr>
          <w:rFonts w:ascii="Arial" w:cs="Arial" w:eastAsia="Arial" w:hAnsi="Arial"/>
          <w:sz w:val="16"/>
          <w:szCs w:val="16"/>
          <w:color w:val="55565A"/>
        </w:rPr>
        <w:t>Net interest expense decreased due to lower interest costs on commercial paper borrowings and from the repayment of our $600 million, 4.30% notes upon maturity in November 2023. As substantially all of our long-term debt obligations paid interest at fixed rates (after swaps), the net interest expense on our term debt was essentially unchanged compared to the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6</w:t>
      </w:r>
    </w:p>
    <w:p>
      <w:pPr>
        <w:sectPr>
          <w:pgSz w:w="11900" w:h="16838" w:orient="portrait"/>
          <w:cols w:equalWidth="0" w:num="1">
            <w:col w:w="11080"/>
          </w:cols>
          <w:pgMar w:left="320" w:top="454" w:right="4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Other finance (income)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5900" w:type="dxa"/>
            <w:vAlign w:val="bottom"/>
            <w:gridSpan w:val="2"/>
          </w:tcPr>
          <w:p>
            <w:pPr>
              <w:jc w:val="right"/>
              <w:ind w:right="698"/>
              <w:spacing w:after="0"/>
              <w:rPr>
                <w:sz w:val="20"/>
                <w:szCs w:val="20"/>
                <w:color w:val="auto"/>
              </w:rPr>
            </w:pPr>
            <w:r>
              <w:rPr>
                <w:rFonts w:ascii="Arial" w:cs="Arial" w:eastAsia="Arial" w:hAnsi="Arial"/>
                <w:sz w:val="12"/>
                <w:szCs w:val="12"/>
                <w:b w:val="1"/>
                <w:bCs w:val="1"/>
                <w:color w:val="55565A"/>
              </w:rPr>
              <w:t>Three months ended March 31,</w:t>
            </w:r>
          </w:p>
        </w:tc>
      </w:tr>
      <w:tr>
        <w:trPr>
          <w:trHeight w:val="214"/>
        </w:trPr>
        <w:tc>
          <w:tcPr>
            <w:tcW w:w="5020" w:type="dxa"/>
            <w:vAlign w:val="bottom"/>
            <w:gridSpan w:val="2"/>
          </w:tcPr>
          <w:p>
            <w:pPr>
              <w:spacing w:after="0"/>
              <w:rPr>
                <w:sz w:val="20"/>
                <w:szCs w:val="20"/>
                <w:color w:val="auto"/>
              </w:rPr>
            </w:pPr>
            <w:r>
              <w:rPr>
                <w:rFonts w:ascii="Arial" w:cs="Arial" w:eastAsia="Arial" w:hAnsi="Arial"/>
                <w:sz w:val="12"/>
                <w:szCs w:val="12"/>
                <w:color w:val="55565A"/>
              </w:rPr>
              <w:t>(millions of U.S. dollars)</w:t>
            </w:r>
          </w:p>
        </w:tc>
        <w:tc>
          <w:tcPr>
            <w:tcW w:w="4340" w:type="dxa"/>
            <w:vAlign w:val="bottom"/>
          </w:tcPr>
          <w:p>
            <w:pPr>
              <w:jc w:val="right"/>
              <w:ind w:right="698"/>
              <w:spacing w:after="0"/>
              <w:rPr>
                <w:sz w:val="20"/>
                <w:szCs w:val="20"/>
                <w:color w:val="auto"/>
              </w:rPr>
            </w:pPr>
            <w:r>
              <w:rPr>
                <w:rFonts w:ascii="Arial" w:cs="Arial" w:eastAsia="Arial" w:hAnsi="Arial"/>
                <w:sz w:val="12"/>
                <w:szCs w:val="12"/>
                <w:b w:val="1"/>
                <w:bCs w:val="1"/>
                <w:color w:val="55565A"/>
              </w:rPr>
              <w:t>2024</w:t>
            </w:r>
          </w:p>
        </w:tc>
        <w:tc>
          <w:tcPr>
            <w:tcW w:w="1560" w:type="dxa"/>
            <w:vAlign w:val="bottom"/>
          </w:tcPr>
          <w:p>
            <w:pPr>
              <w:jc w:val="right"/>
              <w:ind w:right="458"/>
              <w:spacing w:after="0"/>
              <w:rPr>
                <w:sz w:val="20"/>
                <w:szCs w:val="20"/>
                <w:color w:val="auto"/>
              </w:rPr>
            </w:pPr>
            <w:r>
              <w:rPr>
                <w:rFonts w:ascii="Arial" w:cs="Arial" w:eastAsia="Arial" w:hAnsi="Arial"/>
                <w:sz w:val="12"/>
                <w:szCs w:val="12"/>
                <w:color w:val="55565A"/>
              </w:rPr>
              <w:t>2023</w:t>
            </w:r>
          </w:p>
        </w:tc>
      </w:tr>
      <w:tr>
        <w:trPr>
          <w:trHeight w:val="34"/>
        </w:trPr>
        <w:tc>
          <w:tcPr>
            <w:tcW w:w="20" w:type="dxa"/>
            <w:vAlign w:val="bottom"/>
          </w:tcPr>
          <w:p>
            <w:pPr>
              <w:spacing w:after="0"/>
              <w:rPr>
                <w:sz w:val="2"/>
                <w:szCs w:val="2"/>
                <w:color w:val="auto"/>
              </w:rPr>
            </w:pPr>
          </w:p>
        </w:tc>
        <w:tc>
          <w:tcPr>
            <w:tcW w:w="5000" w:type="dxa"/>
            <w:vAlign w:val="bottom"/>
            <w:tcBorders>
              <w:bottom w:val="single" w:sz="8" w:color="88888B"/>
            </w:tcBorders>
          </w:tcPr>
          <w:p>
            <w:pPr>
              <w:spacing w:after="0"/>
              <w:rPr>
                <w:sz w:val="2"/>
                <w:szCs w:val="2"/>
                <w:color w:val="auto"/>
              </w:rPr>
            </w:pPr>
          </w:p>
        </w:tc>
        <w:tc>
          <w:tcPr>
            <w:tcW w:w="4340" w:type="dxa"/>
            <w:vAlign w:val="bottom"/>
            <w:tcBorders>
              <w:bottom w:val="single" w:sz="8" w:color="88888B"/>
            </w:tcBorders>
          </w:tcPr>
          <w:p>
            <w:pPr>
              <w:spacing w:after="0"/>
              <w:rPr>
                <w:sz w:val="2"/>
                <w:szCs w:val="2"/>
                <w:color w:val="auto"/>
              </w:rPr>
            </w:pPr>
          </w:p>
        </w:tc>
        <w:tc>
          <w:tcPr>
            <w:tcW w:w="1560" w:type="dxa"/>
            <w:vAlign w:val="bottom"/>
            <w:tcBorders>
              <w:bottom w:val="single" w:sz="8" w:color="88888B"/>
            </w:tcBorders>
          </w:tcPr>
          <w:p>
            <w:pPr>
              <w:spacing w:after="0"/>
              <w:rPr>
                <w:sz w:val="2"/>
                <w:szCs w:val="2"/>
                <w:color w:val="auto"/>
              </w:rPr>
            </w:pPr>
          </w:p>
        </w:tc>
      </w:tr>
      <w:tr>
        <w:trPr>
          <w:trHeight w:val="127"/>
        </w:trPr>
        <w:tc>
          <w:tcPr>
            <w:tcW w:w="20" w:type="dxa"/>
            <w:vAlign w:val="bottom"/>
          </w:tcPr>
          <w:p>
            <w:pPr>
              <w:spacing w:after="0"/>
              <w:rPr>
                <w:sz w:val="11"/>
                <w:szCs w:val="11"/>
                <w:color w:val="auto"/>
              </w:rPr>
            </w:pPr>
          </w:p>
        </w:tc>
        <w:tc>
          <w:tcPr>
            <w:tcW w:w="5000" w:type="dxa"/>
            <w:vAlign w:val="bottom"/>
            <w:tcBorders>
              <w:bottom w:val="single" w:sz="8" w:color="88888B"/>
            </w:tcBorders>
            <w:shd w:val="clear" w:color="auto" w:fill="CCEEFF"/>
          </w:tcPr>
          <w:p>
            <w:pPr>
              <w:spacing w:after="0" w:line="128" w:lineRule="exact"/>
              <w:rPr>
                <w:sz w:val="20"/>
                <w:szCs w:val="20"/>
                <w:color w:val="auto"/>
              </w:rPr>
            </w:pPr>
            <w:r>
              <w:rPr>
                <w:rFonts w:ascii="Arial" w:cs="Arial" w:eastAsia="Arial" w:hAnsi="Arial"/>
                <w:sz w:val="12"/>
                <w:szCs w:val="12"/>
                <w:b w:val="1"/>
                <w:bCs w:val="1"/>
                <w:color w:val="55565A"/>
              </w:rPr>
              <w:t>Other finance (income) costs</w:t>
            </w:r>
          </w:p>
        </w:tc>
        <w:tc>
          <w:tcPr>
            <w:tcW w:w="4340" w:type="dxa"/>
            <w:vAlign w:val="bottom"/>
            <w:tcBorders>
              <w:bottom w:val="single" w:sz="8" w:color="88888B"/>
            </w:tcBorders>
            <w:shd w:val="clear" w:color="auto" w:fill="CCEEFF"/>
          </w:tcPr>
          <w:p>
            <w:pPr>
              <w:jc w:val="right"/>
              <w:ind w:right="698"/>
              <w:spacing w:after="0" w:line="128" w:lineRule="exact"/>
              <w:rPr>
                <w:sz w:val="20"/>
                <w:szCs w:val="20"/>
                <w:color w:val="auto"/>
              </w:rPr>
            </w:pPr>
            <w:r>
              <w:rPr>
                <w:rFonts w:ascii="Arial" w:cs="Arial" w:eastAsia="Arial" w:hAnsi="Arial"/>
                <w:sz w:val="12"/>
                <w:szCs w:val="12"/>
                <w:b w:val="1"/>
                <w:bCs w:val="1"/>
                <w:color w:val="55565A"/>
              </w:rPr>
              <w:t>(22)</w:t>
            </w:r>
          </w:p>
        </w:tc>
        <w:tc>
          <w:tcPr>
            <w:tcW w:w="1560" w:type="dxa"/>
            <w:vAlign w:val="bottom"/>
            <w:tcBorders>
              <w:bottom w:val="single" w:sz="8" w:color="88888B"/>
            </w:tcBorders>
            <w:shd w:val="clear" w:color="auto" w:fill="CCEEFF"/>
          </w:tcPr>
          <w:p>
            <w:pPr>
              <w:jc w:val="right"/>
              <w:ind w:right="458"/>
              <w:spacing w:after="0" w:line="128" w:lineRule="exact"/>
              <w:rPr>
                <w:sz w:val="20"/>
                <w:szCs w:val="20"/>
                <w:color w:val="auto"/>
              </w:rPr>
            </w:pPr>
            <w:r>
              <w:rPr>
                <w:rFonts w:ascii="Arial" w:cs="Arial" w:eastAsia="Arial" w:hAnsi="Arial"/>
                <w:sz w:val="12"/>
                <w:szCs w:val="12"/>
                <w:color w:val="55565A"/>
              </w:rPr>
              <w:t>90</w:t>
            </w:r>
          </w:p>
        </w:tc>
      </w:tr>
    </w:tbl>
    <w:p>
      <w:pPr>
        <w:spacing w:after="0" w:line="93"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55565A"/>
        </w:rPr>
        <w:t>In the first quarter of 2024, other finance income primarily included net foreign exchange gains on intercompany funding arrangements. In the first quarter of 2023, other finance costs included losses of $69 million from foreign exchange contracts on instruments that are intended to reduce foreign currency risk on a portion of our indirect investment in LSEG, which is denominated in British pounds sterling, and net foreign exchange losses on intercompany funding arrangements.</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55565A"/>
        </w:rPr>
        <w:t>Share of post-tax (losses) earnings in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80010</wp:posOffset>
            </wp:positionV>
            <wp:extent cx="69297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940" w:type="dxa"/>
            <w:vAlign w:val="bottom"/>
          </w:tcPr>
          <w:p>
            <w:pPr>
              <w:jc w:val="right"/>
              <w:spacing w:after="0"/>
              <w:rPr>
                <w:sz w:val="20"/>
                <w:szCs w:val="20"/>
                <w:color w:val="auto"/>
              </w:rPr>
            </w:pPr>
            <w:r>
              <w:rPr>
                <w:rFonts w:ascii="Arial" w:cs="Arial" w:eastAsia="Arial" w:hAnsi="Arial"/>
                <w:sz w:val="12"/>
                <w:szCs w:val="12"/>
                <w:b w:val="1"/>
                <w:bCs w:val="1"/>
                <w:color w:val="55565A"/>
              </w:rPr>
              <w:t>Three months ended March 31,</w:t>
            </w:r>
          </w:p>
        </w:tc>
        <w:tc>
          <w:tcPr>
            <w:tcW w:w="1020" w:type="dxa"/>
            <w:vAlign w:val="bottom"/>
          </w:tcPr>
          <w:p>
            <w:pPr>
              <w:spacing w:after="0"/>
              <w:rPr>
                <w:sz w:val="14"/>
                <w:szCs w:val="14"/>
                <w:color w:val="auto"/>
              </w:rPr>
            </w:pPr>
          </w:p>
        </w:tc>
      </w:tr>
      <w:tr>
        <w:trPr>
          <w:trHeight w:val="201"/>
        </w:trPr>
        <w:tc>
          <w:tcPr>
            <w:tcW w:w="5960" w:type="dxa"/>
            <w:vAlign w:val="bottom"/>
            <w:gridSpan w:val="2"/>
          </w:tcPr>
          <w:p>
            <w:pPr>
              <w:spacing w:after="0"/>
              <w:rPr>
                <w:sz w:val="20"/>
                <w:szCs w:val="20"/>
                <w:color w:val="auto"/>
              </w:rPr>
            </w:pPr>
            <w:r>
              <w:rPr>
                <w:rFonts w:ascii="Arial" w:cs="Arial" w:eastAsia="Arial" w:hAnsi="Arial"/>
                <w:sz w:val="12"/>
                <w:szCs w:val="12"/>
                <w:color w:val="55565A"/>
              </w:rPr>
              <w:t>(millions of U.S. dollars)</w:t>
            </w:r>
          </w:p>
        </w:tc>
        <w:tc>
          <w:tcPr>
            <w:tcW w:w="3940" w:type="dxa"/>
            <w:vAlign w:val="bottom"/>
          </w:tcPr>
          <w:p>
            <w:pPr>
              <w:jc w:val="right"/>
              <w:ind w:right="1518"/>
              <w:spacing w:after="0"/>
              <w:rPr>
                <w:sz w:val="20"/>
                <w:szCs w:val="20"/>
                <w:color w:val="auto"/>
              </w:rPr>
            </w:pPr>
            <w:r>
              <w:rPr>
                <w:rFonts w:ascii="Arial" w:cs="Arial" w:eastAsia="Arial" w:hAnsi="Arial"/>
                <w:sz w:val="12"/>
                <w:szCs w:val="12"/>
                <w:b w:val="1"/>
                <w:bCs w:val="1"/>
                <w:color w:val="55565A"/>
              </w:rPr>
              <w:t>2024</w:t>
            </w:r>
          </w:p>
        </w:tc>
        <w:tc>
          <w:tcPr>
            <w:tcW w:w="1020" w:type="dxa"/>
            <w:vAlign w:val="bottom"/>
          </w:tcPr>
          <w:p>
            <w:pPr>
              <w:jc w:val="right"/>
              <w:ind w:right="638"/>
              <w:spacing w:after="0"/>
              <w:rPr>
                <w:sz w:val="20"/>
                <w:szCs w:val="20"/>
                <w:color w:val="auto"/>
              </w:rPr>
            </w:pPr>
            <w:r>
              <w:rPr>
                <w:rFonts w:ascii="Arial" w:cs="Arial" w:eastAsia="Arial" w:hAnsi="Arial"/>
                <w:sz w:val="12"/>
                <w:szCs w:val="12"/>
                <w:color w:val="55565A"/>
              </w:rPr>
              <w:t>2023</w:t>
            </w:r>
          </w:p>
        </w:tc>
      </w:tr>
      <w:tr>
        <w:trPr>
          <w:trHeight w:val="34"/>
        </w:trPr>
        <w:tc>
          <w:tcPr>
            <w:tcW w:w="20" w:type="dxa"/>
            <w:vAlign w:val="bottom"/>
          </w:tcPr>
          <w:p>
            <w:pPr>
              <w:spacing w:after="0"/>
              <w:rPr>
                <w:sz w:val="2"/>
                <w:szCs w:val="2"/>
                <w:color w:val="auto"/>
              </w:rPr>
            </w:pPr>
          </w:p>
        </w:tc>
        <w:tc>
          <w:tcPr>
            <w:tcW w:w="5940" w:type="dxa"/>
            <w:vAlign w:val="bottom"/>
            <w:tcBorders>
              <w:bottom w:val="single" w:sz="8" w:color="88888B"/>
            </w:tcBorders>
          </w:tcPr>
          <w:p>
            <w:pPr>
              <w:spacing w:after="0"/>
              <w:rPr>
                <w:sz w:val="2"/>
                <w:szCs w:val="2"/>
                <w:color w:val="auto"/>
              </w:rPr>
            </w:pPr>
          </w:p>
        </w:tc>
        <w:tc>
          <w:tcPr>
            <w:tcW w:w="3940" w:type="dxa"/>
            <w:vAlign w:val="bottom"/>
            <w:tcBorders>
              <w:bottom w:val="single" w:sz="8" w:color="88888B"/>
            </w:tcBorders>
          </w:tcPr>
          <w:p>
            <w:pPr>
              <w:spacing w:after="0"/>
              <w:rPr>
                <w:sz w:val="2"/>
                <w:szCs w:val="2"/>
                <w:color w:val="auto"/>
              </w:rPr>
            </w:pPr>
          </w:p>
        </w:tc>
        <w:tc>
          <w:tcPr>
            <w:tcW w:w="1020" w:type="dxa"/>
            <w:vAlign w:val="bottom"/>
            <w:tcBorders>
              <w:bottom w:val="single" w:sz="8" w:color="88888B"/>
            </w:tcBorders>
          </w:tcPr>
          <w:p>
            <w:pPr>
              <w:spacing w:after="0"/>
              <w:rPr>
                <w:sz w:val="2"/>
                <w:szCs w:val="2"/>
                <w:color w:val="auto"/>
              </w:rPr>
            </w:pPr>
          </w:p>
        </w:tc>
      </w:tr>
      <w:tr>
        <w:trPr>
          <w:trHeight w:val="127"/>
        </w:trPr>
        <w:tc>
          <w:tcPr>
            <w:tcW w:w="20" w:type="dxa"/>
            <w:vAlign w:val="bottom"/>
          </w:tcPr>
          <w:p>
            <w:pPr>
              <w:spacing w:after="0"/>
              <w:rPr>
                <w:sz w:val="11"/>
                <w:szCs w:val="11"/>
                <w:color w:val="auto"/>
              </w:rPr>
            </w:pPr>
          </w:p>
        </w:tc>
        <w:tc>
          <w:tcPr>
            <w:tcW w:w="594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55565A"/>
              </w:rPr>
              <w:t>YPL</w:t>
            </w:r>
          </w:p>
        </w:tc>
        <w:tc>
          <w:tcPr>
            <w:tcW w:w="3940" w:type="dxa"/>
            <w:vAlign w:val="bottom"/>
            <w:shd w:val="clear" w:color="auto" w:fill="CCEEFF"/>
          </w:tcPr>
          <w:p>
            <w:pPr>
              <w:jc w:val="right"/>
              <w:ind w:right="1518"/>
              <w:spacing w:after="0" w:line="128" w:lineRule="exact"/>
              <w:rPr>
                <w:sz w:val="20"/>
                <w:szCs w:val="20"/>
                <w:color w:val="auto"/>
              </w:rPr>
            </w:pPr>
            <w:r>
              <w:rPr>
                <w:rFonts w:ascii="Arial" w:cs="Arial" w:eastAsia="Arial" w:hAnsi="Arial"/>
                <w:sz w:val="12"/>
                <w:szCs w:val="12"/>
                <w:b w:val="1"/>
                <w:bCs w:val="1"/>
                <w:color w:val="55565A"/>
              </w:rPr>
              <w:t>-</w:t>
            </w:r>
          </w:p>
        </w:tc>
        <w:tc>
          <w:tcPr>
            <w:tcW w:w="1020" w:type="dxa"/>
            <w:vAlign w:val="bottom"/>
            <w:shd w:val="clear" w:color="auto" w:fill="CCEEFF"/>
          </w:tcPr>
          <w:p>
            <w:pPr>
              <w:jc w:val="right"/>
              <w:ind w:right="638"/>
              <w:spacing w:after="0" w:line="128" w:lineRule="exact"/>
              <w:rPr>
                <w:sz w:val="20"/>
                <w:szCs w:val="20"/>
                <w:color w:val="auto"/>
              </w:rPr>
            </w:pPr>
            <w:r>
              <w:rPr>
                <w:rFonts w:ascii="Arial" w:cs="Arial" w:eastAsia="Arial" w:hAnsi="Arial"/>
                <w:sz w:val="12"/>
                <w:szCs w:val="12"/>
                <w:color w:val="55565A"/>
              </w:rPr>
              <w:t>574</w:t>
            </w:r>
          </w:p>
        </w:tc>
      </w:tr>
      <w:tr>
        <w:trPr>
          <w:trHeight w:val="134"/>
        </w:trPr>
        <w:tc>
          <w:tcPr>
            <w:tcW w:w="20" w:type="dxa"/>
            <w:vAlign w:val="bottom"/>
          </w:tcPr>
          <w:p>
            <w:pPr>
              <w:spacing w:after="0"/>
              <w:rPr>
                <w:sz w:val="11"/>
                <w:szCs w:val="11"/>
                <w:color w:val="auto"/>
              </w:rPr>
            </w:pPr>
          </w:p>
        </w:tc>
        <w:tc>
          <w:tcPr>
            <w:tcW w:w="5940" w:type="dxa"/>
            <w:vAlign w:val="bottom"/>
            <w:tcBorders>
              <w:bottom w:val="single" w:sz="8" w:color="88888B"/>
            </w:tcBorders>
          </w:tcPr>
          <w:p>
            <w:pPr>
              <w:spacing w:after="0" w:line="134" w:lineRule="exact"/>
              <w:rPr>
                <w:sz w:val="20"/>
                <w:szCs w:val="20"/>
                <w:color w:val="auto"/>
              </w:rPr>
            </w:pPr>
            <w:r>
              <w:rPr>
                <w:rFonts w:ascii="Arial" w:cs="Arial" w:eastAsia="Arial" w:hAnsi="Arial"/>
                <w:sz w:val="12"/>
                <w:szCs w:val="12"/>
                <w:b w:val="1"/>
                <w:bCs w:val="1"/>
                <w:color w:val="55565A"/>
              </w:rPr>
              <w:t>Other equity method investments</w:t>
            </w:r>
          </w:p>
        </w:tc>
        <w:tc>
          <w:tcPr>
            <w:tcW w:w="3940" w:type="dxa"/>
            <w:vAlign w:val="bottom"/>
            <w:tcBorders>
              <w:bottom w:val="single" w:sz="8" w:color="88888B"/>
            </w:tcBorders>
          </w:tcPr>
          <w:p>
            <w:pPr>
              <w:jc w:val="right"/>
              <w:ind w:right="1518"/>
              <w:spacing w:after="0" w:line="134" w:lineRule="exact"/>
              <w:rPr>
                <w:sz w:val="20"/>
                <w:szCs w:val="20"/>
                <w:color w:val="auto"/>
              </w:rPr>
            </w:pPr>
            <w:r>
              <w:rPr>
                <w:rFonts w:ascii="Arial" w:cs="Arial" w:eastAsia="Arial" w:hAnsi="Arial"/>
                <w:sz w:val="12"/>
                <w:szCs w:val="12"/>
                <w:b w:val="1"/>
                <w:bCs w:val="1"/>
                <w:color w:val="55565A"/>
              </w:rPr>
              <w:t>(8)</w:t>
            </w:r>
          </w:p>
        </w:tc>
        <w:tc>
          <w:tcPr>
            <w:tcW w:w="1020" w:type="dxa"/>
            <w:vAlign w:val="bottom"/>
            <w:tcBorders>
              <w:bottom w:val="single" w:sz="8" w:color="88888B"/>
            </w:tcBorders>
          </w:tcPr>
          <w:p>
            <w:pPr>
              <w:jc w:val="right"/>
              <w:ind w:right="638"/>
              <w:spacing w:after="0" w:line="134" w:lineRule="exact"/>
              <w:rPr>
                <w:sz w:val="20"/>
                <w:szCs w:val="20"/>
                <w:color w:val="auto"/>
              </w:rPr>
            </w:pPr>
            <w:r>
              <w:rPr>
                <w:rFonts w:ascii="Arial" w:cs="Arial" w:eastAsia="Arial" w:hAnsi="Arial"/>
                <w:sz w:val="12"/>
                <w:szCs w:val="12"/>
                <w:color w:val="55565A"/>
              </w:rPr>
              <w:t>(4)</w:t>
            </w:r>
          </w:p>
        </w:tc>
      </w:tr>
      <w:tr>
        <w:trPr>
          <w:trHeight w:val="127"/>
        </w:trPr>
        <w:tc>
          <w:tcPr>
            <w:tcW w:w="20" w:type="dxa"/>
            <w:vAlign w:val="bottom"/>
          </w:tcPr>
          <w:p>
            <w:pPr>
              <w:spacing w:after="0"/>
              <w:rPr>
                <w:sz w:val="11"/>
                <w:szCs w:val="11"/>
                <w:color w:val="auto"/>
              </w:rPr>
            </w:pPr>
          </w:p>
        </w:tc>
        <w:tc>
          <w:tcPr>
            <w:tcW w:w="5940" w:type="dxa"/>
            <w:vAlign w:val="bottom"/>
            <w:tcBorders>
              <w:bottom w:val="single" w:sz="8" w:color="88888B"/>
            </w:tcBorders>
            <w:shd w:val="clear" w:color="auto" w:fill="CCEEFF"/>
          </w:tcPr>
          <w:p>
            <w:pPr>
              <w:spacing w:after="0" w:line="128" w:lineRule="exact"/>
              <w:rPr>
                <w:sz w:val="20"/>
                <w:szCs w:val="20"/>
                <w:color w:val="auto"/>
              </w:rPr>
            </w:pPr>
            <w:r>
              <w:rPr>
                <w:rFonts w:ascii="Arial" w:cs="Arial" w:eastAsia="Arial" w:hAnsi="Arial"/>
                <w:sz w:val="12"/>
                <w:szCs w:val="12"/>
                <w:b w:val="1"/>
                <w:bCs w:val="1"/>
                <w:color w:val="55565A"/>
              </w:rPr>
              <w:t>Share of post-tax (losses) earnings in equity method investments</w:t>
            </w:r>
          </w:p>
        </w:tc>
        <w:tc>
          <w:tcPr>
            <w:tcW w:w="3940" w:type="dxa"/>
            <w:vAlign w:val="bottom"/>
            <w:tcBorders>
              <w:bottom w:val="single" w:sz="8" w:color="88888B"/>
            </w:tcBorders>
            <w:shd w:val="clear" w:color="auto" w:fill="CCEEFF"/>
          </w:tcPr>
          <w:p>
            <w:pPr>
              <w:jc w:val="right"/>
              <w:ind w:right="1518"/>
              <w:spacing w:after="0" w:line="128" w:lineRule="exact"/>
              <w:rPr>
                <w:sz w:val="20"/>
                <w:szCs w:val="20"/>
                <w:color w:val="auto"/>
              </w:rPr>
            </w:pPr>
            <w:r>
              <w:rPr>
                <w:rFonts w:ascii="Arial" w:cs="Arial" w:eastAsia="Arial" w:hAnsi="Arial"/>
                <w:sz w:val="12"/>
                <w:szCs w:val="12"/>
                <w:b w:val="1"/>
                <w:bCs w:val="1"/>
                <w:color w:val="55565A"/>
              </w:rPr>
              <w:t>(8)</w:t>
            </w:r>
          </w:p>
        </w:tc>
        <w:tc>
          <w:tcPr>
            <w:tcW w:w="1020" w:type="dxa"/>
            <w:vAlign w:val="bottom"/>
            <w:tcBorders>
              <w:bottom w:val="single" w:sz="8" w:color="88888B"/>
            </w:tcBorders>
            <w:shd w:val="clear" w:color="auto" w:fill="CCEEFF"/>
          </w:tcPr>
          <w:p>
            <w:pPr>
              <w:jc w:val="right"/>
              <w:ind w:right="638"/>
              <w:spacing w:after="0" w:line="128" w:lineRule="exact"/>
              <w:rPr>
                <w:sz w:val="20"/>
                <w:szCs w:val="20"/>
                <w:color w:val="auto"/>
              </w:rPr>
            </w:pPr>
            <w:r>
              <w:rPr>
                <w:rFonts w:ascii="Arial" w:cs="Arial" w:eastAsia="Arial" w:hAnsi="Arial"/>
                <w:sz w:val="12"/>
                <w:szCs w:val="12"/>
                <w:color w:val="55565A"/>
              </w:rPr>
              <w:t>570</w:t>
            </w:r>
          </w:p>
        </w:tc>
      </w:tr>
    </w:tbl>
    <w:p>
      <w:pPr>
        <w:spacing w:after="0" w:line="93" w:lineRule="exact"/>
        <w:rPr>
          <w:sz w:val="20"/>
          <w:szCs w:val="20"/>
          <w:color w:val="auto"/>
        </w:rPr>
      </w:pPr>
    </w:p>
    <w:p>
      <w:pPr>
        <w:ind w:left="160" w:right="120"/>
        <w:spacing w:after="0" w:line="253" w:lineRule="auto"/>
        <w:rPr>
          <w:sz w:val="20"/>
          <w:szCs w:val="20"/>
          <w:color w:val="auto"/>
        </w:rPr>
      </w:pPr>
      <w:r>
        <w:rPr>
          <w:rFonts w:ascii="Arial" w:cs="Arial" w:eastAsia="Arial" w:hAnsi="Arial"/>
          <w:sz w:val="16"/>
          <w:szCs w:val="16"/>
          <w:color w:val="55565A"/>
        </w:rPr>
        <w:t>Our investment in LSEG is subject to equity accounting because the LSEG shares are held through YPL, over which we have significant influence. As YPL owns only the financial investment in LSEG shares, which the parties intend to sell over time, and is not involved in operating LSEG, the investment in LSEG shares held by YPL is accounted for at fair value, based on the share price of LSEG. As the investment in LSEG is denominated in British pounds sterling, we have entered into a series of foreign exchange contracts to mitigate currency risk on our investment. See the “Investment in LSEG” section of this management’s discussion and analysis for additional information on the sales of LSEG shares in the first quarter of 2024 and 2023.</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Our share of post-tax (losses) earnings in our YPL investment was comprised of the following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080" w:type="dxa"/>
            <w:vAlign w:val="bottom"/>
          </w:tcPr>
          <w:p>
            <w:pPr>
              <w:jc w:val="right"/>
              <w:spacing w:after="0"/>
              <w:rPr>
                <w:sz w:val="20"/>
                <w:szCs w:val="20"/>
                <w:color w:val="auto"/>
              </w:rPr>
            </w:pPr>
            <w:r>
              <w:rPr>
                <w:rFonts w:ascii="Arial" w:cs="Arial" w:eastAsia="Arial" w:hAnsi="Arial"/>
                <w:sz w:val="12"/>
                <w:szCs w:val="12"/>
                <w:b w:val="1"/>
                <w:bCs w:val="1"/>
                <w:color w:val="55565A"/>
              </w:rPr>
              <w:t>Three months ended March 31,</w:t>
            </w:r>
          </w:p>
        </w:tc>
        <w:tc>
          <w:tcPr>
            <w:tcW w:w="900" w:type="dxa"/>
            <w:vAlign w:val="bottom"/>
          </w:tcPr>
          <w:p>
            <w:pPr>
              <w:spacing w:after="0"/>
              <w:rPr>
                <w:sz w:val="14"/>
                <w:szCs w:val="14"/>
                <w:color w:val="auto"/>
              </w:rPr>
            </w:pPr>
          </w:p>
        </w:tc>
      </w:tr>
      <w:tr>
        <w:trPr>
          <w:trHeight w:val="201"/>
        </w:trPr>
        <w:tc>
          <w:tcPr>
            <w:tcW w:w="5940" w:type="dxa"/>
            <w:vAlign w:val="bottom"/>
            <w:gridSpan w:val="2"/>
          </w:tcPr>
          <w:p>
            <w:pPr>
              <w:spacing w:after="0"/>
              <w:rPr>
                <w:sz w:val="20"/>
                <w:szCs w:val="20"/>
                <w:color w:val="auto"/>
              </w:rPr>
            </w:pPr>
            <w:r>
              <w:rPr>
                <w:rFonts w:ascii="Arial" w:cs="Arial" w:eastAsia="Arial" w:hAnsi="Arial"/>
                <w:sz w:val="12"/>
                <w:szCs w:val="12"/>
                <w:color w:val="55565A"/>
              </w:rPr>
              <w:t>(millions of U.S. dollars)</w:t>
            </w:r>
          </w:p>
        </w:tc>
        <w:tc>
          <w:tcPr>
            <w:tcW w:w="4080" w:type="dxa"/>
            <w:vAlign w:val="bottom"/>
          </w:tcPr>
          <w:p>
            <w:pPr>
              <w:jc w:val="right"/>
              <w:ind w:right="1438"/>
              <w:spacing w:after="0"/>
              <w:rPr>
                <w:sz w:val="20"/>
                <w:szCs w:val="20"/>
                <w:color w:val="auto"/>
              </w:rPr>
            </w:pPr>
            <w:r>
              <w:rPr>
                <w:rFonts w:ascii="Arial" w:cs="Arial" w:eastAsia="Arial" w:hAnsi="Arial"/>
                <w:sz w:val="12"/>
                <w:szCs w:val="12"/>
                <w:b w:val="1"/>
                <w:bCs w:val="1"/>
                <w:color w:val="55565A"/>
              </w:rPr>
              <w:t>2024</w:t>
            </w:r>
          </w:p>
        </w:tc>
        <w:tc>
          <w:tcPr>
            <w:tcW w:w="900" w:type="dxa"/>
            <w:vAlign w:val="bottom"/>
          </w:tcPr>
          <w:p>
            <w:pPr>
              <w:jc w:val="right"/>
              <w:ind w:right="538"/>
              <w:spacing w:after="0"/>
              <w:rPr>
                <w:sz w:val="20"/>
                <w:szCs w:val="20"/>
                <w:color w:val="auto"/>
              </w:rPr>
            </w:pPr>
            <w:r>
              <w:rPr>
                <w:rFonts w:ascii="Arial" w:cs="Arial" w:eastAsia="Arial" w:hAnsi="Arial"/>
                <w:sz w:val="12"/>
                <w:szCs w:val="12"/>
                <w:color w:val="55565A"/>
              </w:rPr>
              <w:t>2023</w:t>
            </w:r>
          </w:p>
        </w:tc>
      </w:tr>
      <w:tr>
        <w:trPr>
          <w:trHeight w:val="34"/>
        </w:trPr>
        <w:tc>
          <w:tcPr>
            <w:tcW w:w="20" w:type="dxa"/>
            <w:vAlign w:val="bottom"/>
          </w:tcPr>
          <w:p>
            <w:pPr>
              <w:spacing w:after="0"/>
              <w:rPr>
                <w:sz w:val="2"/>
                <w:szCs w:val="2"/>
                <w:color w:val="auto"/>
              </w:rPr>
            </w:pPr>
          </w:p>
        </w:tc>
        <w:tc>
          <w:tcPr>
            <w:tcW w:w="5920" w:type="dxa"/>
            <w:vAlign w:val="bottom"/>
            <w:tcBorders>
              <w:bottom w:val="single" w:sz="8" w:color="88888B"/>
            </w:tcBorders>
          </w:tcPr>
          <w:p>
            <w:pPr>
              <w:spacing w:after="0"/>
              <w:rPr>
                <w:sz w:val="2"/>
                <w:szCs w:val="2"/>
                <w:color w:val="auto"/>
              </w:rPr>
            </w:pPr>
          </w:p>
        </w:tc>
        <w:tc>
          <w:tcPr>
            <w:tcW w:w="4080" w:type="dxa"/>
            <w:vAlign w:val="bottom"/>
            <w:tcBorders>
              <w:bottom w:val="single" w:sz="8" w:color="88888B"/>
            </w:tcBorders>
          </w:tcPr>
          <w:p>
            <w:pPr>
              <w:spacing w:after="0"/>
              <w:rPr>
                <w:sz w:val="2"/>
                <w:szCs w:val="2"/>
                <w:color w:val="auto"/>
              </w:rPr>
            </w:pPr>
          </w:p>
        </w:tc>
        <w:tc>
          <w:tcPr>
            <w:tcW w:w="900" w:type="dxa"/>
            <w:vAlign w:val="bottom"/>
            <w:tcBorders>
              <w:bottom w:val="single" w:sz="8" w:color="88888B"/>
            </w:tcBorders>
          </w:tcPr>
          <w:p>
            <w:pPr>
              <w:spacing w:after="0"/>
              <w:rPr>
                <w:sz w:val="2"/>
                <w:szCs w:val="2"/>
                <w:color w:val="auto"/>
              </w:rPr>
            </w:pPr>
          </w:p>
        </w:tc>
      </w:tr>
      <w:tr>
        <w:trPr>
          <w:trHeight w:val="127"/>
        </w:trPr>
        <w:tc>
          <w:tcPr>
            <w:tcW w:w="20" w:type="dxa"/>
            <w:vAlign w:val="bottom"/>
          </w:tcPr>
          <w:p>
            <w:pPr>
              <w:spacing w:after="0"/>
              <w:rPr>
                <w:sz w:val="11"/>
                <w:szCs w:val="11"/>
                <w:color w:val="auto"/>
              </w:rPr>
            </w:pPr>
          </w:p>
        </w:tc>
        <w:tc>
          <w:tcPr>
            <w:tcW w:w="592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55565A"/>
              </w:rPr>
              <w:t>(Decrease) increase in LSEG share price</w:t>
            </w:r>
          </w:p>
        </w:tc>
        <w:tc>
          <w:tcPr>
            <w:tcW w:w="4080" w:type="dxa"/>
            <w:vAlign w:val="bottom"/>
            <w:shd w:val="clear" w:color="auto" w:fill="CCEEFF"/>
          </w:tcPr>
          <w:p>
            <w:pPr>
              <w:jc w:val="right"/>
              <w:ind w:right="1438"/>
              <w:spacing w:after="0" w:line="128" w:lineRule="exact"/>
              <w:rPr>
                <w:sz w:val="20"/>
                <w:szCs w:val="20"/>
                <w:color w:val="auto"/>
              </w:rPr>
            </w:pPr>
            <w:r>
              <w:rPr>
                <w:rFonts w:ascii="Arial" w:cs="Arial" w:eastAsia="Arial" w:hAnsi="Arial"/>
                <w:sz w:val="12"/>
                <w:szCs w:val="12"/>
                <w:b w:val="1"/>
                <w:bCs w:val="1"/>
                <w:color w:val="55565A"/>
              </w:rPr>
              <w:t>(49)</w:t>
            </w:r>
          </w:p>
        </w:tc>
        <w:tc>
          <w:tcPr>
            <w:tcW w:w="900" w:type="dxa"/>
            <w:vAlign w:val="bottom"/>
            <w:shd w:val="clear" w:color="auto" w:fill="CCEEFF"/>
          </w:tcPr>
          <w:p>
            <w:pPr>
              <w:jc w:val="right"/>
              <w:ind w:right="538"/>
              <w:spacing w:after="0" w:line="128" w:lineRule="exact"/>
              <w:rPr>
                <w:sz w:val="20"/>
                <w:szCs w:val="20"/>
                <w:color w:val="auto"/>
              </w:rPr>
            </w:pPr>
            <w:r>
              <w:rPr>
                <w:rFonts w:ascii="Arial" w:cs="Arial" w:eastAsia="Arial" w:hAnsi="Arial"/>
                <w:sz w:val="12"/>
                <w:szCs w:val="12"/>
                <w:color w:val="55565A"/>
              </w:rPr>
              <w:t>478</w:t>
            </w:r>
          </w:p>
        </w:tc>
      </w:tr>
      <w:tr>
        <w:trPr>
          <w:trHeight w:val="134"/>
        </w:trPr>
        <w:tc>
          <w:tcPr>
            <w:tcW w:w="20" w:type="dxa"/>
            <w:vAlign w:val="bottom"/>
          </w:tcPr>
          <w:p>
            <w:pPr>
              <w:spacing w:after="0"/>
              <w:rPr>
                <w:sz w:val="11"/>
                <w:szCs w:val="11"/>
                <w:color w:val="auto"/>
              </w:rPr>
            </w:pPr>
          </w:p>
        </w:tc>
        <w:tc>
          <w:tcPr>
            <w:tcW w:w="5920" w:type="dxa"/>
            <w:vAlign w:val="bottom"/>
          </w:tcPr>
          <w:p>
            <w:pPr>
              <w:spacing w:after="0" w:line="134" w:lineRule="exact"/>
              <w:rPr>
                <w:sz w:val="20"/>
                <w:szCs w:val="20"/>
                <w:color w:val="auto"/>
              </w:rPr>
            </w:pPr>
            <w:r>
              <w:rPr>
                <w:rFonts w:ascii="Arial" w:cs="Arial" w:eastAsia="Arial" w:hAnsi="Arial"/>
                <w:sz w:val="12"/>
                <w:szCs w:val="12"/>
                <w:b w:val="1"/>
                <w:bCs w:val="1"/>
                <w:color w:val="55565A"/>
              </w:rPr>
              <w:t>Foreign exchange (losses) gains on LSEG shares</w:t>
            </w:r>
          </w:p>
        </w:tc>
        <w:tc>
          <w:tcPr>
            <w:tcW w:w="4080" w:type="dxa"/>
            <w:vAlign w:val="bottom"/>
          </w:tcPr>
          <w:p>
            <w:pPr>
              <w:jc w:val="right"/>
              <w:ind w:right="1438"/>
              <w:spacing w:after="0" w:line="134" w:lineRule="exact"/>
              <w:rPr>
                <w:sz w:val="20"/>
                <w:szCs w:val="20"/>
                <w:color w:val="auto"/>
              </w:rPr>
            </w:pPr>
            <w:r>
              <w:rPr>
                <w:rFonts w:ascii="Arial" w:cs="Arial" w:eastAsia="Arial" w:hAnsi="Arial"/>
                <w:sz w:val="12"/>
                <w:szCs w:val="12"/>
                <w:b w:val="1"/>
                <w:bCs w:val="1"/>
                <w:color w:val="55565A"/>
              </w:rPr>
              <w:t>(7)</w:t>
            </w:r>
          </w:p>
        </w:tc>
        <w:tc>
          <w:tcPr>
            <w:tcW w:w="900" w:type="dxa"/>
            <w:vAlign w:val="bottom"/>
          </w:tcPr>
          <w:p>
            <w:pPr>
              <w:jc w:val="right"/>
              <w:ind w:right="538"/>
              <w:spacing w:after="0" w:line="134" w:lineRule="exact"/>
              <w:rPr>
                <w:sz w:val="20"/>
                <w:szCs w:val="20"/>
                <w:color w:val="auto"/>
              </w:rPr>
            </w:pPr>
            <w:r>
              <w:rPr>
                <w:rFonts w:ascii="Arial" w:cs="Arial" w:eastAsia="Arial" w:hAnsi="Arial"/>
                <w:sz w:val="12"/>
                <w:szCs w:val="12"/>
                <w:color w:val="55565A"/>
              </w:rPr>
              <w:t>159</w:t>
            </w:r>
          </w:p>
        </w:tc>
      </w:tr>
      <w:tr>
        <w:trPr>
          <w:trHeight w:val="134"/>
        </w:trPr>
        <w:tc>
          <w:tcPr>
            <w:tcW w:w="20" w:type="dxa"/>
            <w:vAlign w:val="bottom"/>
          </w:tcPr>
          <w:p>
            <w:pPr>
              <w:spacing w:after="0"/>
              <w:rPr>
                <w:sz w:val="11"/>
                <w:szCs w:val="11"/>
                <w:color w:val="auto"/>
              </w:rPr>
            </w:pPr>
          </w:p>
        </w:tc>
        <w:tc>
          <w:tcPr>
            <w:tcW w:w="59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55565A"/>
              </w:rPr>
              <w:t>Loss from forward contract</w:t>
            </w:r>
          </w:p>
        </w:tc>
        <w:tc>
          <w:tcPr>
            <w:tcW w:w="4080" w:type="dxa"/>
            <w:vAlign w:val="bottom"/>
            <w:shd w:val="clear" w:color="auto" w:fill="CCEEFF"/>
          </w:tcPr>
          <w:p>
            <w:pPr>
              <w:jc w:val="right"/>
              <w:ind w:right="1438"/>
              <w:spacing w:after="0" w:line="134" w:lineRule="exact"/>
              <w:rPr>
                <w:sz w:val="20"/>
                <w:szCs w:val="20"/>
                <w:color w:val="auto"/>
              </w:rPr>
            </w:pPr>
            <w:r>
              <w:rPr>
                <w:rFonts w:ascii="Arial" w:cs="Arial" w:eastAsia="Arial" w:hAnsi="Arial"/>
                <w:sz w:val="12"/>
                <w:szCs w:val="12"/>
                <w:b w:val="1"/>
                <w:bCs w:val="1"/>
                <w:color w:val="55565A"/>
              </w:rPr>
              <w:t>-</w:t>
            </w:r>
          </w:p>
        </w:tc>
        <w:tc>
          <w:tcPr>
            <w:tcW w:w="900" w:type="dxa"/>
            <w:vAlign w:val="bottom"/>
            <w:shd w:val="clear" w:color="auto" w:fill="CCEEFF"/>
          </w:tcPr>
          <w:p>
            <w:pPr>
              <w:jc w:val="right"/>
              <w:ind w:right="538"/>
              <w:spacing w:after="0" w:line="134" w:lineRule="exact"/>
              <w:rPr>
                <w:sz w:val="20"/>
                <w:szCs w:val="20"/>
                <w:color w:val="auto"/>
              </w:rPr>
            </w:pPr>
            <w:r>
              <w:rPr>
                <w:rFonts w:ascii="Arial" w:cs="Arial" w:eastAsia="Arial" w:hAnsi="Arial"/>
                <w:sz w:val="12"/>
                <w:szCs w:val="12"/>
                <w:color w:val="55565A"/>
              </w:rPr>
              <w:t>(77)</w:t>
            </w:r>
          </w:p>
        </w:tc>
      </w:tr>
      <w:tr>
        <w:trPr>
          <w:trHeight w:val="134"/>
        </w:trPr>
        <w:tc>
          <w:tcPr>
            <w:tcW w:w="20" w:type="dxa"/>
            <w:vAlign w:val="bottom"/>
          </w:tcPr>
          <w:p>
            <w:pPr>
              <w:spacing w:after="0"/>
              <w:rPr>
                <w:sz w:val="11"/>
                <w:szCs w:val="11"/>
                <w:color w:val="auto"/>
              </w:rPr>
            </w:pPr>
          </w:p>
        </w:tc>
        <w:tc>
          <w:tcPr>
            <w:tcW w:w="5920" w:type="dxa"/>
            <w:vAlign w:val="bottom"/>
          </w:tcPr>
          <w:p>
            <w:pPr>
              <w:spacing w:after="0" w:line="134" w:lineRule="exact"/>
              <w:rPr>
                <w:sz w:val="20"/>
                <w:szCs w:val="20"/>
                <w:color w:val="auto"/>
              </w:rPr>
            </w:pPr>
            <w:r>
              <w:rPr>
                <w:rFonts w:ascii="Arial" w:cs="Arial" w:eastAsia="Arial" w:hAnsi="Arial"/>
                <w:sz w:val="12"/>
                <w:szCs w:val="12"/>
                <w:b w:val="1"/>
                <w:bCs w:val="1"/>
                <w:color w:val="55565A"/>
              </w:rPr>
              <w:t>Gain from call options</w:t>
            </w:r>
          </w:p>
        </w:tc>
        <w:tc>
          <w:tcPr>
            <w:tcW w:w="4080" w:type="dxa"/>
            <w:vAlign w:val="bottom"/>
          </w:tcPr>
          <w:p>
            <w:pPr>
              <w:jc w:val="right"/>
              <w:ind w:right="1438"/>
              <w:spacing w:after="0" w:line="134" w:lineRule="exact"/>
              <w:rPr>
                <w:sz w:val="20"/>
                <w:szCs w:val="20"/>
                <w:color w:val="auto"/>
              </w:rPr>
            </w:pPr>
            <w:r>
              <w:rPr>
                <w:rFonts w:ascii="Arial" w:cs="Arial" w:eastAsia="Arial" w:hAnsi="Arial"/>
                <w:sz w:val="12"/>
                <w:szCs w:val="12"/>
                <w:b w:val="1"/>
                <w:bCs w:val="1"/>
                <w:color w:val="55565A"/>
              </w:rPr>
              <w:t>22</w:t>
            </w:r>
          </w:p>
        </w:tc>
        <w:tc>
          <w:tcPr>
            <w:tcW w:w="900" w:type="dxa"/>
            <w:vAlign w:val="bottom"/>
          </w:tcPr>
          <w:p>
            <w:pPr>
              <w:jc w:val="right"/>
              <w:ind w:right="538"/>
              <w:spacing w:after="0" w:line="134" w:lineRule="exact"/>
              <w:rPr>
                <w:sz w:val="20"/>
                <w:szCs w:val="20"/>
                <w:color w:val="auto"/>
              </w:rPr>
            </w:pPr>
            <w:r>
              <w:rPr>
                <w:rFonts w:ascii="Arial" w:cs="Arial" w:eastAsia="Arial" w:hAnsi="Arial"/>
                <w:sz w:val="12"/>
                <w:szCs w:val="12"/>
                <w:color w:val="55565A"/>
              </w:rPr>
              <w:t>-</w:t>
            </w:r>
          </w:p>
        </w:tc>
      </w:tr>
      <w:tr>
        <w:trPr>
          <w:trHeight w:val="134"/>
        </w:trPr>
        <w:tc>
          <w:tcPr>
            <w:tcW w:w="20" w:type="dxa"/>
            <w:vAlign w:val="bottom"/>
          </w:tcPr>
          <w:p>
            <w:pPr>
              <w:spacing w:after="0"/>
              <w:rPr>
                <w:sz w:val="11"/>
                <w:szCs w:val="11"/>
                <w:color w:val="auto"/>
              </w:rPr>
            </w:pPr>
          </w:p>
        </w:tc>
        <w:tc>
          <w:tcPr>
            <w:tcW w:w="5920" w:type="dxa"/>
            <w:vAlign w:val="bottom"/>
            <w:tcBorders>
              <w:bottom w:val="single" w:sz="8" w:color="88888B"/>
            </w:tcBorders>
            <w:shd w:val="clear" w:color="auto" w:fill="CCEEFF"/>
          </w:tcPr>
          <w:p>
            <w:pPr>
              <w:spacing w:after="0" w:line="134" w:lineRule="exact"/>
              <w:rPr>
                <w:sz w:val="20"/>
                <w:szCs w:val="20"/>
                <w:color w:val="auto"/>
              </w:rPr>
            </w:pPr>
            <w:r>
              <w:rPr>
                <w:rFonts w:ascii="Arial" w:cs="Arial" w:eastAsia="Arial" w:hAnsi="Arial"/>
                <w:sz w:val="11"/>
                <w:szCs w:val="11"/>
                <w:b w:val="1"/>
                <w:bCs w:val="1"/>
                <w:color w:val="55565A"/>
              </w:rPr>
              <w:t>Historical excluded equity investment</w:t>
            </w:r>
            <w:r>
              <w:rPr>
                <w:rFonts w:ascii="Arial" w:cs="Arial" w:eastAsia="Arial" w:hAnsi="Arial"/>
                <w:sz w:val="15"/>
                <w:szCs w:val="15"/>
                <w:b w:val="1"/>
                <w:bCs w:val="1"/>
                <w:color w:val="55565A"/>
                <w:vertAlign w:val="superscript"/>
              </w:rPr>
              <w:t>(1)</w:t>
            </w:r>
          </w:p>
        </w:tc>
        <w:tc>
          <w:tcPr>
            <w:tcW w:w="4080" w:type="dxa"/>
            <w:vAlign w:val="bottom"/>
            <w:tcBorders>
              <w:bottom w:val="single" w:sz="8" w:color="88888B"/>
            </w:tcBorders>
            <w:shd w:val="clear" w:color="auto" w:fill="CCEEFF"/>
          </w:tcPr>
          <w:p>
            <w:pPr>
              <w:jc w:val="right"/>
              <w:ind w:right="1438"/>
              <w:spacing w:after="0" w:line="134" w:lineRule="exact"/>
              <w:rPr>
                <w:sz w:val="20"/>
                <w:szCs w:val="20"/>
                <w:color w:val="auto"/>
              </w:rPr>
            </w:pPr>
            <w:r>
              <w:rPr>
                <w:rFonts w:ascii="Arial" w:cs="Arial" w:eastAsia="Arial" w:hAnsi="Arial"/>
                <w:sz w:val="12"/>
                <w:szCs w:val="12"/>
                <w:b w:val="1"/>
                <w:bCs w:val="1"/>
                <w:color w:val="55565A"/>
              </w:rPr>
              <w:t>34</w:t>
            </w:r>
          </w:p>
        </w:tc>
        <w:tc>
          <w:tcPr>
            <w:tcW w:w="900" w:type="dxa"/>
            <w:vAlign w:val="bottom"/>
            <w:tcBorders>
              <w:bottom w:val="single" w:sz="8" w:color="88888B"/>
            </w:tcBorders>
            <w:shd w:val="clear" w:color="auto" w:fill="CCEEFF"/>
          </w:tcPr>
          <w:p>
            <w:pPr>
              <w:jc w:val="right"/>
              <w:ind w:right="538"/>
              <w:spacing w:after="0" w:line="134" w:lineRule="exact"/>
              <w:rPr>
                <w:sz w:val="20"/>
                <w:szCs w:val="20"/>
                <w:color w:val="auto"/>
              </w:rPr>
            </w:pPr>
            <w:r>
              <w:rPr>
                <w:rFonts w:ascii="Arial" w:cs="Arial" w:eastAsia="Arial" w:hAnsi="Arial"/>
                <w:sz w:val="12"/>
                <w:szCs w:val="12"/>
                <w:color w:val="55565A"/>
              </w:rPr>
              <w:t>14</w:t>
            </w:r>
          </w:p>
        </w:tc>
      </w:tr>
      <w:tr>
        <w:trPr>
          <w:trHeight w:val="127"/>
        </w:trPr>
        <w:tc>
          <w:tcPr>
            <w:tcW w:w="20" w:type="dxa"/>
            <w:vAlign w:val="bottom"/>
            <w:tcBorders>
              <w:bottom w:val="single" w:sz="8" w:color="88888B"/>
            </w:tcBorders>
          </w:tcPr>
          <w:p>
            <w:pPr>
              <w:spacing w:after="0"/>
              <w:rPr>
                <w:sz w:val="11"/>
                <w:szCs w:val="11"/>
                <w:color w:val="auto"/>
              </w:rPr>
            </w:pPr>
          </w:p>
        </w:tc>
        <w:tc>
          <w:tcPr>
            <w:tcW w:w="5920" w:type="dxa"/>
            <w:vAlign w:val="bottom"/>
            <w:tcBorders>
              <w:bottom w:val="single" w:sz="8" w:color="88888B"/>
            </w:tcBorders>
          </w:tcPr>
          <w:p>
            <w:pPr>
              <w:spacing w:after="0" w:line="128" w:lineRule="exact"/>
              <w:rPr>
                <w:sz w:val="20"/>
                <w:szCs w:val="20"/>
                <w:color w:val="auto"/>
              </w:rPr>
            </w:pPr>
            <w:r>
              <w:rPr>
                <w:rFonts w:ascii="Arial" w:cs="Arial" w:eastAsia="Arial" w:hAnsi="Arial"/>
                <w:sz w:val="12"/>
                <w:szCs w:val="12"/>
                <w:b w:val="1"/>
                <w:bCs w:val="1"/>
                <w:color w:val="55565A"/>
              </w:rPr>
              <w:t>YPL - Share of post-tax earnings in equity method investments</w:t>
            </w:r>
          </w:p>
        </w:tc>
        <w:tc>
          <w:tcPr>
            <w:tcW w:w="4080" w:type="dxa"/>
            <w:vAlign w:val="bottom"/>
            <w:tcBorders>
              <w:bottom w:val="single" w:sz="8" w:color="88888B"/>
            </w:tcBorders>
          </w:tcPr>
          <w:p>
            <w:pPr>
              <w:jc w:val="right"/>
              <w:ind w:right="1438"/>
              <w:spacing w:after="0" w:line="128" w:lineRule="exact"/>
              <w:rPr>
                <w:sz w:val="20"/>
                <w:szCs w:val="20"/>
                <w:color w:val="auto"/>
              </w:rPr>
            </w:pPr>
            <w:r>
              <w:rPr>
                <w:rFonts w:ascii="Arial" w:cs="Arial" w:eastAsia="Arial" w:hAnsi="Arial"/>
                <w:sz w:val="12"/>
                <w:szCs w:val="12"/>
                <w:b w:val="1"/>
                <w:bCs w:val="1"/>
                <w:color w:val="55565A"/>
              </w:rPr>
              <w:t>-</w:t>
            </w:r>
          </w:p>
        </w:tc>
        <w:tc>
          <w:tcPr>
            <w:tcW w:w="900" w:type="dxa"/>
            <w:vAlign w:val="bottom"/>
            <w:tcBorders>
              <w:bottom w:val="single" w:sz="8" w:color="88888B"/>
            </w:tcBorders>
          </w:tcPr>
          <w:p>
            <w:pPr>
              <w:jc w:val="right"/>
              <w:ind w:right="538"/>
              <w:spacing w:after="0" w:line="128" w:lineRule="exact"/>
              <w:rPr>
                <w:sz w:val="20"/>
                <w:szCs w:val="20"/>
                <w:color w:val="auto"/>
              </w:rPr>
            </w:pPr>
            <w:r>
              <w:rPr>
                <w:rFonts w:ascii="Arial" w:cs="Arial" w:eastAsia="Arial" w:hAnsi="Arial"/>
                <w:sz w:val="12"/>
                <w:szCs w:val="12"/>
                <w:color w:val="55565A"/>
              </w:rPr>
              <w:t>574</w:t>
            </w:r>
          </w:p>
        </w:tc>
      </w:tr>
    </w:tbl>
    <w:p>
      <w:pPr>
        <w:spacing w:after="0" w:line="111" w:lineRule="exact"/>
        <w:rPr>
          <w:sz w:val="20"/>
          <w:szCs w:val="20"/>
          <w:color w:val="auto"/>
        </w:rPr>
      </w:pPr>
    </w:p>
    <w:p>
      <w:pPr>
        <w:ind w:left="600" w:hanging="433"/>
        <w:spacing w:after="0"/>
        <w:tabs>
          <w:tab w:leader="none" w:pos="600" w:val="left"/>
        </w:tabs>
        <w:numPr>
          <w:ilvl w:val="0"/>
          <w:numId w:val="5"/>
        </w:numPr>
        <w:rPr>
          <w:rFonts w:ascii="Arial" w:cs="Arial" w:eastAsia="Arial" w:hAnsi="Arial"/>
          <w:sz w:val="14"/>
          <w:szCs w:val="14"/>
          <w:color w:val="55565A"/>
        </w:rPr>
      </w:pPr>
      <w:r>
        <w:rPr>
          <w:rFonts w:ascii="Arial" w:cs="Arial" w:eastAsia="Arial" w:hAnsi="Arial"/>
          <w:sz w:val="14"/>
          <w:szCs w:val="14"/>
          <w:color w:val="55565A"/>
        </w:rPr>
        <w:t>Represents income from the recognition of a portion of the cumulative impact of equity transactions that were excluded from the Company’s investment in YPL.</w:t>
      </w:r>
    </w:p>
    <w:p>
      <w:pPr>
        <w:spacing w:after="0" w:line="101" w:lineRule="exact"/>
        <w:rPr>
          <w:rFonts w:ascii="Arial" w:cs="Arial" w:eastAsia="Arial" w:hAnsi="Arial"/>
          <w:sz w:val="14"/>
          <w:szCs w:val="14"/>
          <w:color w:val="55565A"/>
        </w:rPr>
      </w:pPr>
    </w:p>
    <w:p>
      <w:pPr>
        <w:ind w:left="160"/>
        <w:spacing w:after="0"/>
        <w:rPr>
          <w:rFonts w:ascii="Arial" w:cs="Arial" w:eastAsia="Arial" w:hAnsi="Arial"/>
          <w:sz w:val="14"/>
          <w:szCs w:val="14"/>
          <w:color w:val="55565A"/>
        </w:rPr>
      </w:pPr>
      <w:r>
        <w:rPr>
          <w:rFonts w:ascii="Arial" w:cs="Arial" w:eastAsia="Arial" w:hAnsi="Arial"/>
          <w:sz w:val="16"/>
          <w:szCs w:val="16"/>
          <w:b w:val="1"/>
          <w:bCs w:val="1"/>
          <w:color w:val="55565A"/>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3"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280" w:type="dxa"/>
            <w:vAlign w:val="bottom"/>
          </w:tcPr>
          <w:p>
            <w:pPr>
              <w:jc w:val="right"/>
              <w:spacing w:after="0"/>
              <w:rPr>
                <w:sz w:val="20"/>
                <w:szCs w:val="20"/>
                <w:color w:val="auto"/>
              </w:rPr>
            </w:pPr>
            <w:r>
              <w:rPr>
                <w:rFonts w:ascii="Arial" w:cs="Arial" w:eastAsia="Arial" w:hAnsi="Arial"/>
                <w:sz w:val="12"/>
                <w:szCs w:val="12"/>
                <w:b w:val="1"/>
                <w:bCs w:val="1"/>
                <w:color w:val="55565A"/>
              </w:rPr>
              <w:t>Three months ended March 31,</w:t>
            </w:r>
          </w:p>
        </w:tc>
        <w:tc>
          <w:tcPr>
            <w:tcW w:w="880" w:type="dxa"/>
            <w:vAlign w:val="bottom"/>
          </w:tcPr>
          <w:p>
            <w:pPr>
              <w:spacing w:after="0"/>
              <w:rPr>
                <w:sz w:val="14"/>
                <w:szCs w:val="14"/>
                <w:color w:val="auto"/>
              </w:rPr>
            </w:pPr>
          </w:p>
        </w:tc>
      </w:tr>
      <w:tr>
        <w:trPr>
          <w:trHeight w:val="241"/>
        </w:trPr>
        <w:tc>
          <w:tcPr>
            <w:tcW w:w="4760" w:type="dxa"/>
            <w:vAlign w:val="bottom"/>
            <w:gridSpan w:val="2"/>
          </w:tcPr>
          <w:p>
            <w:pPr>
              <w:spacing w:after="0"/>
              <w:rPr>
                <w:sz w:val="20"/>
                <w:szCs w:val="20"/>
                <w:color w:val="auto"/>
              </w:rPr>
            </w:pPr>
            <w:r>
              <w:rPr>
                <w:rFonts w:ascii="Arial" w:cs="Arial" w:eastAsia="Arial" w:hAnsi="Arial"/>
                <w:sz w:val="12"/>
                <w:szCs w:val="12"/>
                <w:color w:val="55565A"/>
              </w:rPr>
              <w:t>(millions of U.S. dollars)</w:t>
            </w:r>
          </w:p>
        </w:tc>
        <w:tc>
          <w:tcPr>
            <w:tcW w:w="5280" w:type="dxa"/>
            <w:vAlign w:val="bottom"/>
          </w:tcPr>
          <w:p>
            <w:pPr>
              <w:jc w:val="right"/>
              <w:ind w:right="1438"/>
              <w:spacing w:after="0"/>
              <w:rPr>
                <w:sz w:val="20"/>
                <w:szCs w:val="20"/>
                <w:color w:val="auto"/>
              </w:rPr>
            </w:pPr>
            <w:r>
              <w:rPr>
                <w:rFonts w:ascii="Arial" w:cs="Arial" w:eastAsia="Arial" w:hAnsi="Arial"/>
                <w:sz w:val="12"/>
                <w:szCs w:val="12"/>
                <w:b w:val="1"/>
                <w:bCs w:val="1"/>
                <w:color w:val="55565A"/>
              </w:rPr>
              <w:t>2024</w:t>
            </w:r>
          </w:p>
        </w:tc>
        <w:tc>
          <w:tcPr>
            <w:tcW w:w="880" w:type="dxa"/>
            <w:vAlign w:val="bottom"/>
          </w:tcPr>
          <w:p>
            <w:pPr>
              <w:jc w:val="right"/>
              <w:ind w:right="518"/>
              <w:spacing w:after="0"/>
              <w:rPr>
                <w:sz w:val="20"/>
                <w:szCs w:val="20"/>
                <w:color w:val="auto"/>
              </w:rPr>
            </w:pPr>
            <w:r>
              <w:rPr>
                <w:rFonts w:ascii="Arial" w:cs="Arial" w:eastAsia="Arial" w:hAnsi="Arial"/>
                <w:sz w:val="12"/>
                <w:szCs w:val="12"/>
                <w:color w:val="55565A"/>
              </w:rPr>
              <w:t>2023</w:t>
            </w:r>
          </w:p>
        </w:tc>
      </w:tr>
      <w:tr>
        <w:trPr>
          <w:trHeight w:val="34"/>
        </w:trPr>
        <w:tc>
          <w:tcPr>
            <w:tcW w:w="20" w:type="dxa"/>
            <w:vAlign w:val="bottom"/>
          </w:tcPr>
          <w:p>
            <w:pPr>
              <w:spacing w:after="0"/>
              <w:rPr>
                <w:sz w:val="2"/>
                <w:szCs w:val="2"/>
                <w:color w:val="auto"/>
              </w:rPr>
            </w:pPr>
          </w:p>
        </w:tc>
        <w:tc>
          <w:tcPr>
            <w:tcW w:w="4740" w:type="dxa"/>
            <w:vAlign w:val="bottom"/>
            <w:tcBorders>
              <w:bottom w:val="single" w:sz="8" w:color="88888B"/>
            </w:tcBorders>
          </w:tcPr>
          <w:p>
            <w:pPr>
              <w:spacing w:after="0"/>
              <w:rPr>
                <w:sz w:val="2"/>
                <w:szCs w:val="2"/>
                <w:color w:val="auto"/>
              </w:rPr>
            </w:pPr>
          </w:p>
        </w:tc>
        <w:tc>
          <w:tcPr>
            <w:tcW w:w="5280" w:type="dxa"/>
            <w:vAlign w:val="bottom"/>
            <w:tcBorders>
              <w:bottom w:val="single" w:sz="8" w:color="88888B"/>
            </w:tcBorders>
          </w:tcPr>
          <w:p>
            <w:pPr>
              <w:spacing w:after="0"/>
              <w:rPr>
                <w:sz w:val="2"/>
                <w:szCs w:val="2"/>
                <w:color w:val="auto"/>
              </w:rPr>
            </w:pPr>
          </w:p>
        </w:tc>
        <w:tc>
          <w:tcPr>
            <w:tcW w:w="880" w:type="dxa"/>
            <w:vAlign w:val="bottom"/>
            <w:tcBorders>
              <w:bottom w:val="single" w:sz="8" w:color="88888B"/>
            </w:tcBorders>
          </w:tcPr>
          <w:p>
            <w:pPr>
              <w:spacing w:after="0"/>
              <w:rPr>
                <w:sz w:val="2"/>
                <w:szCs w:val="2"/>
                <w:color w:val="auto"/>
              </w:rPr>
            </w:pPr>
          </w:p>
        </w:tc>
      </w:tr>
      <w:tr>
        <w:trPr>
          <w:trHeight w:val="127"/>
        </w:trPr>
        <w:tc>
          <w:tcPr>
            <w:tcW w:w="20" w:type="dxa"/>
            <w:vAlign w:val="bottom"/>
          </w:tcPr>
          <w:p>
            <w:pPr>
              <w:spacing w:after="0"/>
              <w:rPr>
                <w:sz w:val="11"/>
                <w:szCs w:val="11"/>
                <w:color w:val="auto"/>
              </w:rPr>
            </w:pPr>
          </w:p>
        </w:tc>
        <w:tc>
          <w:tcPr>
            <w:tcW w:w="4740" w:type="dxa"/>
            <w:vAlign w:val="bottom"/>
            <w:tcBorders>
              <w:bottom w:val="single" w:sz="8" w:color="88888B"/>
            </w:tcBorders>
            <w:shd w:val="clear" w:color="auto" w:fill="CCEEFF"/>
          </w:tcPr>
          <w:p>
            <w:pPr>
              <w:spacing w:after="0" w:line="128" w:lineRule="exact"/>
              <w:rPr>
                <w:sz w:val="20"/>
                <w:szCs w:val="20"/>
                <w:color w:val="auto"/>
              </w:rPr>
            </w:pPr>
            <w:r>
              <w:rPr>
                <w:rFonts w:ascii="Arial" w:cs="Arial" w:eastAsia="Arial" w:hAnsi="Arial"/>
                <w:sz w:val="12"/>
                <w:szCs w:val="12"/>
                <w:b w:val="1"/>
                <w:bCs w:val="1"/>
                <w:color w:val="55565A"/>
              </w:rPr>
              <w:t>Tax expense</w:t>
            </w:r>
          </w:p>
        </w:tc>
        <w:tc>
          <w:tcPr>
            <w:tcW w:w="5280" w:type="dxa"/>
            <w:vAlign w:val="bottom"/>
            <w:tcBorders>
              <w:bottom w:val="single" w:sz="8" w:color="88888B"/>
            </w:tcBorders>
            <w:shd w:val="clear" w:color="auto" w:fill="CCEEFF"/>
          </w:tcPr>
          <w:p>
            <w:pPr>
              <w:jc w:val="right"/>
              <w:ind w:right="1438"/>
              <w:spacing w:after="0" w:line="128" w:lineRule="exact"/>
              <w:rPr>
                <w:sz w:val="20"/>
                <w:szCs w:val="20"/>
                <w:color w:val="auto"/>
              </w:rPr>
            </w:pPr>
            <w:r>
              <w:rPr>
                <w:rFonts w:ascii="Arial" w:cs="Arial" w:eastAsia="Arial" w:hAnsi="Arial"/>
                <w:sz w:val="12"/>
                <w:szCs w:val="12"/>
                <w:b w:val="1"/>
                <w:bCs w:val="1"/>
                <w:color w:val="55565A"/>
              </w:rPr>
              <w:t>67</w:t>
            </w:r>
          </w:p>
        </w:tc>
        <w:tc>
          <w:tcPr>
            <w:tcW w:w="880" w:type="dxa"/>
            <w:vAlign w:val="bottom"/>
            <w:tcBorders>
              <w:bottom w:val="single" w:sz="8" w:color="88888B"/>
            </w:tcBorders>
            <w:shd w:val="clear" w:color="auto" w:fill="CCEEFF"/>
          </w:tcPr>
          <w:p>
            <w:pPr>
              <w:jc w:val="right"/>
              <w:ind w:right="518"/>
              <w:spacing w:after="0" w:line="128" w:lineRule="exact"/>
              <w:rPr>
                <w:sz w:val="20"/>
                <w:szCs w:val="20"/>
                <w:color w:val="auto"/>
              </w:rPr>
            </w:pPr>
            <w:r>
              <w:rPr>
                <w:rFonts w:ascii="Arial" w:cs="Arial" w:eastAsia="Arial" w:hAnsi="Arial"/>
                <w:sz w:val="12"/>
                <w:szCs w:val="12"/>
                <w:color w:val="55565A"/>
              </w:rPr>
              <w:t>196</w:t>
            </w:r>
          </w:p>
        </w:tc>
      </w:tr>
    </w:tbl>
    <w:p>
      <w:pPr>
        <w:spacing w:after="0" w:line="93" w:lineRule="exact"/>
        <w:rPr>
          <w:sz w:val="20"/>
          <w:szCs w:val="20"/>
          <w:color w:val="auto"/>
        </w:rPr>
      </w:pPr>
    </w:p>
    <w:p>
      <w:pPr>
        <w:jc w:val="both"/>
        <w:ind w:left="160" w:right="280"/>
        <w:spacing w:after="0" w:line="262" w:lineRule="auto"/>
        <w:rPr>
          <w:sz w:val="20"/>
          <w:szCs w:val="20"/>
          <w:color w:val="auto"/>
        </w:rPr>
      </w:pPr>
      <w:r>
        <w:rPr>
          <w:rFonts w:ascii="Arial" w:cs="Arial" w:eastAsia="Arial" w:hAnsi="Arial"/>
          <w:sz w:val="16"/>
          <w:szCs w:val="16"/>
          <w:color w:val="55565A"/>
        </w:rPr>
        <w:t>Tax expense decreased as the prior-year period included $136 million of expense related to significantly higher earnings in equity method investments driven by the increase in value of our LSEG investment. In the first quarter of 2024, tax expense included a $15 million benefit from the release of tax reserves due to the favorable resolution of a tax dispute.</w:t>
      </w:r>
    </w:p>
    <w:p>
      <w:pPr>
        <w:spacing w:after="0" w:line="66" w:lineRule="exact"/>
        <w:rPr>
          <w:sz w:val="20"/>
          <w:szCs w:val="20"/>
          <w:color w:val="auto"/>
        </w:rPr>
      </w:pPr>
    </w:p>
    <w:p>
      <w:pPr>
        <w:ind w:left="160" w:right="160"/>
        <w:spacing w:after="0" w:line="253" w:lineRule="auto"/>
        <w:rPr>
          <w:sz w:val="20"/>
          <w:szCs w:val="20"/>
          <w:color w:val="auto"/>
        </w:rPr>
      </w:pPr>
      <w:r>
        <w:rPr>
          <w:rFonts w:ascii="Arial" w:cs="Arial" w:eastAsia="Arial" w:hAnsi="Arial"/>
          <w:sz w:val="16"/>
          <w:szCs w:val="16"/>
          <w:color w:val="55565A"/>
        </w:rPr>
        <w:t>In January 2024, we began recording tax expense associated with the “Pillar Two model rules” as published by the Organization for Economic Cooperation and Development (OECD). These rules are designed to ensure large multinational enterprises within the scope of the rules pay a minimum level of tax in each jurisdiction where they operate. In general, the “Pillar Two model rules” apply a system of top-up taxes to bring the enterprise’s effective tax rate in each jurisdiction to a minimum of 15%. In the first quarter of 2024, our income tax expense included $2 million of top-up tax, which was attributable to our earnings in Switzerland.</w:t>
      </w:r>
    </w:p>
    <w:p>
      <w:pPr>
        <w:spacing w:after="0" w:line="73"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55565A"/>
        </w:rPr>
        <w:t>Additionally, the tax benefit or expense in each period reflected the mix of taxing jurisdictions in which pre-tax profits and losses were recognized. Because the geographical mix of pre-tax profits and losses in interim periods may be different from that for the full year, tax expense or benefit in interim periods is not necessarily indicative of the tax benefit or expense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7</w:t>
      </w:r>
    </w:p>
    <w:p>
      <w:pPr>
        <w:sectPr>
          <w:pgSz w:w="11900" w:h="16838" w:orient="portrait"/>
          <w:cols w:equalWidth="0" w:num="1">
            <w:col w:w="11080"/>
          </w:cols>
          <w:pgMar w:left="320" w:top="454"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55565A"/>
        </w:rPr>
        <w:t>The comparability of our tax expense was impacted by various transactions and accounting adjustments during each period. The following table sets forth certain components within income tax expense that impact comparability from period to period, including tax expense associated with items that are removed from adjusted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59690</wp:posOffset>
            </wp:positionV>
            <wp:extent cx="69297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4740" w:type="dxa"/>
            <w:vAlign w:val="bottom"/>
            <w:gridSpan w:val="2"/>
          </w:tcPr>
          <w:p>
            <w:pPr>
              <w:jc w:val="right"/>
              <w:ind w:right="629"/>
              <w:spacing w:after="0"/>
              <w:rPr>
                <w:sz w:val="20"/>
                <w:szCs w:val="20"/>
                <w:color w:val="auto"/>
              </w:rPr>
            </w:pPr>
            <w:r>
              <w:rPr>
                <w:rFonts w:ascii="Arial" w:cs="Arial" w:eastAsia="Arial" w:hAnsi="Arial"/>
                <w:sz w:val="14"/>
                <w:szCs w:val="14"/>
                <w:b w:val="1"/>
                <w:bCs w:val="1"/>
                <w:color w:val="55565A"/>
              </w:rPr>
              <w:t>Three months ended March 31,</w:t>
            </w:r>
          </w:p>
        </w:tc>
      </w:tr>
      <w:tr>
        <w:trPr>
          <w:trHeight w:val="316"/>
        </w:trPr>
        <w:tc>
          <w:tcPr>
            <w:tcW w:w="6180" w:type="dxa"/>
            <w:vAlign w:val="bottom"/>
            <w:gridSpan w:val="2"/>
          </w:tcPr>
          <w:p>
            <w:pPr>
              <w:spacing w:after="0"/>
              <w:rPr>
                <w:sz w:val="20"/>
                <w:szCs w:val="20"/>
                <w:color w:val="auto"/>
              </w:rPr>
            </w:pPr>
            <w:r>
              <w:rPr>
                <w:rFonts w:ascii="Arial" w:cs="Arial" w:eastAsia="Arial" w:hAnsi="Arial"/>
                <w:sz w:val="14"/>
                <w:szCs w:val="14"/>
                <w:color w:val="55565A"/>
              </w:rPr>
              <w:t>(millions of U.S. dollars)</w:t>
            </w:r>
          </w:p>
        </w:tc>
        <w:tc>
          <w:tcPr>
            <w:tcW w:w="3020" w:type="dxa"/>
            <w:vAlign w:val="bottom"/>
          </w:tcPr>
          <w:p>
            <w:pPr>
              <w:jc w:val="right"/>
              <w:ind w:right="589"/>
              <w:spacing w:after="0"/>
              <w:rPr>
                <w:sz w:val="20"/>
                <w:szCs w:val="20"/>
                <w:color w:val="auto"/>
              </w:rPr>
            </w:pPr>
            <w:r>
              <w:rPr>
                <w:rFonts w:ascii="Arial" w:cs="Arial" w:eastAsia="Arial" w:hAnsi="Arial"/>
                <w:sz w:val="14"/>
                <w:szCs w:val="14"/>
                <w:b w:val="1"/>
                <w:bCs w:val="1"/>
                <w:color w:val="55565A"/>
              </w:rPr>
              <w:t>2024</w:t>
            </w:r>
          </w:p>
        </w:tc>
        <w:tc>
          <w:tcPr>
            <w:tcW w:w="1720" w:type="dxa"/>
            <w:vAlign w:val="bottom"/>
          </w:tcPr>
          <w:p>
            <w:pPr>
              <w:jc w:val="right"/>
              <w:ind w:right="549"/>
              <w:spacing w:after="0"/>
              <w:rPr>
                <w:sz w:val="20"/>
                <w:szCs w:val="20"/>
                <w:color w:val="auto"/>
              </w:rPr>
            </w:pPr>
            <w:r>
              <w:rPr>
                <w:rFonts w:ascii="Arial" w:cs="Arial" w:eastAsia="Arial" w:hAnsi="Arial"/>
                <w:sz w:val="14"/>
                <w:szCs w:val="14"/>
                <w:color w:val="55565A"/>
              </w:rPr>
              <w:t>2023</w:t>
            </w:r>
            <w:r>
              <w:rPr>
                <w:rFonts w:ascii="Arial" w:cs="Arial" w:eastAsia="Arial" w:hAnsi="Arial"/>
                <w:sz w:val="21"/>
                <w:szCs w:val="21"/>
                <w:color w:val="55565A"/>
                <w:vertAlign w:val="superscript"/>
              </w:rPr>
              <w:t>(1)</w:t>
            </w:r>
          </w:p>
        </w:tc>
      </w:tr>
      <w:tr>
        <w:trPr>
          <w:trHeight w:val="160"/>
        </w:trPr>
        <w:tc>
          <w:tcPr>
            <w:tcW w:w="20" w:type="dxa"/>
            <w:vAlign w:val="bottom"/>
          </w:tcPr>
          <w:p>
            <w:pPr>
              <w:spacing w:after="0"/>
              <w:rPr>
                <w:sz w:val="13"/>
                <w:szCs w:val="13"/>
                <w:color w:val="auto"/>
              </w:rPr>
            </w:pPr>
          </w:p>
        </w:tc>
        <w:tc>
          <w:tcPr>
            <w:tcW w:w="6160" w:type="dxa"/>
            <w:vAlign w:val="bottom"/>
            <w:tcBorders>
              <w:top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Tax expense (benefit)</w:t>
            </w:r>
          </w:p>
        </w:tc>
        <w:tc>
          <w:tcPr>
            <w:tcW w:w="3020" w:type="dxa"/>
            <w:vAlign w:val="bottom"/>
            <w:tcBorders>
              <w:top w:val="single" w:sz="8" w:color="88888B"/>
            </w:tcBorders>
            <w:shd w:val="clear" w:color="auto" w:fill="CCEEFF"/>
          </w:tcPr>
          <w:p>
            <w:pPr>
              <w:spacing w:after="0"/>
              <w:rPr>
                <w:sz w:val="13"/>
                <w:szCs w:val="13"/>
                <w:color w:val="auto"/>
              </w:rPr>
            </w:pPr>
          </w:p>
        </w:tc>
        <w:tc>
          <w:tcPr>
            <w:tcW w:w="1720" w:type="dxa"/>
            <w:vAlign w:val="bottom"/>
            <w:tcBorders>
              <w:top w:val="single" w:sz="8" w:color="88888B"/>
            </w:tcBorders>
            <w:shd w:val="clear" w:color="auto" w:fill="CCEEFF"/>
          </w:tcPr>
          <w:p>
            <w:pPr>
              <w:spacing w:after="0"/>
              <w:rPr>
                <w:sz w:val="13"/>
                <w:szCs w:val="13"/>
                <w:color w:val="auto"/>
              </w:rPr>
            </w:pPr>
          </w:p>
        </w:tc>
      </w:tr>
      <w:tr>
        <w:trPr>
          <w:trHeight w:val="213"/>
        </w:trPr>
        <w:tc>
          <w:tcPr>
            <w:tcW w:w="6180" w:type="dxa"/>
            <w:vAlign w:val="bottom"/>
            <w:gridSpan w:val="2"/>
          </w:tcPr>
          <w:p>
            <w:pPr>
              <w:spacing w:after="0"/>
              <w:rPr>
                <w:sz w:val="20"/>
                <w:szCs w:val="20"/>
                <w:color w:val="auto"/>
              </w:rPr>
            </w:pPr>
            <w:r>
              <w:rPr>
                <w:rFonts w:ascii="Arial" w:cs="Arial" w:eastAsia="Arial" w:hAnsi="Arial"/>
                <w:sz w:val="14"/>
                <w:szCs w:val="14"/>
                <w:b w:val="1"/>
                <w:bCs w:val="1"/>
                <w:color w:val="55565A"/>
              </w:rPr>
              <w:t>Tax items impacting comparability:</w:t>
            </w:r>
          </w:p>
        </w:tc>
        <w:tc>
          <w:tcPr>
            <w:tcW w:w="30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6160" w:type="dxa"/>
            <w:vAlign w:val="bottom"/>
            <w:shd w:val="clear" w:color="auto" w:fill="CCEEFF"/>
          </w:tcPr>
          <w:p>
            <w:pPr>
              <w:ind w:left="140"/>
              <w:spacing w:after="0" w:line="161" w:lineRule="exact"/>
              <w:rPr>
                <w:sz w:val="20"/>
                <w:szCs w:val="20"/>
                <w:color w:val="auto"/>
              </w:rPr>
            </w:pPr>
            <w:r>
              <w:rPr>
                <w:rFonts w:ascii="Arial" w:cs="Arial" w:eastAsia="Arial" w:hAnsi="Arial"/>
                <w:sz w:val="12"/>
                <w:szCs w:val="12"/>
                <w:color w:val="55565A"/>
              </w:rPr>
              <w:t>Discrete changes to uncertain tax positions</w:t>
            </w:r>
            <w:r>
              <w:rPr>
                <w:rFonts w:ascii="Arial" w:cs="Arial" w:eastAsia="Arial" w:hAnsi="Arial"/>
                <w:sz w:val="18"/>
                <w:szCs w:val="18"/>
                <w:color w:val="55565A"/>
                <w:vertAlign w:val="superscript"/>
              </w:rPr>
              <w:t>(2)</w:t>
            </w:r>
          </w:p>
        </w:tc>
        <w:tc>
          <w:tcPr>
            <w:tcW w:w="3020" w:type="dxa"/>
            <w:vAlign w:val="bottom"/>
            <w:shd w:val="clear" w:color="auto" w:fill="CCEEFF"/>
          </w:tcPr>
          <w:p>
            <w:pPr>
              <w:jc w:val="right"/>
              <w:ind w:right="589"/>
              <w:spacing w:after="0"/>
              <w:rPr>
                <w:sz w:val="20"/>
                <w:szCs w:val="20"/>
                <w:color w:val="auto"/>
              </w:rPr>
            </w:pPr>
            <w:r>
              <w:rPr>
                <w:rFonts w:ascii="Arial" w:cs="Arial" w:eastAsia="Arial" w:hAnsi="Arial"/>
                <w:sz w:val="14"/>
                <w:szCs w:val="14"/>
                <w:b w:val="1"/>
                <w:bCs w:val="1"/>
                <w:color w:val="55565A"/>
              </w:rPr>
              <w:t>(15)</w:t>
            </w:r>
          </w:p>
        </w:tc>
        <w:tc>
          <w:tcPr>
            <w:tcW w:w="1720" w:type="dxa"/>
            <w:vAlign w:val="bottom"/>
            <w:shd w:val="clear" w:color="auto" w:fill="CCEEFF"/>
          </w:tcPr>
          <w:p>
            <w:pPr>
              <w:jc w:val="right"/>
              <w:ind w:right="549"/>
              <w:spacing w:after="0"/>
              <w:rPr>
                <w:sz w:val="20"/>
                <w:szCs w:val="20"/>
                <w:color w:val="auto"/>
              </w:rPr>
            </w:pPr>
            <w:r>
              <w:rPr>
                <w:rFonts w:ascii="Arial" w:cs="Arial" w:eastAsia="Arial" w:hAnsi="Arial"/>
                <w:sz w:val="14"/>
                <w:szCs w:val="14"/>
                <w:color w:val="55565A"/>
              </w:rPr>
              <w:t>-</w:t>
            </w:r>
          </w:p>
        </w:tc>
      </w:tr>
      <w:tr>
        <w:trPr>
          <w:trHeight w:val="167"/>
        </w:trPr>
        <w:tc>
          <w:tcPr>
            <w:tcW w:w="20" w:type="dxa"/>
            <w:vAlign w:val="bottom"/>
          </w:tcPr>
          <w:p>
            <w:pPr>
              <w:spacing w:after="0"/>
              <w:rPr>
                <w:sz w:val="14"/>
                <w:szCs w:val="14"/>
                <w:color w:val="auto"/>
              </w:rPr>
            </w:pPr>
          </w:p>
        </w:tc>
        <w:tc>
          <w:tcPr>
            <w:tcW w:w="6160" w:type="dxa"/>
            <w:vAlign w:val="bottom"/>
            <w:tcBorders>
              <w:bottom w:val="single" w:sz="8" w:color="88888B"/>
            </w:tcBorders>
          </w:tcPr>
          <w:p>
            <w:pPr>
              <w:ind w:left="140"/>
              <w:spacing w:after="0" w:line="161" w:lineRule="exact"/>
              <w:rPr>
                <w:sz w:val="20"/>
                <w:szCs w:val="20"/>
                <w:color w:val="auto"/>
              </w:rPr>
            </w:pPr>
            <w:r>
              <w:rPr>
                <w:rFonts w:ascii="Arial" w:cs="Arial" w:eastAsia="Arial" w:hAnsi="Arial"/>
                <w:sz w:val="12"/>
                <w:szCs w:val="12"/>
                <w:color w:val="55565A"/>
              </w:rPr>
              <w:t>Deferred tax adjustments</w:t>
            </w:r>
            <w:r>
              <w:rPr>
                <w:rFonts w:ascii="Arial" w:cs="Arial" w:eastAsia="Arial" w:hAnsi="Arial"/>
                <w:sz w:val="18"/>
                <w:szCs w:val="18"/>
                <w:color w:val="55565A"/>
                <w:vertAlign w:val="superscript"/>
              </w:rPr>
              <w:t>(3)</w:t>
            </w:r>
          </w:p>
        </w:tc>
        <w:tc>
          <w:tcPr>
            <w:tcW w:w="3020" w:type="dxa"/>
            <w:vAlign w:val="bottom"/>
            <w:tcBorders>
              <w:bottom w:val="single" w:sz="8" w:color="88888B"/>
            </w:tcBorders>
          </w:tcPr>
          <w:p>
            <w:pPr>
              <w:jc w:val="right"/>
              <w:ind w:right="589"/>
              <w:spacing w:after="0"/>
              <w:rPr>
                <w:sz w:val="20"/>
                <w:szCs w:val="20"/>
                <w:color w:val="auto"/>
              </w:rPr>
            </w:pPr>
            <w:r>
              <w:rPr>
                <w:rFonts w:ascii="Arial" w:cs="Arial" w:eastAsia="Arial" w:hAnsi="Arial"/>
                <w:sz w:val="14"/>
                <w:szCs w:val="14"/>
                <w:b w:val="1"/>
                <w:bCs w:val="1"/>
                <w:color w:val="55565A"/>
              </w:rPr>
              <w:t>4</w:t>
            </w:r>
          </w:p>
        </w:tc>
        <w:tc>
          <w:tcPr>
            <w:tcW w:w="1720" w:type="dxa"/>
            <w:vAlign w:val="bottom"/>
            <w:tcBorders>
              <w:bottom w:val="single" w:sz="8" w:color="88888B"/>
            </w:tcBorders>
          </w:tcPr>
          <w:p>
            <w:pPr>
              <w:jc w:val="right"/>
              <w:ind w:right="549"/>
              <w:spacing w:after="0"/>
              <w:rPr>
                <w:sz w:val="20"/>
                <w:szCs w:val="20"/>
                <w:color w:val="auto"/>
              </w:rPr>
            </w:pPr>
            <w:r>
              <w:rPr>
                <w:rFonts w:ascii="Arial" w:cs="Arial" w:eastAsia="Arial" w:hAnsi="Arial"/>
                <w:sz w:val="14"/>
                <w:szCs w:val="14"/>
                <w:color w:val="55565A"/>
              </w:rPr>
              <w:t>-</w:t>
            </w:r>
          </w:p>
        </w:tc>
      </w:tr>
      <w:tr>
        <w:trPr>
          <w:trHeight w:val="160"/>
        </w:trPr>
        <w:tc>
          <w:tcPr>
            <w:tcW w:w="20" w:type="dxa"/>
            <w:vAlign w:val="bottom"/>
          </w:tcPr>
          <w:p>
            <w:pPr>
              <w:spacing w:after="0"/>
              <w:rPr>
                <w:sz w:val="13"/>
                <w:szCs w:val="13"/>
                <w:color w:val="auto"/>
              </w:rPr>
            </w:pPr>
          </w:p>
        </w:tc>
        <w:tc>
          <w:tcPr>
            <w:tcW w:w="6160" w:type="dxa"/>
            <w:vAlign w:val="bottom"/>
            <w:tcBorders>
              <w:bottom w:val="single" w:sz="8" w:color="88888B"/>
            </w:tcBorders>
            <w:shd w:val="clear" w:color="auto" w:fill="CCEEFF"/>
          </w:tcPr>
          <w:p>
            <w:pPr>
              <w:ind w:left="280"/>
              <w:spacing w:after="0"/>
              <w:rPr>
                <w:sz w:val="20"/>
                <w:szCs w:val="20"/>
                <w:color w:val="auto"/>
              </w:rPr>
            </w:pPr>
            <w:r>
              <w:rPr>
                <w:rFonts w:ascii="Arial" w:cs="Arial" w:eastAsia="Arial" w:hAnsi="Arial"/>
                <w:sz w:val="14"/>
                <w:szCs w:val="14"/>
                <w:color w:val="55565A"/>
              </w:rPr>
              <w:t>Subtotal</w:t>
            </w:r>
          </w:p>
        </w:tc>
        <w:tc>
          <w:tcPr>
            <w:tcW w:w="3020" w:type="dxa"/>
            <w:vAlign w:val="bottom"/>
            <w:tcBorders>
              <w:bottom w:val="single" w:sz="8" w:color="88888B"/>
            </w:tcBorders>
            <w:shd w:val="clear" w:color="auto" w:fill="CCEEFF"/>
          </w:tcPr>
          <w:p>
            <w:pPr>
              <w:jc w:val="right"/>
              <w:ind w:right="589"/>
              <w:spacing w:after="0"/>
              <w:rPr>
                <w:sz w:val="20"/>
                <w:szCs w:val="20"/>
                <w:color w:val="auto"/>
              </w:rPr>
            </w:pPr>
            <w:r>
              <w:rPr>
                <w:rFonts w:ascii="Arial" w:cs="Arial" w:eastAsia="Arial" w:hAnsi="Arial"/>
                <w:sz w:val="14"/>
                <w:szCs w:val="14"/>
                <w:b w:val="1"/>
                <w:bCs w:val="1"/>
                <w:color w:val="55565A"/>
              </w:rPr>
              <w:t>(11)</w:t>
            </w:r>
          </w:p>
        </w:tc>
        <w:tc>
          <w:tcPr>
            <w:tcW w:w="1720" w:type="dxa"/>
            <w:vAlign w:val="bottom"/>
            <w:tcBorders>
              <w:bottom w:val="single" w:sz="8" w:color="88888B"/>
            </w:tcBorders>
            <w:shd w:val="clear" w:color="auto" w:fill="CCEEFF"/>
          </w:tcPr>
          <w:p>
            <w:pPr>
              <w:jc w:val="right"/>
              <w:ind w:right="549"/>
              <w:spacing w:after="0"/>
              <w:rPr>
                <w:sz w:val="20"/>
                <w:szCs w:val="20"/>
                <w:color w:val="auto"/>
              </w:rPr>
            </w:pPr>
            <w:r>
              <w:rPr>
                <w:rFonts w:ascii="Arial" w:cs="Arial" w:eastAsia="Arial" w:hAnsi="Arial"/>
                <w:sz w:val="14"/>
                <w:szCs w:val="14"/>
                <w:color w:val="55565A"/>
              </w:rPr>
              <w:t>-</w:t>
            </w:r>
          </w:p>
        </w:tc>
      </w:tr>
      <w:tr>
        <w:trPr>
          <w:trHeight w:val="181"/>
        </w:trPr>
        <w:tc>
          <w:tcPr>
            <w:tcW w:w="2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Arial" w:cs="Arial" w:eastAsia="Arial" w:hAnsi="Arial"/>
                <w:sz w:val="14"/>
                <w:szCs w:val="14"/>
                <w:b w:val="1"/>
                <w:bCs w:val="1"/>
                <w:color w:val="55565A"/>
              </w:rPr>
              <w:t>Tax related to:</w:t>
            </w:r>
          </w:p>
        </w:tc>
        <w:tc>
          <w:tcPr>
            <w:tcW w:w="30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6160" w:type="dxa"/>
            <w:vAlign w:val="bottom"/>
            <w:shd w:val="clear" w:color="auto" w:fill="CCEEFF"/>
          </w:tcPr>
          <w:p>
            <w:pPr>
              <w:ind w:left="140"/>
              <w:spacing w:after="0" w:line="161" w:lineRule="exact"/>
              <w:rPr>
                <w:sz w:val="20"/>
                <w:szCs w:val="20"/>
                <w:color w:val="auto"/>
              </w:rPr>
            </w:pPr>
            <w:r>
              <w:rPr>
                <w:rFonts w:ascii="Arial" w:cs="Arial" w:eastAsia="Arial" w:hAnsi="Arial"/>
                <w:sz w:val="12"/>
                <w:szCs w:val="12"/>
                <w:color w:val="55565A"/>
              </w:rPr>
              <w:t>Amortization of acquired computer software</w:t>
            </w:r>
            <w:r>
              <w:rPr>
                <w:rFonts w:ascii="Arial" w:cs="Arial" w:eastAsia="Arial" w:hAnsi="Arial"/>
                <w:sz w:val="18"/>
                <w:szCs w:val="18"/>
                <w:color w:val="55565A"/>
                <w:vertAlign w:val="superscript"/>
              </w:rPr>
              <w:t>(1)</w:t>
            </w:r>
          </w:p>
        </w:tc>
        <w:tc>
          <w:tcPr>
            <w:tcW w:w="3020" w:type="dxa"/>
            <w:vAlign w:val="bottom"/>
            <w:shd w:val="clear" w:color="auto" w:fill="CCEEFF"/>
          </w:tcPr>
          <w:p>
            <w:pPr>
              <w:jc w:val="right"/>
              <w:ind w:right="589"/>
              <w:spacing w:after="0"/>
              <w:rPr>
                <w:sz w:val="20"/>
                <w:szCs w:val="20"/>
                <w:color w:val="auto"/>
              </w:rPr>
            </w:pPr>
            <w:r>
              <w:rPr>
                <w:rFonts w:ascii="Arial" w:cs="Arial" w:eastAsia="Arial" w:hAnsi="Arial"/>
                <w:sz w:val="14"/>
                <w:szCs w:val="14"/>
                <w:b w:val="1"/>
                <w:bCs w:val="1"/>
                <w:color w:val="55565A"/>
              </w:rPr>
              <w:t>(9)</w:t>
            </w:r>
          </w:p>
        </w:tc>
        <w:tc>
          <w:tcPr>
            <w:tcW w:w="1720" w:type="dxa"/>
            <w:vAlign w:val="bottom"/>
            <w:shd w:val="clear" w:color="auto" w:fill="CCEEFF"/>
          </w:tcPr>
          <w:p>
            <w:pPr>
              <w:jc w:val="right"/>
              <w:ind w:right="549"/>
              <w:spacing w:after="0"/>
              <w:rPr>
                <w:sz w:val="20"/>
                <w:szCs w:val="20"/>
                <w:color w:val="auto"/>
              </w:rPr>
            </w:pPr>
            <w:r>
              <w:rPr>
                <w:rFonts w:ascii="Arial" w:cs="Arial" w:eastAsia="Arial" w:hAnsi="Arial"/>
                <w:sz w:val="14"/>
                <w:szCs w:val="14"/>
                <w:color w:val="55565A"/>
              </w:rPr>
              <w:t>(2)</w:t>
            </w:r>
          </w:p>
        </w:tc>
      </w:tr>
      <w:tr>
        <w:trPr>
          <w:trHeight w:val="213"/>
        </w:trPr>
        <w:tc>
          <w:tcPr>
            <w:tcW w:w="20" w:type="dxa"/>
            <w:vAlign w:val="bottom"/>
          </w:tcPr>
          <w:p>
            <w:pPr>
              <w:spacing w:after="0"/>
              <w:rPr>
                <w:sz w:val="18"/>
                <w:szCs w:val="18"/>
                <w:color w:val="auto"/>
              </w:rPr>
            </w:pPr>
          </w:p>
        </w:tc>
        <w:tc>
          <w:tcPr>
            <w:tcW w:w="6160" w:type="dxa"/>
            <w:vAlign w:val="bottom"/>
          </w:tcPr>
          <w:p>
            <w:pPr>
              <w:ind w:left="140"/>
              <w:spacing w:after="0"/>
              <w:rPr>
                <w:sz w:val="20"/>
                <w:szCs w:val="20"/>
                <w:color w:val="auto"/>
              </w:rPr>
            </w:pPr>
            <w:r>
              <w:rPr>
                <w:rFonts w:ascii="Arial" w:cs="Arial" w:eastAsia="Arial" w:hAnsi="Arial"/>
                <w:sz w:val="14"/>
                <w:szCs w:val="14"/>
                <w:color w:val="55565A"/>
              </w:rPr>
              <w:t>Amortization of other identifiable intangible assets</w:t>
            </w:r>
          </w:p>
        </w:tc>
        <w:tc>
          <w:tcPr>
            <w:tcW w:w="3020" w:type="dxa"/>
            <w:vAlign w:val="bottom"/>
          </w:tcPr>
          <w:p>
            <w:pPr>
              <w:jc w:val="right"/>
              <w:ind w:right="589"/>
              <w:spacing w:after="0"/>
              <w:rPr>
                <w:sz w:val="20"/>
                <w:szCs w:val="20"/>
                <w:color w:val="auto"/>
              </w:rPr>
            </w:pPr>
            <w:r>
              <w:rPr>
                <w:rFonts w:ascii="Arial" w:cs="Arial" w:eastAsia="Arial" w:hAnsi="Arial"/>
                <w:sz w:val="14"/>
                <w:szCs w:val="14"/>
                <w:b w:val="1"/>
                <w:bCs w:val="1"/>
                <w:color w:val="55565A"/>
              </w:rPr>
              <w:t>(6)</w:t>
            </w:r>
          </w:p>
        </w:tc>
        <w:tc>
          <w:tcPr>
            <w:tcW w:w="1720" w:type="dxa"/>
            <w:vAlign w:val="bottom"/>
          </w:tcPr>
          <w:p>
            <w:pPr>
              <w:jc w:val="right"/>
              <w:ind w:right="549"/>
              <w:spacing w:after="0"/>
              <w:rPr>
                <w:sz w:val="20"/>
                <w:szCs w:val="20"/>
                <w:color w:val="auto"/>
              </w:rPr>
            </w:pPr>
            <w:r>
              <w:rPr>
                <w:rFonts w:ascii="Arial" w:cs="Arial" w:eastAsia="Arial" w:hAnsi="Arial"/>
                <w:sz w:val="14"/>
                <w:szCs w:val="14"/>
                <w:color w:val="55565A"/>
              </w:rPr>
              <w:t>(6)</w:t>
            </w:r>
          </w:p>
        </w:tc>
      </w:tr>
      <w:tr>
        <w:trPr>
          <w:trHeight w:val="161"/>
        </w:trPr>
        <w:tc>
          <w:tcPr>
            <w:tcW w:w="20" w:type="dxa"/>
            <w:vAlign w:val="bottom"/>
          </w:tcPr>
          <w:p>
            <w:pPr>
              <w:spacing w:after="0"/>
              <w:rPr>
                <w:sz w:val="14"/>
                <w:szCs w:val="14"/>
                <w:color w:val="auto"/>
              </w:rPr>
            </w:pPr>
          </w:p>
        </w:tc>
        <w:tc>
          <w:tcPr>
            <w:tcW w:w="6160" w:type="dxa"/>
            <w:vAlign w:val="bottom"/>
            <w:shd w:val="clear" w:color="auto" w:fill="CCEEFF"/>
          </w:tcPr>
          <w:p>
            <w:pPr>
              <w:ind w:left="140"/>
              <w:spacing w:after="0"/>
              <w:rPr>
                <w:sz w:val="20"/>
                <w:szCs w:val="20"/>
                <w:color w:val="auto"/>
              </w:rPr>
            </w:pPr>
            <w:r>
              <w:rPr>
                <w:rFonts w:ascii="Arial" w:cs="Arial" w:eastAsia="Arial" w:hAnsi="Arial"/>
                <w:sz w:val="14"/>
                <w:szCs w:val="14"/>
                <w:color w:val="55565A"/>
              </w:rPr>
              <w:t>Other operating (losses) gains, net</w:t>
            </w:r>
          </w:p>
        </w:tc>
        <w:tc>
          <w:tcPr>
            <w:tcW w:w="3020" w:type="dxa"/>
            <w:vAlign w:val="bottom"/>
            <w:shd w:val="clear" w:color="auto" w:fill="CCEEFF"/>
          </w:tcPr>
          <w:p>
            <w:pPr>
              <w:jc w:val="right"/>
              <w:ind w:right="589"/>
              <w:spacing w:after="0"/>
              <w:rPr>
                <w:sz w:val="20"/>
                <w:szCs w:val="20"/>
                <w:color w:val="auto"/>
              </w:rPr>
            </w:pPr>
            <w:r>
              <w:rPr>
                <w:rFonts w:ascii="Arial" w:cs="Arial" w:eastAsia="Arial" w:hAnsi="Arial"/>
                <w:sz w:val="14"/>
                <w:szCs w:val="14"/>
                <w:b w:val="1"/>
                <w:bCs w:val="1"/>
                <w:color w:val="55565A"/>
              </w:rPr>
              <w:t>(5)</w:t>
            </w:r>
          </w:p>
        </w:tc>
        <w:tc>
          <w:tcPr>
            <w:tcW w:w="1720" w:type="dxa"/>
            <w:vAlign w:val="bottom"/>
            <w:shd w:val="clear" w:color="auto" w:fill="CCEEFF"/>
          </w:tcPr>
          <w:p>
            <w:pPr>
              <w:jc w:val="right"/>
              <w:ind w:right="549"/>
              <w:spacing w:after="0"/>
              <w:rPr>
                <w:sz w:val="20"/>
                <w:szCs w:val="20"/>
                <w:color w:val="auto"/>
              </w:rPr>
            </w:pPr>
            <w:r>
              <w:rPr>
                <w:rFonts w:ascii="Arial" w:cs="Arial" w:eastAsia="Arial" w:hAnsi="Arial"/>
                <w:sz w:val="14"/>
                <w:szCs w:val="14"/>
                <w:color w:val="55565A"/>
              </w:rPr>
              <w:t>(1)</w:t>
            </w:r>
          </w:p>
        </w:tc>
      </w:tr>
      <w:tr>
        <w:trPr>
          <w:trHeight w:val="213"/>
        </w:trPr>
        <w:tc>
          <w:tcPr>
            <w:tcW w:w="20" w:type="dxa"/>
            <w:vAlign w:val="bottom"/>
          </w:tcPr>
          <w:p>
            <w:pPr>
              <w:spacing w:after="0"/>
              <w:rPr>
                <w:sz w:val="18"/>
                <w:szCs w:val="18"/>
                <w:color w:val="auto"/>
              </w:rPr>
            </w:pPr>
          </w:p>
        </w:tc>
        <w:tc>
          <w:tcPr>
            <w:tcW w:w="6160" w:type="dxa"/>
            <w:vAlign w:val="bottom"/>
          </w:tcPr>
          <w:p>
            <w:pPr>
              <w:ind w:left="140"/>
              <w:spacing w:after="0"/>
              <w:rPr>
                <w:sz w:val="20"/>
                <w:szCs w:val="20"/>
                <w:color w:val="auto"/>
              </w:rPr>
            </w:pPr>
            <w:r>
              <w:rPr>
                <w:rFonts w:ascii="Arial" w:cs="Arial" w:eastAsia="Arial" w:hAnsi="Arial"/>
                <w:sz w:val="14"/>
                <w:szCs w:val="14"/>
                <w:color w:val="55565A"/>
              </w:rPr>
              <w:t>Other finance (costs) income</w:t>
            </w:r>
          </w:p>
        </w:tc>
        <w:tc>
          <w:tcPr>
            <w:tcW w:w="3020" w:type="dxa"/>
            <w:vAlign w:val="bottom"/>
          </w:tcPr>
          <w:p>
            <w:pPr>
              <w:jc w:val="right"/>
              <w:ind w:right="589"/>
              <w:spacing w:after="0"/>
              <w:rPr>
                <w:sz w:val="20"/>
                <w:szCs w:val="20"/>
                <w:color w:val="auto"/>
              </w:rPr>
            </w:pPr>
            <w:r>
              <w:rPr>
                <w:rFonts w:ascii="Arial" w:cs="Arial" w:eastAsia="Arial" w:hAnsi="Arial"/>
                <w:sz w:val="14"/>
                <w:szCs w:val="14"/>
                <w:b w:val="1"/>
                <w:bCs w:val="1"/>
                <w:color w:val="55565A"/>
              </w:rPr>
              <w:t>(6)</w:t>
            </w:r>
          </w:p>
        </w:tc>
        <w:tc>
          <w:tcPr>
            <w:tcW w:w="1720" w:type="dxa"/>
            <w:vAlign w:val="bottom"/>
          </w:tcPr>
          <w:p>
            <w:pPr>
              <w:jc w:val="right"/>
              <w:ind w:right="549"/>
              <w:spacing w:after="0"/>
              <w:rPr>
                <w:sz w:val="20"/>
                <w:szCs w:val="20"/>
                <w:color w:val="auto"/>
              </w:rPr>
            </w:pPr>
            <w:r>
              <w:rPr>
                <w:rFonts w:ascii="Arial" w:cs="Arial" w:eastAsia="Arial" w:hAnsi="Arial"/>
                <w:sz w:val="14"/>
                <w:szCs w:val="14"/>
                <w:color w:val="55565A"/>
              </w:rPr>
              <w:t>(16)</w:t>
            </w:r>
          </w:p>
        </w:tc>
      </w:tr>
      <w:tr>
        <w:trPr>
          <w:trHeight w:val="161"/>
        </w:trPr>
        <w:tc>
          <w:tcPr>
            <w:tcW w:w="20" w:type="dxa"/>
            <w:vAlign w:val="bottom"/>
          </w:tcPr>
          <w:p>
            <w:pPr>
              <w:spacing w:after="0"/>
              <w:rPr>
                <w:sz w:val="14"/>
                <w:szCs w:val="14"/>
                <w:color w:val="auto"/>
              </w:rPr>
            </w:pPr>
          </w:p>
        </w:tc>
        <w:tc>
          <w:tcPr>
            <w:tcW w:w="6160" w:type="dxa"/>
            <w:vAlign w:val="bottom"/>
            <w:shd w:val="clear" w:color="auto" w:fill="CCEEFF"/>
          </w:tcPr>
          <w:p>
            <w:pPr>
              <w:ind w:left="140"/>
              <w:spacing w:after="0"/>
              <w:rPr>
                <w:sz w:val="20"/>
                <w:szCs w:val="20"/>
                <w:color w:val="auto"/>
              </w:rPr>
            </w:pPr>
            <w:r>
              <w:rPr>
                <w:rFonts w:ascii="Arial" w:cs="Arial" w:eastAsia="Arial" w:hAnsi="Arial"/>
                <w:sz w:val="14"/>
                <w:szCs w:val="14"/>
                <w:color w:val="55565A"/>
              </w:rPr>
              <w:t>Share of post-tax (losses) earnings in equity method investments</w:t>
            </w:r>
          </w:p>
        </w:tc>
        <w:tc>
          <w:tcPr>
            <w:tcW w:w="3020" w:type="dxa"/>
            <w:vAlign w:val="bottom"/>
            <w:shd w:val="clear" w:color="auto" w:fill="CCEEFF"/>
          </w:tcPr>
          <w:p>
            <w:pPr>
              <w:jc w:val="right"/>
              <w:ind w:right="589"/>
              <w:spacing w:after="0"/>
              <w:rPr>
                <w:sz w:val="20"/>
                <w:szCs w:val="20"/>
                <w:color w:val="auto"/>
              </w:rPr>
            </w:pPr>
            <w:r>
              <w:rPr>
                <w:rFonts w:ascii="Arial" w:cs="Arial" w:eastAsia="Arial" w:hAnsi="Arial"/>
                <w:sz w:val="14"/>
                <w:szCs w:val="14"/>
                <w:b w:val="1"/>
                <w:bCs w:val="1"/>
                <w:color w:val="55565A"/>
              </w:rPr>
              <w:t>(5)</w:t>
            </w:r>
          </w:p>
        </w:tc>
        <w:tc>
          <w:tcPr>
            <w:tcW w:w="1720" w:type="dxa"/>
            <w:vAlign w:val="bottom"/>
            <w:shd w:val="clear" w:color="auto" w:fill="CCEEFF"/>
          </w:tcPr>
          <w:p>
            <w:pPr>
              <w:jc w:val="right"/>
              <w:ind w:right="549"/>
              <w:spacing w:after="0"/>
              <w:rPr>
                <w:sz w:val="20"/>
                <w:szCs w:val="20"/>
                <w:color w:val="auto"/>
              </w:rPr>
            </w:pPr>
            <w:r>
              <w:rPr>
                <w:rFonts w:ascii="Arial" w:cs="Arial" w:eastAsia="Arial" w:hAnsi="Arial"/>
                <w:sz w:val="14"/>
                <w:szCs w:val="14"/>
                <w:color w:val="55565A"/>
              </w:rPr>
              <w:t>136</w:t>
            </w:r>
          </w:p>
        </w:tc>
      </w:tr>
      <w:tr>
        <w:trPr>
          <w:trHeight w:val="194"/>
        </w:trPr>
        <w:tc>
          <w:tcPr>
            <w:tcW w:w="20" w:type="dxa"/>
            <w:vAlign w:val="bottom"/>
          </w:tcPr>
          <w:p>
            <w:pPr>
              <w:spacing w:after="0"/>
              <w:rPr>
                <w:sz w:val="16"/>
                <w:szCs w:val="16"/>
                <w:color w:val="auto"/>
              </w:rPr>
            </w:pPr>
          </w:p>
        </w:tc>
        <w:tc>
          <w:tcPr>
            <w:tcW w:w="6160" w:type="dxa"/>
            <w:vAlign w:val="bottom"/>
            <w:tcBorders>
              <w:bottom w:val="single" w:sz="8" w:color="88888B"/>
            </w:tcBorders>
          </w:tcPr>
          <w:p>
            <w:pPr>
              <w:ind w:left="140"/>
              <w:spacing w:after="0"/>
              <w:rPr>
                <w:sz w:val="20"/>
                <w:szCs w:val="20"/>
                <w:color w:val="auto"/>
              </w:rPr>
            </w:pPr>
            <w:r>
              <w:rPr>
                <w:rFonts w:ascii="Arial" w:cs="Arial" w:eastAsia="Arial" w:hAnsi="Arial"/>
                <w:sz w:val="14"/>
                <w:szCs w:val="14"/>
                <w:color w:val="55565A"/>
              </w:rPr>
              <w:t>Other items</w:t>
            </w:r>
          </w:p>
        </w:tc>
        <w:tc>
          <w:tcPr>
            <w:tcW w:w="3020" w:type="dxa"/>
            <w:vAlign w:val="bottom"/>
            <w:tcBorders>
              <w:bottom w:val="single" w:sz="8" w:color="88888B"/>
            </w:tcBorders>
          </w:tcPr>
          <w:p>
            <w:pPr>
              <w:jc w:val="right"/>
              <w:ind w:right="589"/>
              <w:spacing w:after="0"/>
              <w:rPr>
                <w:sz w:val="20"/>
                <w:szCs w:val="20"/>
                <w:color w:val="auto"/>
              </w:rPr>
            </w:pPr>
            <w:r>
              <w:rPr>
                <w:rFonts w:ascii="Arial" w:cs="Arial" w:eastAsia="Arial" w:hAnsi="Arial"/>
                <w:sz w:val="14"/>
                <w:szCs w:val="14"/>
                <w:b w:val="1"/>
                <w:bCs w:val="1"/>
                <w:color w:val="55565A"/>
              </w:rPr>
              <w:t>(1)</w:t>
            </w:r>
          </w:p>
        </w:tc>
        <w:tc>
          <w:tcPr>
            <w:tcW w:w="1720" w:type="dxa"/>
            <w:vAlign w:val="bottom"/>
            <w:tcBorders>
              <w:bottom w:val="single" w:sz="8" w:color="88888B"/>
            </w:tcBorders>
          </w:tcPr>
          <w:p>
            <w:pPr>
              <w:jc w:val="right"/>
              <w:ind w:right="549"/>
              <w:spacing w:after="0"/>
              <w:rPr>
                <w:sz w:val="20"/>
                <w:szCs w:val="20"/>
                <w:color w:val="auto"/>
              </w:rPr>
            </w:pPr>
            <w:r>
              <w:rPr>
                <w:rFonts w:ascii="Arial" w:cs="Arial" w:eastAsia="Arial" w:hAnsi="Arial"/>
                <w:sz w:val="14"/>
                <w:szCs w:val="14"/>
                <w:color w:val="55565A"/>
              </w:rPr>
              <w:t>(1)</w:t>
            </w:r>
          </w:p>
        </w:tc>
      </w:tr>
      <w:tr>
        <w:trPr>
          <w:trHeight w:val="160"/>
        </w:trPr>
        <w:tc>
          <w:tcPr>
            <w:tcW w:w="20" w:type="dxa"/>
            <w:vAlign w:val="bottom"/>
          </w:tcPr>
          <w:p>
            <w:pPr>
              <w:spacing w:after="0"/>
              <w:rPr>
                <w:sz w:val="13"/>
                <w:szCs w:val="13"/>
                <w:color w:val="auto"/>
              </w:rPr>
            </w:pPr>
          </w:p>
        </w:tc>
        <w:tc>
          <w:tcPr>
            <w:tcW w:w="6160" w:type="dxa"/>
            <w:vAlign w:val="bottom"/>
            <w:tcBorders>
              <w:bottom w:val="single" w:sz="8" w:color="88888B"/>
            </w:tcBorders>
            <w:shd w:val="clear" w:color="auto" w:fill="CCEEFF"/>
          </w:tcPr>
          <w:p>
            <w:pPr>
              <w:ind w:left="280"/>
              <w:spacing w:after="0"/>
              <w:rPr>
                <w:sz w:val="20"/>
                <w:szCs w:val="20"/>
                <w:color w:val="auto"/>
              </w:rPr>
            </w:pPr>
            <w:r>
              <w:rPr>
                <w:rFonts w:ascii="Arial" w:cs="Arial" w:eastAsia="Arial" w:hAnsi="Arial"/>
                <w:sz w:val="14"/>
                <w:szCs w:val="14"/>
                <w:color w:val="55565A"/>
              </w:rPr>
              <w:t>Subtotal</w:t>
            </w:r>
          </w:p>
        </w:tc>
        <w:tc>
          <w:tcPr>
            <w:tcW w:w="3020" w:type="dxa"/>
            <w:vAlign w:val="bottom"/>
            <w:tcBorders>
              <w:bottom w:val="single" w:sz="8" w:color="88888B"/>
            </w:tcBorders>
            <w:shd w:val="clear" w:color="auto" w:fill="CCEEFF"/>
          </w:tcPr>
          <w:p>
            <w:pPr>
              <w:jc w:val="right"/>
              <w:ind w:right="589"/>
              <w:spacing w:after="0"/>
              <w:rPr>
                <w:sz w:val="20"/>
                <w:szCs w:val="20"/>
                <w:color w:val="auto"/>
              </w:rPr>
            </w:pPr>
            <w:r>
              <w:rPr>
                <w:rFonts w:ascii="Arial" w:cs="Arial" w:eastAsia="Arial" w:hAnsi="Arial"/>
                <w:sz w:val="14"/>
                <w:szCs w:val="14"/>
                <w:b w:val="1"/>
                <w:bCs w:val="1"/>
                <w:color w:val="55565A"/>
              </w:rPr>
              <w:t>(32)</w:t>
            </w:r>
          </w:p>
        </w:tc>
        <w:tc>
          <w:tcPr>
            <w:tcW w:w="1720" w:type="dxa"/>
            <w:vAlign w:val="bottom"/>
            <w:tcBorders>
              <w:bottom w:val="single" w:sz="8" w:color="88888B"/>
            </w:tcBorders>
            <w:shd w:val="clear" w:color="auto" w:fill="CCEEFF"/>
          </w:tcPr>
          <w:p>
            <w:pPr>
              <w:jc w:val="right"/>
              <w:ind w:right="549"/>
              <w:spacing w:after="0"/>
              <w:rPr>
                <w:sz w:val="20"/>
                <w:szCs w:val="20"/>
                <w:color w:val="auto"/>
              </w:rPr>
            </w:pPr>
            <w:r>
              <w:rPr>
                <w:rFonts w:ascii="Arial" w:cs="Arial" w:eastAsia="Arial" w:hAnsi="Arial"/>
                <w:sz w:val="14"/>
                <w:szCs w:val="14"/>
                <w:color w:val="55565A"/>
              </w:rPr>
              <w:t>110</w:t>
            </w:r>
          </w:p>
        </w:tc>
      </w:tr>
      <w:tr>
        <w:trPr>
          <w:trHeight w:val="167"/>
        </w:trPr>
        <w:tc>
          <w:tcPr>
            <w:tcW w:w="6180" w:type="dxa"/>
            <w:vAlign w:val="bottom"/>
            <w:tcBorders>
              <w:bottom w:val="single" w:sz="8" w:color="88888B"/>
            </w:tcBorders>
            <w:gridSpan w:val="2"/>
          </w:tcPr>
          <w:p>
            <w:pPr>
              <w:spacing w:after="0"/>
              <w:rPr>
                <w:sz w:val="20"/>
                <w:szCs w:val="20"/>
                <w:color w:val="auto"/>
              </w:rPr>
            </w:pPr>
            <w:r>
              <w:rPr>
                <w:rFonts w:ascii="Arial" w:cs="Arial" w:eastAsia="Arial" w:hAnsi="Arial"/>
                <w:sz w:val="14"/>
                <w:szCs w:val="14"/>
                <w:b w:val="1"/>
                <w:bCs w:val="1"/>
                <w:color w:val="55565A"/>
              </w:rPr>
              <w:t>Total</w:t>
            </w:r>
          </w:p>
        </w:tc>
        <w:tc>
          <w:tcPr>
            <w:tcW w:w="3020" w:type="dxa"/>
            <w:vAlign w:val="bottom"/>
            <w:tcBorders>
              <w:bottom w:val="single" w:sz="8" w:color="88888B"/>
            </w:tcBorders>
          </w:tcPr>
          <w:p>
            <w:pPr>
              <w:jc w:val="right"/>
              <w:ind w:right="589"/>
              <w:spacing w:after="0"/>
              <w:rPr>
                <w:sz w:val="20"/>
                <w:szCs w:val="20"/>
                <w:color w:val="auto"/>
              </w:rPr>
            </w:pPr>
            <w:r>
              <w:rPr>
                <w:rFonts w:ascii="Arial" w:cs="Arial" w:eastAsia="Arial" w:hAnsi="Arial"/>
                <w:sz w:val="14"/>
                <w:szCs w:val="14"/>
                <w:b w:val="1"/>
                <w:bCs w:val="1"/>
                <w:color w:val="55565A"/>
              </w:rPr>
              <w:t>(43)</w:t>
            </w:r>
          </w:p>
        </w:tc>
        <w:tc>
          <w:tcPr>
            <w:tcW w:w="1720" w:type="dxa"/>
            <w:vAlign w:val="bottom"/>
            <w:tcBorders>
              <w:bottom w:val="single" w:sz="8" w:color="88888B"/>
            </w:tcBorders>
          </w:tcPr>
          <w:p>
            <w:pPr>
              <w:jc w:val="right"/>
              <w:ind w:right="549"/>
              <w:spacing w:after="0"/>
              <w:rPr>
                <w:sz w:val="20"/>
                <w:szCs w:val="20"/>
                <w:color w:val="auto"/>
              </w:rPr>
            </w:pPr>
            <w:r>
              <w:rPr>
                <w:rFonts w:ascii="Arial" w:cs="Arial" w:eastAsia="Arial" w:hAnsi="Arial"/>
                <w:sz w:val="14"/>
                <w:szCs w:val="14"/>
                <w:color w:val="55565A"/>
              </w:rPr>
              <w:t>110</w:t>
            </w:r>
          </w:p>
        </w:tc>
      </w:tr>
    </w:tbl>
    <w:p>
      <w:pPr>
        <w:spacing w:after="0" w:line="102" w:lineRule="exact"/>
        <w:rPr>
          <w:sz w:val="20"/>
          <w:szCs w:val="20"/>
          <w:color w:val="auto"/>
        </w:rPr>
      </w:pPr>
    </w:p>
    <w:p>
      <w:pPr>
        <w:ind w:left="480" w:hanging="313"/>
        <w:spacing w:after="0"/>
        <w:tabs>
          <w:tab w:leader="none" w:pos="480" w:val="left"/>
        </w:tabs>
        <w:numPr>
          <w:ilvl w:val="0"/>
          <w:numId w:val="6"/>
        </w:numPr>
        <w:rPr>
          <w:rFonts w:ascii="Arial" w:cs="Arial" w:eastAsia="Arial" w:hAnsi="Arial"/>
          <w:sz w:val="12"/>
          <w:szCs w:val="12"/>
          <w:color w:val="55565A"/>
        </w:rPr>
      </w:pPr>
      <w:r>
        <w:rPr>
          <w:rFonts w:ascii="Arial" w:cs="Arial" w:eastAsia="Arial" w:hAnsi="Arial"/>
          <w:sz w:val="12"/>
          <w:szCs w:val="12"/>
          <w:color w:val="55565A"/>
        </w:rPr>
        <w:t>Revised to reflect the current presentation. Refer to Appendix A of this management’s discussion and analysis for additional information.</w:t>
      </w:r>
    </w:p>
    <w:p>
      <w:pPr>
        <w:spacing w:after="0" w:line="7" w:lineRule="exact"/>
        <w:rPr>
          <w:rFonts w:ascii="Arial" w:cs="Arial" w:eastAsia="Arial" w:hAnsi="Arial"/>
          <w:sz w:val="12"/>
          <w:szCs w:val="12"/>
          <w:color w:val="55565A"/>
        </w:rPr>
      </w:pPr>
    </w:p>
    <w:p>
      <w:pPr>
        <w:ind w:left="480" w:hanging="313"/>
        <w:spacing w:after="0" w:line="232" w:lineRule="auto"/>
        <w:tabs>
          <w:tab w:leader="none" w:pos="480" w:val="left"/>
        </w:tabs>
        <w:numPr>
          <w:ilvl w:val="0"/>
          <w:numId w:val="6"/>
        </w:numPr>
        <w:rPr>
          <w:rFonts w:ascii="Arial" w:cs="Arial" w:eastAsia="Arial" w:hAnsi="Arial"/>
          <w:sz w:val="12"/>
          <w:szCs w:val="12"/>
          <w:color w:val="55565A"/>
        </w:rPr>
      </w:pPr>
      <w:r>
        <w:rPr>
          <w:rFonts w:ascii="Arial" w:cs="Arial" w:eastAsia="Arial" w:hAnsi="Arial"/>
          <w:sz w:val="12"/>
          <w:szCs w:val="12"/>
          <w:color w:val="55565A"/>
        </w:rPr>
        <w:t>Relates to the release of tax reserves that are no longer required due to the settlement of a tax dispute.</w:t>
      </w:r>
    </w:p>
    <w:p>
      <w:pPr>
        <w:ind w:left="480" w:hanging="313"/>
        <w:spacing w:after="0"/>
        <w:tabs>
          <w:tab w:leader="none" w:pos="480" w:val="left"/>
        </w:tabs>
        <w:numPr>
          <w:ilvl w:val="0"/>
          <w:numId w:val="6"/>
        </w:numPr>
        <w:rPr>
          <w:rFonts w:ascii="Arial" w:cs="Arial" w:eastAsia="Arial" w:hAnsi="Arial"/>
          <w:sz w:val="12"/>
          <w:szCs w:val="12"/>
          <w:color w:val="55565A"/>
        </w:rPr>
      </w:pPr>
      <w:r>
        <w:rPr>
          <w:rFonts w:ascii="Arial" w:cs="Arial" w:eastAsia="Arial" w:hAnsi="Arial"/>
          <w:sz w:val="12"/>
          <w:szCs w:val="12"/>
          <w:color w:val="55565A"/>
        </w:rPr>
        <w:t>Relates primarily to an adjustment to a deferred tax asset for a tax basis step-up attributable to a non-U.S. subsidiary.</w:t>
      </w:r>
    </w:p>
    <w:p>
      <w:pPr>
        <w:spacing w:after="0" w:line="202" w:lineRule="exact"/>
        <w:rPr>
          <w:sz w:val="20"/>
          <w:szCs w:val="20"/>
          <w:color w:val="auto"/>
        </w:rPr>
      </w:pPr>
    </w:p>
    <w:p>
      <w:pPr>
        <w:ind w:left="160" w:right="500"/>
        <w:spacing w:after="0" w:line="279" w:lineRule="auto"/>
        <w:rPr>
          <w:sz w:val="20"/>
          <w:szCs w:val="20"/>
          <w:color w:val="auto"/>
        </w:rPr>
      </w:pPr>
      <w:r>
        <w:rPr>
          <w:rFonts w:ascii="Arial" w:cs="Arial" w:eastAsia="Arial" w:hAnsi="Arial"/>
          <w:sz w:val="16"/>
          <w:szCs w:val="16"/>
          <w:color w:val="55565A"/>
        </w:rPr>
        <w:t>Because the items described above impact the comparability of our tax expense or benefit for each period, we remove them from our calculation of adjusted earnings, along with the pre-tax items to which they relate. The computation of our adjusted tax expense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6929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5240" w:type="dxa"/>
            <w:vAlign w:val="bottom"/>
            <w:gridSpan w:val="2"/>
          </w:tcPr>
          <w:p>
            <w:pPr>
              <w:jc w:val="right"/>
              <w:ind w:right="769"/>
              <w:spacing w:after="0"/>
              <w:rPr>
                <w:sz w:val="20"/>
                <w:szCs w:val="20"/>
                <w:color w:val="auto"/>
              </w:rPr>
            </w:pPr>
            <w:r>
              <w:rPr>
                <w:rFonts w:ascii="Arial" w:cs="Arial" w:eastAsia="Arial" w:hAnsi="Arial"/>
                <w:sz w:val="14"/>
                <w:szCs w:val="14"/>
                <w:b w:val="1"/>
                <w:bCs w:val="1"/>
                <w:color w:val="55565A"/>
              </w:rPr>
              <w:t>Three months ended March 31,</w:t>
            </w:r>
          </w:p>
        </w:tc>
      </w:tr>
      <w:tr>
        <w:trPr>
          <w:trHeight w:val="267"/>
        </w:trPr>
        <w:tc>
          <w:tcPr>
            <w:tcW w:w="5680" w:type="dxa"/>
            <w:vAlign w:val="bottom"/>
            <w:gridSpan w:val="2"/>
          </w:tcPr>
          <w:p>
            <w:pPr>
              <w:spacing w:after="0"/>
              <w:rPr>
                <w:sz w:val="20"/>
                <w:szCs w:val="20"/>
                <w:color w:val="auto"/>
              </w:rPr>
            </w:pPr>
            <w:r>
              <w:rPr>
                <w:rFonts w:ascii="Arial" w:cs="Arial" w:eastAsia="Arial" w:hAnsi="Arial"/>
                <w:sz w:val="14"/>
                <w:szCs w:val="14"/>
                <w:color w:val="55565A"/>
              </w:rPr>
              <w:t>(millions of U.S. dollars)</w:t>
            </w:r>
          </w:p>
        </w:tc>
        <w:tc>
          <w:tcPr>
            <w:tcW w:w="3540" w:type="dxa"/>
            <w:vAlign w:val="bottom"/>
          </w:tcPr>
          <w:p>
            <w:pPr>
              <w:jc w:val="right"/>
              <w:ind w:right="709"/>
              <w:spacing w:after="0"/>
              <w:rPr>
                <w:sz w:val="20"/>
                <w:szCs w:val="20"/>
                <w:color w:val="auto"/>
              </w:rPr>
            </w:pPr>
            <w:r>
              <w:rPr>
                <w:rFonts w:ascii="Arial" w:cs="Arial" w:eastAsia="Arial" w:hAnsi="Arial"/>
                <w:sz w:val="14"/>
                <w:szCs w:val="14"/>
                <w:b w:val="1"/>
                <w:bCs w:val="1"/>
                <w:color w:val="55565A"/>
              </w:rPr>
              <w:t>2024</w:t>
            </w:r>
          </w:p>
        </w:tc>
        <w:tc>
          <w:tcPr>
            <w:tcW w:w="1700" w:type="dxa"/>
            <w:vAlign w:val="bottom"/>
          </w:tcPr>
          <w:p>
            <w:pPr>
              <w:jc w:val="right"/>
              <w:ind w:right="509"/>
              <w:spacing w:after="0"/>
              <w:rPr>
                <w:sz w:val="20"/>
                <w:szCs w:val="20"/>
                <w:color w:val="auto"/>
              </w:rPr>
            </w:pPr>
            <w:r>
              <w:rPr>
                <w:rFonts w:ascii="Arial" w:cs="Arial" w:eastAsia="Arial" w:hAnsi="Arial"/>
                <w:sz w:val="14"/>
                <w:szCs w:val="14"/>
                <w:color w:val="55565A"/>
              </w:rPr>
              <w:t>2023</w:t>
            </w:r>
          </w:p>
        </w:tc>
      </w:tr>
      <w:tr>
        <w:trPr>
          <w:trHeight w:val="28"/>
        </w:trPr>
        <w:tc>
          <w:tcPr>
            <w:tcW w:w="20" w:type="dxa"/>
            <w:vAlign w:val="bottom"/>
          </w:tcPr>
          <w:p>
            <w:pPr>
              <w:spacing w:after="0"/>
              <w:rPr>
                <w:sz w:val="2"/>
                <w:szCs w:val="2"/>
                <w:color w:val="auto"/>
              </w:rPr>
            </w:pPr>
          </w:p>
        </w:tc>
        <w:tc>
          <w:tcPr>
            <w:tcW w:w="5660" w:type="dxa"/>
            <w:vAlign w:val="bottom"/>
            <w:tcBorders>
              <w:bottom w:val="single" w:sz="8" w:color="88888B"/>
            </w:tcBorders>
          </w:tcPr>
          <w:p>
            <w:pPr>
              <w:spacing w:after="0"/>
              <w:rPr>
                <w:sz w:val="2"/>
                <w:szCs w:val="2"/>
                <w:color w:val="auto"/>
              </w:rPr>
            </w:pPr>
          </w:p>
        </w:tc>
        <w:tc>
          <w:tcPr>
            <w:tcW w:w="3540" w:type="dxa"/>
            <w:vAlign w:val="bottom"/>
            <w:tcBorders>
              <w:bottom w:val="single" w:sz="8" w:color="88888B"/>
            </w:tcBorders>
          </w:tcPr>
          <w:p>
            <w:pPr>
              <w:spacing w:after="0"/>
              <w:rPr>
                <w:sz w:val="2"/>
                <w:szCs w:val="2"/>
                <w:color w:val="auto"/>
              </w:rPr>
            </w:pPr>
          </w:p>
        </w:tc>
        <w:tc>
          <w:tcPr>
            <w:tcW w:w="1700" w:type="dxa"/>
            <w:vAlign w:val="bottom"/>
            <w:tcBorders>
              <w:bottom w:val="single" w:sz="8" w:color="88888B"/>
            </w:tcBorders>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566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Tax expense</w:t>
            </w:r>
          </w:p>
        </w:tc>
        <w:tc>
          <w:tcPr>
            <w:tcW w:w="3540" w:type="dxa"/>
            <w:vAlign w:val="bottom"/>
            <w:shd w:val="clear" w:color="auto" w:fill="CCEEFF"/>
          </w:tcPr>
          <w:p>
            <w:pPr>
              <w:jc w:val="right"/>
              <w:ind w:right="709"/>
              <w:spacing w:after="0" w:line="154" w:lineRule="exact"/>
              <w:rPr>
                <w:sz w:val="20"/>
                <w:szCs w:val="20"/>
                <w:color w:val="auto"/>
              </w:rPr>
            </w:pPr>
            <w:r>
              <w:rPr>
                <w:rFonts w:ascii="Arial" w:cs="Arial" w:eastAsia="Arial" w:hAnsi="Arial"/>
                <w:sz w:val="14"/>
                <w:szCs w:val="14"/>
                <w:b w:val="1"/>
                <w:bCs w:val="1"/>
                <w:color w:val="55565A"/>
              </w:rPr>
              <w:t>67</w:t>
            </w:r>
          </w:p>
        </w:tc>
        <w:tc>
          <w:tcPr>
            <w:tcW w:w="1700" w:type="dxa"/>
            <w:vAlign w:val="bottom"/>
            <w:shd w:val="clear" w:color="auto" w:fill="CCEEFF"/>
          </w:tcPr>
          <w:p>
            <w:pPr>
              <w:jc w:val="right"/>
              <w:ind w:right="509"/>
              <w:spacing w:after="0" w:line="154" w:lineRule="exact"/>
              <w:rPr>
                <w:sz w:val="20"/>
                <w:szCs w:val="20"/>
                <w:color w:val="auto"/>
              </w:rPr>
            </w:pPr>
            <w:r>
              <w:rPr>
                <w:rFonts w:ascii="Arial" w:cs="Arial" w:eastAsia="Arial" w:hAnsi="Arial"/>
                <w:sz w:val="14"/>
                <w:szCs w:val="14"/>
                <w:color w:val="55565A"/>
              </w:rPr>
              <w:t>196</w:t>
            </w:r>
          </w:p>
        </w:tc>
      </w:tr>
      <w:tr>
        <w:trPr>
          <w:trHeight w:val="174"/>
        </w:trPr>
        <w:tc>
          <w:tcPr>
            <w:tcW w:w="20" w:type="dxa"/>
            <w:vAlign w:val="bottom"/>
          </w:tcPr>
          <w:p>
            <w:pPr>
              <w:spacing w:after="0"/>
              <w:rPr>
                <w:sz w:val="15"/>
                <w:szCs w:val="15"/>
                <w:color w:val="auto"/>
              </w:rPr>
            </w:pPr>
          </w:p>
        </w:tc>
        <w:tc>
          <w:tcPr>
            <w:tcW w:w="5660" w:type="dxa"/>
            <w:vAlign w:val="bottom"/>
          </w:tcPr>
          <w:p>
            <w:pPr>
              <w:ind w:left="140"/>
              <w:spacing w:after="0"/>
              <w:rPr>
                <w:sz w:val="20"/>
                <w:szCs w:val="20"/>
                <w:color w:val="auto"/>
              </w:rPr>
            </w:pPr>
            <w:r>
              <w:rPr>
                <w:rFonts w:ascii="Arial" w:cs="Arial" w:eastAsia="Arial" w:hAnsi="Arial"/>
                <w:sz w:val="14"/>
                <w:szCs w:val="14"/>
                <w:color w:val="55565A"/>
              </w:rPr>
              <w:t>Remove: Items from above impacting comparability</w:t>
            </w:r>
          </w:p>
        </w:tc>
        <w:tc>
          <w:tcPr>
            <w:tcW w:w="3540" w:type="dxa"/>
            <w:vAlign w:val="bottom"/>
          </w:tcPr>
          <w:p>
            <w:pPr>
              <w:jc w:val="right"/>
              <w:ind w:right="709"/>
              <w:spacing w:after="0"/>
              <w:rPr>
                <w:sz w:val="20"/>
                <w:szCs w:val="20"/>
                <w:color w:val="auto"/>
              </w:rPr>
            </w:pPr>
            <w:r>
              <w:rPr>
                <w:rFonts w:ascii="Arial" w:cs="Arial" w:eastAsia="Arial" w:hAnsi="Arial"/>
                <w:sz w:val="14"/>
                <w:szCs w:val="14"/>
                <w:b w:val="1"/>
                <w:bCs w:val="1"/>
                <w:color w:val="55565A"/>
              </w:rPr>
              <w:t>43</w:t>
            </w:r>
          </w:p>
        </w:tc>
        <w:tc>
          <w:tcPr>
            <w:tcW w:w="1700" w:type="dxa"/>
            <w:vAlign w:val="bottom"/>
          </w:tcPr>
          <w:p>
            <w:pPr>
              <w:jc w:val="right"/>
              <w:ind w:right="509"/>
              <w:spacing w:after="0"/>
              <w:rPr>
                <w:sz w:val="20"/>
                <w:szCs w:val="20"/>
                <w:color w:val="auto"/>
              </w:rPr>
            </w:pPr>
            <w:r>
              <w:rPr>
                <w:rFonts w:ascii="Arial" w:cs="Arial" w:eastAsia="Arial" w:hAnsi="Arial"/>
                <w:sz w:val="14"/>
                <w:szCs w:val="14"/>
                <w:color w:val="55565A"/>
              </w:rPr>
              <w:t>(110)</w:t>
            </w:r>
          </w:p>
        </w:tc>
      </w:tr>
      <w:tr>
        <w:trPr>
          <w:trHeight w:val="160"/>
        </w:trPr>
        <w:tc>
          <w:tcPr>
            <w:tcW w:w="20" w:type="dxa"/>
            <w:vAlign w:val="bottom"/>
          </w:tcPr>
          <w:p>
            <w:pPr>
              <w:spacing w:after="0"/>
              <w:rPr>
                <w:sz w:val="13"/>
                <w:szCs w:val="13"/>
                <w:color w:val="auto"/>
              </w:rPr>
            </w:pPr>
          </w:p>
        </w:tc>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55565A"/>
              </w:rPr>
              <w:t>Other adjustment:</w:t>
            </w:r>
          </w:p>
        </w:tc>
        <w:tc>
          <w:tcPr>
            <w:tcW w:w="35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5660" w:type="dxa"/>
            <w:vAlign w:val="bottom"/>
            <w:tcBorders>
              <w:bottom w:val="single" w:sz="8" w:color="88888B"/>
            </w:tcBorders>
          </w:tcPr>
          <w:p>
            <w:pPr>
              <w:ind w:left="280"/>
              <w:spacing w:after="0" w:line="174" w:lineRule="exact"/>
              <w:rPr>
                <w:sz w:val="20"/>
                <w:szCs w:val="20"/>
                <w:color w:val="auto"/>
              </w:rPr>
            </w:pPr>
            <w:r>
              <w:rPr>
                <w:rFonts w:ascii="Arial" w:cs="Arial" w:eastAsia="Arial" w:hAnsi="Arial"/>
                <w:sz w:val="14"/>
                <w:szCs w:val="14"/>
                <w:color w:val="55565A"/>
              </w:rPr>
              <w:t>Interim period effective tax rate normalization</w:t>
            </w:r>
            <w:r>
              <w:rPr>
                <w:rFonts w:ascii="Arial" w:cs="Arial" w:eastAsia="Arial" w:hAnsi="Arial"/>
                <w:sz w:val="20"/>
                <w:szCs w:val="20"/>
                <w:color w:val="55565A"/>
                <w:vertAlign w:val="superscript"/>
              </w:rPr>
              <w:t>(1)</w:t>
            </w:r>
          </w:p>
        </w:tc>
        <w:tc>
          <w:tcPr>
            <w:tcW w:w="3540" w:type="dxa"/>
            <w:vAlign w:val="bottom"/>
            <w:tcBorders>
              <w:bottom w:val="single" w:sz="8" w:color="88888B"/>
            </w:tcBorders>
          </w:tcPr>
          <w:p>
            <w:pPr>
              <w:jc w:val="right"/>
              <w:ind w:right="709"/>
              <w:spacing w:after="0"/>
              <w:rPr>
                <w:sz w:val="20"/>
                <w:szCs w:val="20"/>
                <w:color w:val="auto"/>
              </w:rPr>
            </w:pPr>
            <w:r>
              <w:rPr>
                <w:rFonts w:ascii="Arial" w:cs="Arial" w:eastAsia="Arial" w:hAnsi="Arial"/>
                <w:sz w:val="14"/>
                <w:szCs w:val="14"/>
                <w:b w:val="1"/>
                <w:bCs w:val="1"/>
                <w:color w:val="55565A"/>
              </w:rPr>
              <w:t>9</w:t>
            </w:r>
          </w:p>
        </w:tc>
        <w:tc>
          <w:tcPr>
            <w:tcW w:w="1700" w:type="dxa"/>
            <w:vAlign w:val="bottom"/>
            <w:tcBorders>
              <w:bottom w:val="single" w:sz="8" w:color="88888B"/>
            </w:tcBorders>
          </w:tcPr>
          <w:p>
            <w:pPr>
              <w:jc w:val="right"/>
              <w:ind w:right="509"/>
              <w:spacing w:after="0"/>
              <w:rPr>
                <w:sz w:val="20"/>
                <w:szCs w:val="20"/>
                <w:color w:val="auto"/>
              </w:rPr>
            </w:pPr>
            <w:r>
              <w:rPr>
                <w:rFonts w:ascii="Arial" w:cs="Arial" w:eastAsia="Arial" w:hAnsi="Arial"/>
                <w:sz w:val="14"/>
                <w:szCs w:val="14"/>
                <w:color w:val="55565A"/>
              </w:rPr>
              <w:t>(2)</w:t>
            </w:r>
          </w:p>
        </w:tc>
      </w:tr>
      <w:tr>
        <w:trPr>
          <w:trHeight w:val="160"/>
        </w:trPr>
        <w:tc>
          <w:tcPr>
            <w:tcW w:w="20" w:type="dxa"/>
            <w:vAlign w:val="bottom"/>
          </w:tcPr>
          <w:p>
            <w:pPr>
              <w:spacing w:after="0"/>
              <w:rPr>
                <w:sz w:val="13"/>
                <w:szCs w:val="13"/>
                <w:color w:val="auto"/>
              </w:rPr>
            </w:pPr>
          </w:p>
        </w:tc>
        <w:tc>
          <w:tcPr>
            <w:tcW w:w="566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Total tax expense on adjusted earnings</w:t>
            </w:r>
          </w:p>
        </w:tc>
        <w:tc>
          <w:tcPr>
            <w:tcW w:w="3540" w:type="dxa"/>
            <w:vAlign w:val="bottom"/>
            <w:tcBorders>
              <w:bottom w:val="single" w:sz="8" w:color="88888B"/>
            </w:tcBorders>
            <w:shd w:val="clear" w:color="auto" w:fill="CCEEFF"/>
          </w:tcPr>
          <w:p>
            <w:pPr>
              <w:jc w:val="right"/>
              <w:ind w:right="709"/>
              <w:spacing w:after="0"/>
              <w:rPr>
                <w:sz w:val="20"/>
                <w:szCs w:val="20"/>
                <w:color w:val="auto"/>
              </w:rPr>
            </w:pPr>
            <w:r>
              <w:rPr>
                <w:rFonts w:ascii="Arial" w:cs="Arial" w:eastAsia="Arial" w:hAnsi="Arial"/>
                <w:sz w:val="14"/>
                <w:szCs w:val="14"/>
                <w:b w:val="1"/>
                <w:bCs w:val="1"/>
                <w:color w:val="55565A"/>
              </w:rPr>
              <w:t>119</w:t>
            </w:r>
          </w:p>
        </w:tc>
        <w:tc>
          <w:tcPr>
            <w:tcW w:w="1700" w:type="dxa"/>
            <w:vAlign w:val="bottom"/>
            <w:tcBorders>
              <w:bottom w:val="single" w:sz="8" w:color="88888B"/>
            </w:tcBorders>
            <w:shd w:val="clear" w:color="auto" w:fill="CCEEFF"/>
          </w:tcPr>
          <w:p>
            <w:pPr>
              <w:jc w:val="right"/>
              <w:ind w:right="509"/>
              <w:spacing w:after="0"/>
              <w:rPr>
                <w:sz w:val="20"/>
                <w:szCs w:val="20"/>
                <w:color w:val="auto"/>
              </w:rPr>
            </w:pPr>
            <w:r>
              <w:rPr>
                <w:rFonts w:ascii="Arial" w:cs="Arial" w:eastAsia="Arial" w:hAnsi="Arial"/>
                <w:sz w:val="14"/>
                <w:szCs w:val="14"/>
                <w:color w:val="55565A"/>
              </w:rPr>
              <w:t>84</w:t>
            </w:r>
          </w:p>
        </w:tc>
      </w:tr>
    </w:tbl>
    <w:p>
      <w:pPr>
        <w:spacing w:after="0" w:line="102" w:lineRule="exact"/>
        <w:rPr>
          <w:sz w:val="20"/>
          <w:szCs w:val="20"/>
          <w:color w:val="auto"/>
        </w:rPr>
      </w:pPr>
    </w:p>
    <w:p>
      <w:pPr>
        <w:ind w:left="480" w:right="40" w:hanging="313"/>
        <w:spacing w:after="0" w:line="261" w:lineRule="auto"/>
        <w:tabs>
          <w:tab w:leader="none" w:pos="480" w:val="left"/>
        </w:tabs>
        <w:numPr>
          <w:ilvl w:val="0"/>
          <w:numId w:val="7"/>
        </w:numPr>
        <w:rPr>
          <w:rFonts w:ascii="Arial" w:cs="Arial" w:eastAsia="Arial" w:hAnsi="Arial"/>
          <w:sz w:val="12"/>
          <w:szCs w:val="12"/>
          <w:color w:val="55565A"/>
        </w:rPr>
      </w:pPr>
      <w:r>
        <w:rPr>
          <w:rFonts w:ascii="Arial" w:cs="Arial" w:eastAsia="Arial" w:hAnsi="Arial"/>
          <w:sz w:val="12"/>
          <w:szCs w:val="12"/>
          <w:color w:val="55565A"/>
        </w:rPr>
        <w:t>Adjustment to reflect income taxes based on estimated full-year effective tax rates. Earnings or losses for interim periods under IFRS generally reflect income taxes based on the estimated effective tax rates of each of the jurisdictions in which we operate. The non-IFRS adjustment reallocates estimated full-year income taxes between interim periods, but has no effect on full-year income taxes.</w:t>
      </w:r>
    </w:p>
    <w:p>
      <w:pPr>
        <w:spacing w:after="0" w:line="212"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55565A"/>
        </w:rPr>
        <w:t>We expect new tax legislation to be enacted in Canada in 2024 that will reduce our ability to deduct interest expense against our Canadian income. As a result, we expect to increase our taxable profits in Canada against which we will apply tax loss carryforwards. When the legislation is enacted, we expect to recognize previously unrecognized tax loss carryforwards in our consolidated income statement and record corresponding deferred tax assets, the amount of which could be significant.</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Results of Discontinued Operations</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5580" w:type="dxa"/>
            <w:vAlign w:val="bottom"/>
            <w:tcBorders>
              <w:top w:val="single" w:sz="8" w:color="88888B"/>
            </w:tcBorders>
          </w:tcPr>
          <w:p>
            <w:pPr>
              <w:spacing w:after="0"/>
              <w:rPr>
                <w:sz w:val="18"/>
                <w:szCs w:val="18"/>
                <w:color w:val="auto"/>
              </w:rPr>
            </w:pPr>
          </w:p>
        </w:tc>
        <w:tc>
          <w:tcPr>
            <w:tcW w:w="4360" w:type="dxa"/>
            <w:vAlign w:val="bottom"/>
            <w:tcBorders>
              <w:top w:val="single" w:sz="8" w:color="88888B"/>
            </w:tcBorders>
          </w:tcPr>
          <w:p>
            <w:pPr>
              <w:jc w:val="right"/>
              <w:spacing w:after="0"/>
              <w:rPr>
                <w:sz w:val="20"/>
                <w:szCs w:val="20"/>
                <w:color w:val="auto"/>
              </w:rPr>
            </w:pPr>
            <w:r>
              <w:rPr>
                <w:rFonts w:ascii="Arial" w:cs="Arial" w:eastAsia="Arial" w:hAnsi="Arial"/>
                <w:sz w:val="14"/>
                <w:szCs w:val="14"/>
                <w:b w:val="1"/>
                <w:bCs w:val="1"/>
                <w:color w:val="55565A"/>
              </w:rPr>
              <w:t>Three months ended March 31,</w:t>
            </w:r>
          </w:p>
        </w:tc>
        <w:tc>
          <w:tcPr>
            <w:tcW w:w="980" w:type="dxa"/>
            <w:vAlign w:val="bottom"/>
            <w:tcBorders>
              <w:top w:val="single" w:sz="8" w:color="88888B"/>
            </w:tcBorders>
          </w:tcPr>
          <w:p>
            <w:pPr>
              <w:spacing w:after="0"/>
              <w:rPr>
                <w:sz w:val="18"/>
                <w:szCs w:val="18"/>
                <w:color w:val="auto"/>
              </w:rPr>
            </w:pPr>
          </w:p>
        </w:tc>
      </w:tr>
      <w:tr>
        <w:trPr>
          <w:trHeight w:val="241"/>
        </w:trPr>
        <w:tc>
          <w:tcPr>
            <w:tcW w:w="5580" w:type="dxa"/>
            <w:vAlign w:val="bottom"/>
          </w:tcPr>
          <w:p>
            <w:pPr>
              <w:spacing w:after="0"/>
              <w:rPr>
                <w:sz w:val="20"/>
                <w:szCs w:val="20"/>
                <w:color w:val="auto"/>
              </w:rPr>
            </w:pPr>
            <w:r>
              <w:rPr>
                <w:rFonts w:ascii="Arial" w:cs="Arial" w:eastAsia="Arial" w:hAnsi="Arial"/>
                <w:sz w:val="14"/>
                <w:szCs w:val="14"/>
                <w:color w:val="55565A"/>
              </w:rPr>
              <w:t>(millions of U.S. dollars)</w:t>
            </w:r>
          </w:p>
        </w:tc>
        <w:tc>
          <w:tcPr>
            <w:tcW w:w="4360" w:type="dxa"/>
            <w:vAlign w:val="bottom"/>
          </w:tcPr>
          <w:p>
            <w:pPr>
              <w:jc w:val="right"/>
              <w:ind w:right="1589"/>
              <w:spacing w:after="0"/>
              <w:rPr>
                <w:sz w:val="20"/>
                <w:szCs w:val="20"/>
                <w:color w:val="auto"/>
              </w:rPr>
            </w:pPr>
            <w:r>
              <w:rPr>
                <w:rFonts w:ascii="Arial" w:cs="Arial" w:eastAsia="Arial" w:hAnsi="Arial"/>
                <w:sz w:val="14"/>
                <w:szCs w:val="14"/>
                <w:b w:val="1"/>
                <w:bCs w:val="1"/>
                <w:color w:val="55565A"/>
              </w:rPr>
              <w:t>2024</w:t>
            </w:r>
          </w:p>
        </w:tc>
        <w:tc>
          <w:tcPr>
            <w:tcW w:w="980" w:type="dxa"/>
            <w:vAlign w:val="bottom"/>
          </w:tcPr>
          <w:p>
            <w:pPr>
              <w:jc w:val="right"/>
              <w:ind w:right="549"/>
              <w:spacing w:after="0"/>
              <w:rPr>
                <w:sz w:val="20"/>
                <w:szCs w:val="20"/>
                <w:color w:val="auto"/>
              </w:rPr>
            </w:pPr>
            <w:r>
              <w:rPr>
                <w:rFonts w:ascii="Arial" w:cs="Arial" w:eastAsia="Arial" w:hAnsi="Arial"/>
                <w:sz w:val="14"/>
                <w:szCs w:val="14"/>
                <w:color w:val="55565A"/>
              </w:rPr>
              <w:t>2023</w:t>
            </w:r>
          </w:p>
        </w:tc>
      </w:tr>
      <w:tr>
        <w:trPr>
          <w:trHeight w:val="28"/>
        </w:trPr>
        <w:tc>
          <w:tcPr>
            <w:tcW w:w="5580" w:type="dxa"/>
            <w:vAlign w:val="bottom"/>
            <w:tcBorders>
              <w:bottom w:val="single" w:sz="8" w:color="88888B"/>
            </w:tcBorders>
          </w:tcPr>
          <w:p>
            <w:pPr>
              <w:spacing w:after="0"/>
              <w:rPr>
                <w:sz w:val="2"/>
                <w:szCs w:val="2"/>
                <w:color w:val="auto"/>
              </w:rPr>
            </w:pPr>
          </w:p>
        </w:tc>
        <w:tc>
          <w:tcPr>
            <w:tcW w:w="4360" w:type="dxa"/>
            <w:vAlign w:val="bottom"/>
            <w:tcBorders>
              <w:bottom w:val="single" w:sz="8" w:color="88888B"/>
            </w:tcBorders>
          </w:tcPr>
          <w:p>
            <w:pPr>
              <w:spacing w:after="0"/>
              <w:rPr>
                <w:sz w:val="2"/>
                <w:szCs w:val="2"/>
                <w:color w:val="auto"/>
              </w:rPr>
            </w:pPr>
          </w:p>
        </w:tc>
        <w:tc>
          <w:tcPr>
            <w:tcW w:w="980" w:type="dxa"/>
            <w:vAlign w:val="bottom"/>
            <w:tcBorders>
              <w:bottom w:val="single" w:sz="8" w:color="88888B"/>
            </w:tcBorders>
          </w:tcPr>
          <w:p>
            <w:pPr>
              <w:spacing w:after="0"/>
              <w:rPr>
                <w:sz w:val="2"/>
                <w:szCs w:val="2"/>
                <w:color w:val="auto"/>
              </w:rPr>
            </w:pPr>
          </w:p>
        </w:tc>
      </w:tr>
      <w:tr>
        <w:trPr>
          <w:trHeight w:val="154"/>
        </w:trPr>
        <w:tc>
          <w:tcPr>
            <w:tcW w:w="5580" w:type="dxa"/>
            <w:vAlign w:val="bottom"/>
            <w:tcBorders>
              <w:bottom w:val="single" w:sz="8" w:color="88888B"/>
            </w:tcBorders>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Earnings from discontinued operations, net of tax</w:t>
            </w:r>
          </w:p>
        </w:tc>
        <w:tc>
          <w:tcPr>
            <w:tcW w:w="4360" w:type="dxa"/>
            <w:vAlign w:val="bottom"/>
            <w:tcBorders>
              <w:bottom w:val="single" w:sz="8" w:color="88888B"/>
            </w:tcBorders>
            <w:shd w:val="clear" w:color="auto" w:fill="CCEEFF"/>
          </w:tcPr>
          <w:p>
            <w:pPr>
              <w:jc w:val="right"/>
              <w:ind w:right="1589"/>
              <w:spacing w:after="0" w:line="154" w:lineRule="exact"/>
              <w:rPr>
                <w:sz w:val="20"/>
                <w:szCs w:val="20"/>
                <w:color w:val="auto"/>
              </w:rPr>
            </w:pPr>
            <w:r>
              <w:rPr>
                <w:rFonts w:ascii="Arial" w:cs="Arial" w:eastAsia="Arial" w:hAnsi="Arial"/>
                <w:sz w:val="14"/>
                <w:szCs w:val="14"/>
                <w:b w:val="1"/>
                <w:bCs w:val="1"/>
                <w:color w:val="55565A"/>
              </w:rPr>
              <w:t>14</w:t>
            </w:r>
          </w:p>
        </w:tc>
        <w:tc>
          <w:tcPr>
            <w:tcW w:w="980" w:type="dxa"/>
            <w:vAlign w:val="bottom"/>
            <w:tcBorders>
              <w:bottom w:val="single" w:sz="8" w:color="88888B"/>
            </w:tcBorders>
            <w:shd w:val="clear" w:color="auto" w:fill="CCEEFF"/>
          </w:tcPr>
          <w:p>
            <w:pPr>
              <w:jc w:val="right"/>
              <w:ind w:right="549"/>
              <w:spacing w:after="0" w:line="154" w:lineRule="exact"/>
              <w:rPr>
                <w:sz w:val="20"/>
                <w:szCs w:val="20"/>
                <w:color w:val="auto"/>
              </w:rPr>
            </w:pPr>
            <w:r>
              <w:rPr>
                <w:rFonts w:ascii="Arial" w:cs="Arial" w:eastAsia="Arial" w:hAnsi="Arial"/>
                <w:sz w:val="14"/>
                <w:szCs w:val="14"/>
                <w:color w:val="55565A"/>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8</w:t>
      </w:r>
    </w:p>
    <w:p>
      <w:pPr>
        <w:sectPr>
          <w:pgSz w:w="11900" w:h="16838" w:orient="portrait"/>
          <w:cols w:equalWidth="0" w:num="1">
            <w:col w:w="11080"/>
          </w:cols>
          <w:pgMar w:left="320" w:top="454"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right="240"/>
        <w:spacing w:after="0" w:line="262" w:lineRule="auto"/>
        <w:rPr>
          <w:sz w:val="20"/>
          <w:szCs w:val="20"/>
          <w:color w:val="auto"/>
        </w:rPr>
      </w:pPr>
      <w:r>
        <w:rPr>
          <w:rFonts w:ascii="Arial" w:cs="Arial" w:eastAsia="Arial" w:hAnsi="Arial"/>
          <w:sz w:val="16"/>
          <w:szCs w:val="16"/>
          <w:color w:val="55565A"/>
        </w:rPr>
        <w:t>In the first quarter of 2024, earnings from discontinued operations, net of tax, included benefits from the release of reserves that are no longer required due to settlements of tax disputes. Both periods also included earnings arising on a receivable balance from LSEG relating to a tax indemnity. The earnings were due to changes in foreign exchange and interest rates.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Net earnings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100" w:type="dxa"/>
            <w:vAlign w:val="bottom"/>
            <w:gridSpan w:val="3"/>
          </w:tcPr>
          <w:p>
            <w:pPr>
              <w:jc w:val="right"/>
              <w:ind w:right="809"/>
              <w:spacing w:after="0"/>
              <w:rPr>
                <w:sz w:val="20"/>
                <w:szCs w:val="20"/>
                <w:color w:val="auto"/>
              </w:rPr>
            </w:pPr>
            <w:r>
              <w:rPr>
                <w:rFonts w:ascii="Arial" w:cs="Arial" w:eastAsia="Arial" w:hAnsi="Arial"/>
                <w:sz w:val="14"/>
                <w:szCs w:val="14"/>
                <w:b w:val="1"/>
                <w:bCs w:val="1"/>
                <w:color w:val="55565A"/>
              </w:rPr>
              <w:t>Three months ended March 31,</w:t>
            </w:r>
          </w:p>
        </w:tc>
      </w:tr>
      <w:tr>
        <w:trPr>
          <w:trHeight w:val="248"/>
        </w:trPr>
        <w:tc>
          <w:tcPr>
            <w:tcW w:w="5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0" w:type="dxa"/>
            <w:vAlign w:val="bottom"/>
          </w:tcPr>
          <w:p>
            <w:pPr>
              <w:jc w:val="right"/>
              <w:ind w:right="769"/>
              <w:spacing w:after="0"/>
              <w:rPr>
                <w:sz w:val="20"/>
                <w:szCs w:val="20"/>
                <w:color w:val="auto"/>
              </w:rPr>
            </w:pPr>
            <w:r>
              <w:rPr>
                <w:rFonts w:ascii="Arial" w:cs="Arial" w:eastAsia="Arial" w:hAnsi="Arial"/>
                <w:sz w:val="14"/>
                <w:szCs w:val="14"/>
                <w:color w:val="55565A"/>
              </w:rPr>
              <w:t>Change</w:t>
            </w:r>
          </w:p>
        </w:tc>
      </w:tr>
      <w:tr>
        <w:trPr>
          <w:trHeight w:val="239"/>
        </w:trPr>
        <w:tc>
          <w:tcPr>
            <w:tcW w:w="5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jc w:val="right"/>
              <w:ind w:right="249"/>
              <w:spacing w:after="0"/>
              <w:rPr>
                <w:sz w:val="20"/>
                <w:szCs w:val="20"/>
                <w:color w:val="auto"/>
              </w:rPr>
            </w:pPr>
            <w:r>
              <w:rPr>
                <w:rFonts w:ascii="Arial" w:cs="Arial" w:eastAsia="Arial" w:hAnsi="Arial"/>
                <w:sz w:val="14"/>
                <w:szCs w:val="14"/>
                <w:color w:val="55565A"/>
              </w:rPr>
              <w:t>Constant</w:t>
            </w:r>
          </w:p>
        </w:tc>
      </w:tr>
      <w:tr>
        <w:trPr>
          <w:trHeight w:val="195"/>
        </w:trPr>
        <w:tc>
          <w:tcPr>
            <w:tcW w:w="5300" w:type="dxa"/>
            <w:vAlign w:val="bottom"/>
          </w:tcPr>
          <w:p>
            <w:pPr>
              <w:spacing w:after="0"/>
              <w:rPr>
                <w:sz w:val="20"/>
                <w:szCs w:val="20"/>
                <w:color w:val="auto"/>
              </w:rPr>
            </w:pPr>
            <w:r>
              <w:rPr>
                <w:rFonts w:ascii="Arial" w:cs="Arial" w:eastAsia="Arial" w:hAnsi="Arial"/>
                <w:sz w:val="14"/>
                <w:szCs w:val="14"/>
                <w:color w:val="55565A"/>
              </w:rPr>
              <w:t>(millions of U.S. dollars, except per share amounts)</w:t>
            </w:r>
          </w:p>
        </w:tc>
        <w:tc>
          <w:tcPr>
            <w:tcW w:w="2520" w:type="dxa"/>
            <w:vAlign w:val="bottom"/>
          </w:tcPr>
          <w:p>
            <w:pPr>
              <w:jc w:val="right"/>
              <w:ind w:right="29"/>
              <w:spacing w:after="0"/>
              <w:rPr>
                <w:sz w:val="20"/>
                <w:szCs w:val="20"/>
                <w:color w:val="auto"/>
              </w:rPr>
            </w:pPr>
            <w:r>
              <w:rPr>
                <w:rFonts w:ascii="Arial" w:cs="Arial" w:eastAsia="Arial" w:hAnsi="Arial"/>
                <w:sz w:val="14"/>
                <w:szCs w:val="14"/>
                <w:b w:val="1"/>
                <w:bCs w:val="1"/>
                <w:color w:val="55565A"/>
              </w:rPr>
              <w:t>2024</w:t>
            </w:r>
          </w:p>
        </w:tc>
        <w:tc>
          <w:tcPr>
            <w:tcW w:w="980" w:type="dxa"/>
            <w:vAlign w:val="bottom"/>
          </w:tcPr>
          <w:p>
            <w:pPr>
              <w:jc w:val="right"/>
              <w:ind w:right="209"/>
              <w:spacing w:after="0"/>
              <w:rPr>
                <w:sz w:val="20"/>
                <w:szCs w:val="20"/>
                <w:color w:val="auto"/>
              </w:rPr>
            </w:pPr>
            <w:r>
              <w:rPr>
                <w:rFonts w:ascii="Arial" w:cs="Arial" w:eastAsia="Arial" w:hAnsi="Arial"/>
                <w:sz w:val="14"/>
                <w:szCs w:val="14"/>
                <w:color w:val="55565A"/>
              </w:rPr>
              <w:t>2023</w:t>
            </w:r>
          </w:p>
        </w:tc>
        <w:tc>
          <w:tcPr>
            <w:tcW w:w="720" w:type="dxa"/>
            <w:vAlign w:val="bottom"/>
          </w:tcPr>
          <w:p>
            <w:pPr>
              <w:jc w:val="right"/>
              <w:spacing w:after="0"/>
              <w:rPr>
                <w:sz w:val="20"/>
                <w:szCs w:val="20"/>
                <w:color w:val="auto"/>
              </w:rPr>
            </w:pPr>
            <w:r>
              <w:rPr>
                <w:rFonts w:ascii="Arial" w:cs="Arial" w:eastAsia="Arial" w:hAnsi="Arial"/>
                <w:sz w:val="14"/>
                <w:szCs w:val="14"/>
                <w:color w:val="55565A"/>
              </w:rPr>
              <w:t>Total</w:t>
            </w:r>
          </w:p>
        </w:tc>
        <w:tc>
          <w:tcPr>
            <w:tcW w:w="1400" w:type="dxa"/>
            <w:vAlign w:val="bottom"/>
          </w:tcPr>
          <w:p>
            <w:pPr>
              <w:jc w:val="right"/>
              <w:ind w:right="249"/>
              <w:spacing w:after="0"/>
              <w:rPr>
                <w:sz w:val="20"/>
                <w:szCs w:val="20"/>
                <w:color w:val="auto"/>
              </w:rPr>
            </w:pPr>
            <w:r>
              <w:rPr>
                <w:rFonts w:ascii="Arial" w:cs="Arial" w:eastAsia="Arial" w:hAnsi="Arial"/>
                <w:sz w:val="14"/>
                <w:szCs w:val="14"/>
                <w:color w:val="55565A"/>
              </w:rPr>
              <w:t>Currency</w:t>
            </w:r>
          </w:p>
        </w:tc>
      </w:tr>
      <w:tr>
        <w:trPr>
          <w:trHeight w:val="28"/>
        </w:trPr>
        <w:tc>
          <w:tcPr>
            <w:tcW w:w="5300" w:type="dxa"/>
            <w:vAlign w:val="bottom"/>
            <w:tcBorders>
              <w:bottom w:val="single" w:sz="8" w:color="88888B"/>
            </w:tcBorders>
          </w:tcPr>
          <w:p>
            <w:pPr>
              <w:spacing w:after="0"/>
              <w:rPr>
                <w:sz w:val="2"/>
                <w:szCs w:val="2"/>
                <w:color w:val="auto"/>
              </w:rPr>
            </w:pPr>
          </w:p>
        </w:tc>
        <w:tc>
          <w:tcPr>
            <w:tcW w:w="2520" w:type="dxa"/>
            <w:vAlign w:val="bottom"/>
            <w:tcBorders>
              <w:bottom w:val="single" w:sz="8" w:color="88888B"/>
            </w:tcBorders>
          </w:tcPr>
          <w:p>
            <w:pPr>
              <w:spacing w:after="0"/>
              <w:rPr>
                <w:sz w:val="2"/>
                <w:szCs w:val="2"/>
                <w:color w:val="auto"/>
              </w:rPr>
            </w:pPr>
          </w:p>
        </w:tc>
        <w:tc>
          <w:tcPr>
            <w:tcW w:w="980" w:type="dxa"/>
            <w:vAlign w:val="bottom"/>
            <w:tcBorders>
              <w:bottom w:val="single" w:sz="8" w:color="88888B"/>
            </w:tcBorders>
          </w:tcPr>
          <w:p>
            <w:pPr>
              <w:spacing w:after="0"/>
              <w:rPr>
                <w:sz w:val="2"/>
                <w:szCs w:val="2"/>
                <w:color w:val="auto"/>
              </w:rPr>
            </w:pPr>
          </w:p>
        </w:tc>
        <w:tc>
          <w:tcPr>
            <w:tcW w:w="720" w:type="dxa"/>
            <w:vAlign w:val="bottom"/>
            <w:tcBorders>
              <w:bottom w:val="single" w:sz="8" w:color="88888B"/>
            </w:tcBorders>
          </w:tcPr>
          <w:p>
            <w:pPr>
              <w:spacing w:after="0"/>
              <w:rPr>
                <w:sz w:val="2"/>
                <w:szCs w:val="2"/>
                <w:color w:val="auto"/>
              </w:rPr>
            </w:pPr>
          </w:p>
        </w:tc>
        <w:tc>
          <w:tcPr>
            <w:tcW w:w="1400" w:type="dxa"/>
            <w:vAlign w:val="bottom"/>
            <w:tcBorders>
              <w:bottom w:val="single" w:sz="8" w:color="88888B"/>
            </w:tcBorders>
          </w:tcPr>
          <w:p>
            <w:pPr>
              <w:spacing w:after="0"/>
              <w:rPr>
                <w:sz w:val="2"/>
                <w:szCs w:val="2"/>
                <w:color w:val="auto"/>
              </w:rPr>
            </w:pPr>
          </w:p>
        </w:tc>
      </w:tr>
      <w:tr>
        <w:trPr>
          <w:trHeight w:val="154"/>
        </w:trPr>
        <w:tc>
          <w:tcPr>
            <w:tcW w:w="530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IFRS Financial Measures</w:t>
            </w:r>
          </w:p>
        </w:tc>
        <w:tc>
          <w:tcPr>
            <w:tcW w:w="2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60"/>
        </w:trPr>
        <w:tc>
          <w:tcPr>
            <w:tcW w:w="5300" w:type="dxa"/>
            <w:vAlign w:val="bottom"/>
          </w:tcPr>
          <w:p>
            <w:pPr>
              <w:spacing w:after="0"/>
              <w:rPr>
                <w:sz w:val="20"/>
                <w:szCs w:val="20"/>
                <w:color w:val="auto"/>
              </w:rPr>
            </w:pPr>
            <w:r>
              <w:rPr>
                <w:rFonts w:ascii="Arial" w:cs="Arial" w:eastAsia="Arial" w:hAnsi="Arial"/>
                <w:sz w:val="14"/>
                <w:szCs w:val="14"/>
                <w:color w:val="55565A"/>
              </w:rPr>
              <w:t>Net earnings</w:t>
            </w:r>
          </w:p>
        </w:tc>
        <w:tc>
          <w:tcPr>
            <w:tcW w:w="2520" w:type="dxa"/>
            <w:vAlign w:val="bottom"/>
          </w:tcPr>
          <w:p>
            <w:pPr>
              <w:jc w:val="right"/>
              <w:ind w:right="29"/>
              <w:spacing w:after="0"/>
              <w:rPr>
                <w:sz w:val="20"/>
                <w:szCs w:val="20"/>
                <w:color w:val="auto"/>
              </w:rPr>
            </w:pPr>
            <w:r>
              <w:rPr>
                <w:rFonts w:ascii="Arial" w:cs="Arial" w:eastAsia="Arial" w:hAnsi="Arial"/>
                <w:sz w:val="14"/>
                <w:szCs w:val="14"/>
                <w:b w:val="1"/>
                <w:bCs w:val="1"/>
                <w:color w:val="55565A"/>
              </w:rPr>
              <w:t>478</w:t>
            </w:r>
          </w:p>
        </w:tc>
        <w:tc>
          <w:tcPr>
            <w:tcW w:w="980" w:type="dxa"/>
            <w:vAlign w:val="bottom"/>
          </w:tcPr>
          <w:p>
            <w:pPr>
              <w:jc w:val="right"/>
              <w:ind w:right="209"/>
              <w:spacing w:after="0"/>
              <w:rPr>
                <w:sz w:val="20"/>
                <w:szCs w:val="20"/>
                <w:color w:val="auto"/>
              </w:rPr>
            </w:pPr>
            <w:r>
              <w:rPr>
                <w:rFonts w:ascii="Arial" w:cs="Arial" w:eastAsia="Arial" w:hAnsi="Arial"/>
                <w:sz w:val="14"/>
                <w:szCs w:val="14"/>
                <w:color w:val="55565A"/>
              </w:rPr>
              <w:t>756</w:t>
            </w:r>
          </w:p>
        </w:tc>
        <w:tc>
          <w:tcPr>
            <w:tcW w:w="720" w:type="dxa"/>
            <w:vAlign w:val="bottom"/>
          </w:tcPr>
          <w:p>
            <w:pPr>
              <w:jc w:val="right"/>
              <w:spacing w:after="0"/>
              <w:rPr>
                <w:sz w:val="20"/>
                <w:szCs w:val="20"/>
                <w:color w:val="auto"/>
              </w:rPr>
            </w:pPr>
            <w:r>
              <w:rPr>
                <w:rFonts w:ascii="Arial" w:cs="Arial" w:eastAsia="Arial" w:hAnsi="Arial"/>
                <w:sz w:val="14"/>
                <w:szCs w:val="14"/>
                <w:color w:val="55565A"/>
              </w:rPr>
              <w:t>(37%)</w:t>
            </w:r>
          </w:p>
        </w:tc>
        <w:tc>
          <w:tcPr>
            <w:tcW w:w="1400" w:type="dxa"/>
            <w:vAlign w:val="bottom"/>
          </w:tcPr>
          <w:p>
            <w:pPr>
              <w:spacing w:after="0"/>
              <w:rPr>
                <w:sz w:val="13"/>
                <w:szCs w:val="13"/>
                <w:color w:val="auto"/>
              </w:rPr>
            </w:pPr>
          </w:p>
        </w:tc>
      </w:tr>
      <w:tr>
        <w:trPr>
          <w:trHeight w:val="160"/>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55565A"/>
              </w:rPr>
              <w:t>Diluted EPS</w:t>
            </w:r>
          </w:p>
        </w:tc>
        <w:tc>
          <w:tcPr>
            <w:tcW w:w="2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5565A"/>
              </w:rPr>
              <w:t>$1.06</w:t>
            </w:r>
          </w:p>
        </w:tc>
        <w:tc>
          <w:tcPr>
            <w:tcW w:w="9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$1.59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55565A"/>
              </w:rPr>
              <w:t>(33%)</w:t>
            </w:r>
          </w:p>
        </w:tc>
        <w:tc>
          <w:tcPr>
            <w:tcW w:w="1400" w:type="dxa"/>
            <w:vAlign w:val="bottom"/>
            <w:shd w:val="clear" w:color="auto" w:fill="CCEEFF"/>
          </w:tcPr>
          <w:p>
            <w:pPr>
              <w:spacing w:after="0"/>
              <w:rPr>
                <w:sz w:val="13"/>
                <w:szCs w:val="13"/>
                <w:color w:val="auto"/>
              </w:rPr>
            </w:pPr>
          </w:p>
        </w:tc>
      </w:tr>
      <w:tr>
        <w:trPr>
          <w:trHeight w:val="160"/>
        </w:trPr>
        <w:tc>
          <w:tcPr>
            <w:tcW w:w="5300" w:type="dxa"/>
            <w:vAlign w:val="bottom"/>
          </w:tcPr>
          <w:p>
            <w:pPr>
              <w:spacing w:after="0" w:line="161" w:lineRule="exact"/>
              <w:rPr>
                <w:sz w:val="20"/>
                <w:szCs w:val="20"/>
                <w:color w:val="auto"/>
              </w:rPr>
            </w:pPr>
            <w:r>
              <w:rPr>
                <w:rFonts w:ascii="Arial" w:cs="Arial" w:eastAsia="Arial" w:hAnsi="Arial"/>
                <w:sz w:val="12"/>
                <w:szCs w:val="12"/>
                <w:b w:val="1"/>
                <w:bCs w:val="1"/>
                <w:color w:val="55565A"/>
              </w:rPr>
              <w:t>Non-IFRS Financial Measures</w:t>
            </w:r>
            <w:r>
              <w:rPr>
                <w:rFonts w:ascii="Arial" w:cs="Arial" w:eastAsia="Arial" w:hAnsi="Arial"/>
                <w:sz w:val="18"/>
                <w:szCs w:val="18"/>
                <w:b w:val="1"/>
                <w:bCs w:val="1"/>
                <w:color w:val="55565A"/>
                <w:vertAlign w:val="superscript"/>
              </w:rPr>
              <w:t>(1)</w:t>
            </w:r>
          </w:p>
        </w:tc>
        <w:tc>
          <w:tcPr>
            <w:tcW w:w="2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55565A"/>
              </w:rPr>
              <w:t>Adjusted earnings</w:t>
            </w:r>
          </w:p>
        </w:tc>
        <w:tc>
          <w:tcPr>
            <w:tcW w:w="2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5565A"/>
              </w:rPr>
              <w:t>503</w:t>
            </w:r>
          </w:p>
        </w:tc>
        <w:tc>
          <w:tcPr>
            <w:tcW w:w="9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396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55565A"/>
              </w:rPr>
              <w:t>27%</w:t>
            </w:r>
          </w:p>
        </w:tc>
        <w:tc>
          <w:tcPr>
            <w:tcW w:w="1400" w:type="dxa"/>
            <w:vAlign w:val="bottom"/>
            <w:shd w:val="clear" w:color="auto" w:fill="CCEEFF"/>
          </w:tcPr>
          <w:p>
            <w:pPr>
              <w:spacing w:after="0"/>
              <w:rPr>
                <w:sz w:val="13"/>
                <w:szCs w:val="13"/>
                <w:color w:val="auto"/>
              </w:rPr>
            </w:pPr>
          </w:p>
        </w:tc>
      </w:tr>
      <w:tr>
        <w:trPr>
          <w:trHeight w:val="160"/>
        </w:trPr>
        <w:tc>
          <w:tcPr>
            <w:tcW w:w="530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Adjusted EPS</w:t>
            </w:r>
          </w:p>
        </w:tc>
        <w:tc>
          <w:tcPr>
            <w:tcW w:w="2520" w:type="dxa"/>
            <w:vAlign w:val="bottom"/>
            <w:tcBorders>
              <w:bottom w:val="single" w:sz="8" w:color="88888B"/>
            </w:tcBorders>
          </w:tcPr>
          <w:p>
            <w:pPr>
              <w:jc w:val="right"/>
              <w:ind w:right="29"/>
              <w:spacing w:after="0"/>
              <w:rPr>
                <w:sz w:val="20"/>
                <w:szCs w:val="20"/>
                <w:color w:val="auto"/>
              </w:rPr>
            </w:pPr>
            <w:r>
              <w:rPr>
                <w:rFonts w:ascii="Arial" w:cs="Arial" w:eastAsia="Arial" w:hAnsi="Arial"/>
                <w:sz w:val="14"/>
                <w:szCs w:val="14"/>
                <w:b w:val="1"/>
                <w:bCs w:val="1"/>
                <w:color w:val="55565A"/>
              </w:rPr>
              <w:t>$1.11</w:t>
            </w:r>
          </w:p>
        </w:tc>
        <w:tc>
          <w:tcPr>
            <w:tcW w:w="980" w:type="dxa"/>
            <w:vAlign w:val="bottom"/>
            <w:tcBorders>
              <w:bottom w:val="single" w:sz="8" w:color="88888B"/>
            </w:tcBorders>
          </w:tcPr>
          <w:p>
            <w:pPr>
              <w:jc w:val="right"/>
              <w:ind w:right="209"/>
              <w:spacing w:after="0"/>
              <w:rPr>
                <w:sz w:val="20"/>
                <w:szCs w:val="20"/>
                <w:color w:val="auto"/>
              </w:rPr>
            </w:pPr>
            <w:r>
              <w:rPr>
                <w:rFonts w:ascii="Arial" w:cs="Arial" w:eastAsia="Arial" w:hAnsi="Arial"/>
                <w:sz w:val="14"/>
                <w:szCs w:val="14"/>
                <w:color w:val="55565A"/>
              </w:rPr>
              <w:t>$0.84</w:t>
            </w:r>
          </w:p>
        </w:tc>
        <w:tc>
          <w:tcPr>
            <w:tcW w:w="720" w:type="dxa"/>
            <w:vAlign w:val="bottom"/>
            <w:tcBorders>
              <w:bottom w:val="single" w:sz="8" w:color="88888B"/>
            </w:tcBorders>
          </w:tcPr>
          <w:p>
            <w:pPr>
              <w:jc w:val="right"/>
              <w:spacing w:after="0"/>
              <w:rPr>
                <w:sz w:val="20"/>
                <w:szCs w:val="20"/>
                <w:color w:val="auto"/>
              </w:rPr>
            </w:pPr>
            <w:r>
              <w:rPr>
                <w:rFonts w:ascii="Arial" w:cs="Arial" w:eastAsia="Arial" w:hAnsi="Arial"/>
                <w:sz w:val="14"/>
                <w:szCs w:val="14"/>
                <w:color w:val="55565A"/>
              </w:rPr>
              <w:t>32%</w:t>
            </w:r>
          </w:p>
        </w:tc>
        <w:tc>
          <w:tcPr>
            <w:tcW w:w="140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color w:val="55565A"/>
              </w:rPr>
              <w:t>32%</w:t>
            </w:r>
          </w:p>
        </w:tc>
      </w:tr>
    </w:tbl>
    <w:p>
      <w:pPr>
        <w:spacing w:after="0" w:line="102" w:lineRule="exact"/>
        <w:rPr>
          <w:sz w:val="20"/>
          <w:szCs w:val="20"/>
          <w:color w:val="auto"/>
        </w:rPr>
      </w:pPr>
    </w:p>
    <w:p>
      <w:pPr>
        <w:jc w:val="both"/>
        <w:ind w:left="480" w:right="260" w:hanging="313"/>
        <w:spacing w:after="0" w:line="256" w:lineRule="auto"/>
        <w:tabs>
          <w:tab w:leader="none" w:pos="480" w:val="left"/>
        </w:tabs>
        <w:numPr>
          <w:ilvl w:val="0"/>
          <w:numId w:val="8"/>
        </w:numPr>
        <w:rPr>
          <w:rFonts w:ascii="Arial" w:cs="Arial" w:eastAsia="Arial" w:hAnsi="Arial"/>
          <w:sz w:val="12"/>
          <w:szCs w:val="12"/>
          <w:color w:val="55565A"/>
        </w:rPr>
      </w:pPr>
      <w:r>
        <w:rPr>
          <w:rFonts w:ascii="Arial" w:cs="Arial" w:eastAsia="Arial" w:hAnsi="Arial"/>
          <w:sz w:val="12"/>
          <w:szCs w:val="12"/>
          <w:color w:val="55565A"/>
        </w:rPr>
        <w:t>In the third quarter of 2023, we amended our definition of adjusted earnings and adjusted EPS to exclude amortization from acquired computer software. We revised the comparative 2023 period to reflect the current presentation. Refer to Appendices A and B of this management’s discussion and analysis for additional information and reconciliations of our non-IFRS financial measures to the most directly comparable IFRS financial measures.</w:t>
      </w:r>
    </w:p>
    <w:p>
      <w:pPr>
        <w:spacing w:after="0" w:line="70" w:lineRule="exact"/>
        <w:rPr>
          <w:sz w:val="20"/>
          <w:szCs w:val="20"/>
          <w:color w:val="auto"/>
        </w:rPr>
      </w:pPr>
    </w:p>
    <w:p>
      <w:pPr>
        <w:ind w:left="160" w:right="380"/>
        <w:spacing w:after="0" w:line="279" w:lineRule="auto"/>
        <w:rPr>
          <w:sz w:val="20"/>
          <w:szCs w:val="20"/>
          <w:color w:val="auto"/>
        </w:rPr>
      </w:pPr>
      <w:r>
        <w:rPr>
          <w:rFonts w:ascii="Arial" w:cs="Arial" w:eastAsia="Arial" w:hAnsi="Arial"/>
          <w:sz w:val="16"/>
          <w:szCs w:val="16"/>
          <w:color w:val="55565A"/>
        </w:rPr>
        <w:t>Net earnings and diluted EPS decreased in the first quarter of 2024, compared to the prior-year period, as the prior-year period included a significant increase in the value of our investment in LSEG.</w:t>
      </w:r>
    </w:p>
    <w:p>
      <w:pPr>
        <w:spacing w:after="0" w:line="54"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color w:val="55565A"/>
        </w:rPr>
        <w:t>Adjusted earnings and adjusted EPS, which excludes the change in value of our LSEG investment, as well as other adjustments, increased primarily due to higher adjusted EBITDA.</w:t>
      </w:r>
    </w:p>
    <w:p>
      <w:pPr>
        <w:spacing w:after="0" w:line="54"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55565A"/>
        </w:rPr>
        <w:t>Both diluted and adjusted EPS benefited from a reduction in weighted-average common shares outstanding due to share repurchases and our June 2023 return of capital transaction.</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Segment results</w:t>
      </w:r>
    </w:p>
    <w:p>
      <w:pPr>
        <w:spacing w:after="0" w:line="110" w:lineRule="exact"/>
        <w:rPr>
          <w:sz w:val="20"/>
          <w:szCs w:val="20"/>
          <w:color w:val="auto"/>
        </w:rPr>
      </w:pPr>
    </w:p>
    <w:p>
      <w:pPr>
        <w:ind w:left="160" w:right="220"/>
        <w:spacing w:after="0" w:line="262" w:lineRule="auto"/>
        <w:rPr>
          <w:sz w:val="20"/>
          <w:szCs w:val="20"/>
          <w:color w:val="auto"/>
        </w:rPr>
      </w:pPr>
      <w:r>
        <w:rPr>
          <w:rFonts w:ascii="Arial" w:cs="Arial" w:eastAsia="Arial" w:hAnsi="Arial"/>
          <w:sz w:val="16"/>
          <w:szCs w:val="16"/>
          <w:color w:val="55565A"/>
        </w:rPr>
        <w:t>The following is a discussion of our five reportable segments and our Corporate costs for the three months ended March 31, 2024. We assess revenue growth for each segment, as well as the businesses within each segment, in constant currency and on an organic basis. See Appendix A of this management’s discussion and analysis for additional information.</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Legal Professionals</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4840" w:type="dxa"/>
            <w:vAlign w:val="bottom"/>
            <w:tcBorders>
              <w:top w:val="single" w:sz="8" w:color="88888B"/>
            </w:tcBorders>
          </w:tcPr>
          <w:p>
            <w:pPr>
              <w:spacing w:after="0"/>
              <w:rPr>
                <w:sz w:val="18"/>
                <w:szCs w:val="18"/>
                <w:color w:val="auto"/>
              </w:rPr>
            </w:pPr>
          </w:p>
        </w:tc>
        <w:tc>
          <w:tcPr>
            <w:tcW w:w="2820" w:type="dxa"/>
            <w:vAlign w:val="bottom"/>
            <w:tcBorders>
              <w:top w:val="single" w:sz="8" w:color="88888B"/>
            </w:tcBorders>
          </w:tcPr>
          <w:p>
            <w:pPr>
              <w:spacing w:after="0"/>
              <w:rPr>
                <w:sz w:val="18"/>
                <w:szCs w:val="18"/>
                <w:color w:val="auto"/>
              </w:rPr>
            </w:pPr>
          </w:p>
        </w:tc>
        <w:tc>
          <w:tcPr>
            <w:tcW w:w="2420" w:type="dxa"/>
            <w:vAlign w:val="bottom"/>
            <w:tcBorders>
              <w:top w:val="single" w:sz="8" w:color="88888B"/>
            </w:tcBorders>
            <w:gridSpan w:val="3"/>
          </w:tcPr>
          <w:p>
            <w:pPr>
              <w:jc w:val="right"/>
              <w:ind w:right="69"/>
              <w:spacing w:after="0"/>
              <w:rPr>
                <w:sz w:val="20"/>
                <w:szCs w:val="20"/>
                <w:color w:val="auto"/>
              </w:rPr>
            </w:pPr>
            <w:r>
              <w:rPr>
                <w:rFonts w:ascii="Arial" w:cs="Arial" w:eastAsia="Arial" w:hAnsi="Arial"/>
                <w:sz w:val="14"/>
                <w:szCs w:val="14"/>
                <w:b w:val="1"/>
                <w:bCs w:val="1"/>
                <w:color w:val="55565A"/>
              </w:rPr>
              <w:t>Three months ended March 31,</w:t>
            </w:r>
          </w:p>
        </w:tc>
        <w:tc>
          <w:tcPr>
            <w:tcW w:w="840" w:type="dxa"/>
            <w:vAlign w:val="bottom"/>
            <w:tcBorders>
              <w:top w:val="single" w:sz="8" w:color="88888B"/>
            </w:tcBorders>
          </w:tcPr>
          <w:p>
            <w:pPr>
              <w:spacing w:after="0"/>
              <w:rPr>
                <w:sz w:val="18"/>
                <w:szCs w:val="18"/>
                <w:color w:val="auto"/>
              </w:rPr>
            </w:pPr>
          </w:p>
        </w:tc>
      </w:tr>
      <w:tr>
        <w:trPr>
          <w:trHeight w:val="221"/>
        </w:trPr>
        <w:tc>
          <w:tcPr>
            <w:tcW w:w="48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jc w:val="right"/>
              <w:ind w:right="149"/>
              <w:spacing w:after="0"/>
              <w:rPr>
                <w:sz w:val="20"/>
                <w:szCs w:val="20"/>
                <w:color w:val="auto"/>
              </w:rPr>
            </w:pPr>
            <w:r>
              <w:rPr>
                <w:rFonts w:ascii="Arial" w:cs="Arial" w:eastAsia="Arial" w:hAnsi="Arial"/>
                <w:sz w:val="14"/>
                <w:szCs w:val="14"/>
                <w:color w:val="55565A"/>
              </w:rPr>
              <w:t>Change</w:t>
            </w:r>
          </w:p>
        </w:tc>
        <w:tc>
          <w:tcPr>
            <w:tcW w:w="840" w:type="dxa"/>
            <w:vAlign w:val="bottom"/>
          </w:tcPr>
          <w:p>
            <w:pPr>
              <w:spacing w:after="0"/>
              <w:rPr>
                <w:sz w:val="19"/>
                <w:szCs w:val="19"/>
                <w:color w:val="auto"/>
              </w:rPr>
            </w:pPr>
          </w:p>
        </w:tc>
      </w:tr>
      <w:tr>
        <w:trPr>
          <w:trHeight w:val="212"/>
        </w:trPr>
        <w:tc>
          <w:tcPr>
            <w:tcW w:w="48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55565A"/>
              </w:rPr>
              <w:t>Constant</w:t>
            </w:r>
          </w:p>
        </w:tc>
        <w:tc>
          <w:tcPr>
            <w:tcW w:w="840" w:type="dxa"/>
            <w:vAlign w:val="bottom"/>
          </w:tcPr>
          <w:p>
            <w:pPr>
              <w:spacing w:after="0"/>
              <w:rPr>
                <w:sz w:val="18"/>
                <w:szCs w:val="18"/>
                <w:color w:val="auto"/>
              </w:rPr>
            </w:pPr>
          </w:p>
        </w:tc>
      </w:tr>
      <w:tr>
        <w:trPr>
          <w:trHeight w:val="195"/>
        </w:trPr>
        <w:tc>
          <w:tcPr>
            <w:tcW w:w="4840" w:type="dxa"/>
            <w:vAlign w:val="bottom"/>
          </w:tcPr>
          <w:p>
            <w:pPr>
              <w:spacing w:after="0"/>
              <w:rPr>
                <w:sz w:val="20"/>
                <w:szCs w:val="20"/>
                <w:color w:val="auto"/>
              </w:rPr>
            </w:pPr>
            <w:r>
              <w:rPr>
                <w:rFonts w:ascii="Arial" w:cs="Arial" w:eastAsia="Arial" w:hAnsi="Arial"/>
                <w:sz w:val="14"/>
                <w:szCs w:val="14"/>
                <w:color w:val="55565A"/>
              </w:rPr>
              <w:t>(millions of U.S. dollars, except margins)</w:t>
            </w:r>
          </w:p>
        </w:tc>
        <w:tc>
          <w:tcPr>
            <w:tcW w:w="2820" w:type="dxa"/>
            <w:vAlign w:val="bottom"/>
          </w:tcPr>
          <w:p>
            <w:pPr>
              <w:jc w:val="right"/>
              <w:ind w:right="49"/>
              <w:spacing w:after="0"/>
              <w:rPr>
                <w:sz w:val="20"/>
                <w:szCs w:val="20"/>
                <w:color w:val="auto"/>
              </w:rPr>
            </w:pPr>
            <w:r>
              <w:rPr>
                <w:rFonts w:ascii="Arial" w:cs="Arial" w:eastAsia="Arial" w:hAnsi="Arial"/>
                <w:sz w:val="14"/>
                <w:szCs w:val="14"/>
                <w:b w:val="1"/>
                <w:bCs w:val="1"/>
                <w:color w:val="55565A"/>
              </w:rPr>
              <w:t>2024</w:t>
            </w:r>
          </w:p>
        </w:tc>
        <w:tc>
          <w:tcPr>
            <w:tcW w:w="720" w:type="dxa"/>
            <w:vAlign w:val="bottom"/>
          </w:tcPr>
          <w:p>
            <w:pPr>
              <w:jc w:val="right"/>
              <w:ind w:right="109"/>
              <w:spacing w:after="0"/>
              <w:rPr>
                <w:sz w:val="20"/>
                <w:szCs w:val="20"/>
                <w:color w:val="auto"/>
              </w:rPr>
            </w:pPr>
            <w:r>
              <w:rPr>
                <w:rFonts w:ascii="Arial" w:cs="Arial" w:eastAsia="Arial" w:hAnsi="Arial"/>
                <w:sz w:val="14"/>
                <w:szCs w:val="14"/>
                <w:color w:val="55565A"/>
              </w:rPr>
              <w:t>2023</w:t>
            </w:r>
          </w:p>
        </w:tc>
        <w:tc>
          <w:tcPr>
            <w:tcW w:w="760" w:type="dxa"/>
            <w:vAlign w:val="bottom"/>
          </w:tcPr>
          <w:p>
            <w:pPr>
              <w:jc w:val="right"/>
              <w:ind w:right="109"/>
              <w:spacing w:after="0"/>
              <w:rPr>
                <w:sz w:val="20"/>
                <w:szCs w:val="20"/>
                <w:color w:val="auto"/>
              </w:rPr>
            </w:pPr>
            <w:r>
              <w:rPr>
                <w:rFonts w:ascii="Arial" w:cs="Arial" w:eastAsia="Arial" w:hAnsi="Arial"/>
                <w:sz w:val="14"/>
                <w:szCs w:val="14"/>
                <w:color w:val="55565A"/>
              </w:rPr>
              <w:t>Total</w:t>
            </w:r>
          </w:p>
        </w:tc>
        <w:tc>
          <w:tcPr>
            <w:tcW w:w="940" w:type="dxa"/>
            <w:vAlign w:val="bottom"/>
          </w:tcPr>
          <w:p>
            <w:pPr>
              <w:jc w:val="right"/>
              <w:ind w:right="129"/>
              <w:spacing w:after="0"/>
              <w:rPr>
                <w:sz w:val="20"/>
                <w:szCs w:val="20"/>
                <w:color w:val="auto"/>
              </w:rPr>
            </w:pPr>
            <w:r>
              <w:rPr>
                <w:rFonts w:ascii="Arial" w:cs="Arial" w:eastAsia="Arial" w:hAnsi="Arial"/>
                <w:sz w:val="14"/>
                <w:szCs w:val="14"/>
                <w:color w:val="55565A"/>
              </w:rPr>
              <w:t>Currency</w:t>
            </w:r>
          </w:p>
        </w:tc>
        <w:tc>
          <w:tcPr>
            <w:tcW w:w="840" w:type="dxa"/>
            <w:vAlign w:val="bottom"/>
          </w:tcPr>
          <w:p>
            <w:pPr>
              <w:jc w:val="right"/>
              <w:ind w:right="149"/>
              <w:spacing w:after="0"/>
              <w:rPr>
                <w:sz w:val="20"/>
                <w:szCs w:val="20"/>
                <w:color w:val="auto"/>
              </w:rPr>
            </w:pPr>
            <w:r>
              <w:rPr>
                <w:rFonts w:ascii="Arial" w:cs="Arial" w:eastAsia="Arial" w:hAnsi="Arial"/>
                <w:sz w:val="14"/>
                <w:szCs w:val="14"/>
                <w:color w:val="55565A"/>
              </w:rPr>
              <w:t>Organic</w:t>
            </w:r>
          </w:p>
        </w:tc>
      </w:tr>
      <w:tr>
        <w:trPr>
          <w:trHeight w:val="28"/>
        </w:trPr>
        <w:tc>
          <w:tcPr>
            <w:tcW w:w="4840" w:type="dxa"/>
            <w:vAlign w:val="bottom"/>
            <w:tcBorders>
              <w:bottom w:val="single" w:sz="8" w:color="88888B"/>
            </w:tcBorders>
          </w:tcPr>
          <w:p>
            <w:pPr>
              <w:spacing w:after="0"/>
              <w:rPr>
                <w:sz w:val="2"/>
                <w:szCs w:val="2"/>
                <w:color w:val="auto"/>
              </w:rPr>
            </w:pPr>
          </w:p>
        </w:tc>
        <w:tc>
          <w:tcPr>
            <w:tcW w:w="2820" w:type="dxa"/>
            <w:vAlign w:val="bottom"/>
            <w:tcBorders>
              <w:bottom w:val="single" w:sz="8" w:color="88888B"/>
            </w:tcBorders>
          </w:tcPr>
          <w:p>
            <w:pPr>
              <w:spacing w:after="0"/>
              <w:rPr>
                <w:sz w:val="2"/>
                <w:szCs w:val="2"/>
                <w:color w:val="auto"/>
              </w:rPr>
            </w:pPr>
          </w:p>
        </w:tc>
        <w:tc>
          <w:tcPr>
            <w:tcW w:w="720" w:type="dxa"/>
            <w:vAlign w:val="bottom"/>
            <w:tcBorders>
              <w:bottom w:val="single" w:sz="8" w:color="88888B"/>
            </w:tcBorders>
          </w:tcPr>
          <w:p>
            <w:pPr>
              <w:spacing w:after="0"/>
              <w:rPr>
                <w:sz w:val="2"/>
                <w:szCs w:val="2"/>
                <w:color w:val="auto"/>
              </w:rPr>
            </w:pPr>
          </w:p>
        </w:tc>
        <w:tc>
          <w:tcPr>
            <w:tcW w:w="760" w:type="dxa"/>
            <w:vAlign w:val="bottom"/>
            <w:tcBorders>
              <w:bottom w:val="single" w:sz="8" w:color="88888B"/>
            </w:tcBorders>
          </w:tcPr>
          <w:p>
            <w:pPr>
              <w:spacing w:after="0"/>
              <w:rPr>
                <w:sz w:val="2"/>
                <w:szCs w:val="2"/>
                <w:color w:val="auto"/>
              </w:rPr>
            </w:pPr>
          </w:p>
        </w:tc>
        <w:tc>
          <w:tcPr>
            <w:tcW w:w="940" w:type="dxa"/>
            <w:vAlign w:val="bottom"/>
            <w:tcBorders>
              <w:bottom w:val="single" w:sz="8" w:color="88888B"/>
            </w:tcBorders>
          </w:tcPr>
          <w:p>
            <w:pPr>
              <w:spacing w:after="0"/>
              <w:rPr>
                <w:sz w:val="2"/>
                <w:szCs w:val="2"/>
                <w:color w:val="auto"/>
              </w:rPr>
            </w:pPr>
          </w:p>
        </w:tc>
        <w:tc>
          <w:tcPr>
            <w:tcW w:w="840" w:type="dxa"/>
            <w:vAlign w:val="bottom"/>
            <w:tcBorders>
              <w:bottom w:val="single" w:sz="8" w:color="88888B"/>
            </w:tcBorders>
          </w:tcPr>
          <w:p>
            <w:pPr>
              <w:spacing w:after="0"/>
              <w:rPr>
                <w:sz w:val="2"/>
                <w:szCs w:val="2"/>
                <w:color w:val="auto"/>
              </w:rPr>
            </w:pPr>
          </w:p>
        </w:tc>
      </w:tr>
      <w:tr>
        <w:trPr>
          <w:trHeight w:val="154"/>
        </w:trPr>
        <w:tc>
          <w:tcPr>
            <w:tcW w:w="4840" w:type="dxa"/>
            <w:vAlign w:val="bottom"/>
            <w:shd w:val="clear" w:color="auto" w:fill="CCEEFF"/>
          </w:tcPr>
          <w:p>
            <w:pPr>
              <w:ind w:left="160"/>
              <w:spacing w:after="0" w:line="154" w:lineRule="exact"/>
              <w:rPr>
                <w:sz w:val="20"/>
                <w:szCs w:val="20"/>
                <w:color w:val="auto"/>
              </w:rPr>
            </w:pPr>
            <w:r>
              <w:rPr>
                <w:rFonts w:ascii="Arial" w:cs="Arial" w:eastAsia="Arial" w:hAnsi="Arial"/>
                <w:sz w:val="14"/>
                <w:szCs w:val="14"/>
                <w:b w:val="1"/>
                <w:bCs w:val="1"/>
                <w:color w:val="55565A"/>
              </w:rPr>
              <w:t>Recurring revenues</w:t>
            </w:r>
          </w:p>
        </w:tc>
        <w:tc>
          <w:tcPr>
            <w:tcW w:w="282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b w:val="1"/>
                <w:bCs w:val="1"/>
                <w:color w:val="55565A"/>
              </w:rPr>
              <w:t>698</w:t>
            </w:r>
          </w:p>
        </w:tc>
        <w:tc>
          <w:tcPr>
            <w:tcW w:w="72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5565A"/>
              </w:rPr>
              <w:t>672</w:t>
            </w:r>
          </w:p>
        </w:tc>
        <w:tc>
          <w:tcPr>
            <w:tcW w:w="76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5565A"/>
              </w:rPr>
              <w:t>4%</w:t>
            </w:r>
          </w:p>
        </w:tc>
        <w:tc>
          <w:tcPr>
            <w:tcW w:w="940" w:type="dxa"/>
            <w:vAlign w:val="bottom"/>
            <w:shd w:val="clear" w:color="auto" w:fill="CCEEFF"/>
          </w:tcPr>
          <w:p>
            <w:pPr>
              <w:jc w:val="right"/>
              <w:ind w:right="129"/>
              <w:spacing w:after="0" w:line="154" w:lineRule="exact"/>
              <w:rPr>
                <w:sz w:val="20"/>
                <w:szCs w:val="20"/>
                <w:color w:val="auto"/>
              </w:rPr>
            </w:pPr>
            <w:r>
              <w:rPr>
                <w:rFonts w:ascii="Arial" w:cs="Arial" w:eastAsia="Arial" w:hAnsi="Arial"/>
                <w:sz w:val="14"/>
                <w:szCs w:val="14"/>
                <w:color w:val="55565A"/>
              </w:rPr>
              <w:t>4%</w:t>
            </w:r>
          </w:p>
        </w:tc>
        <w:tc>
          <w:tcPr>
            <w:tcW w:w="840" w:type="dxa"/>
            <w:vAlign w:val="bottom"/>
            <w:shd w:val="clear" w:color="auto" w:fill="CCEEFF"/>
          </w:tcPr>
          <w:p>
            <w:pPr>
              <w:jc w:val="right"/>
              <w:ind w:right="149"/>
              <w:spacing w:after="0" w:line="154" w:lineRule="exact"/>
              <w:rPr>
                <w:sz w:val="20"/>
                <w:szCs w:val="20"/>
                <w:color w:val="auto"/>
              </w:rPr>
            </w:pPr>
            <w:r>
              <w:rPr>
                <w:rFonts w:ascii="Arial" w:cs="Arial" w:eastAsia="Arial" w:hAnsi="Arial"/>
                <w:sz w:val="14"/>
                <w:szCs w:val="14"/>
                <w:color w:val="55565A"/>
              </w:rPr>
              <w:t>7%</w:t>
            </w:r>
          </w:p>
        </w:tc>
      </w:tr>
      <w:tr>
        <w:trPr>
          <w:trHeight w:val="160"/>
        </w:trPr>
        <w:tc>
          <w:tcPr>
            <w:tcW w:w="4840" w:type="dxa"/>
            <w:vAlign w:val="bottom"/>
            <w:tcBorders>
              <w:bottom w:val="single" w:sz="8" w:color="88888B"/>
            </w:tcBorders>
          </w:tcPr>
          <w:p>
            <w:pPr>
              <w:ind w:left="160"/>
              <w:spacing w:after="0"/>
              <w:rPr>
                <w:sz w:val="20"/>
                <w:szCs w:val="20"/>
                <w:color w:val="auto"/>
              </w:rPr>
            </w:pPr>
            <w:r>
              <w:rPr>
                <w:rFonts w:ascii="Arial" w:cs="Arial" w:eastAsia="Arial" w:hAnsi="Arial"/>
                <w:sz w:val="14"/>
                <w:szCs w:val="14"/>
                <w:b w:val="1"/>
                <w:bCs w:val="1"/>
                <w:color w:val="55565A"/>
              </w:rPr>
              <w:t>Transactions revenues</w:t>
            </w:r>
          </w:p>
        </w:tc>
        <w:tc>
          <w:tcPr>
            <w:tcW w:w="282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b w:val="1"/>
                <w:bCs w:val="1"/>
                <w:color w:val="55565A"/>
              </w:rPr>
              <w:t>23</w:t>
            </w:r>
          </w:p>
        </w:tc>
        <w:tc>
          <w:tcPr>
            <w:tcW w:w="720" w:type="dxa"/>
            <w:vAlign w:val="bottom"/>
            <w:tcBorders>
              <w:bottom w:val="single" w:sz="8" w:color="88888B"/>
            </w:tcBorders>
          </w:tcPr>
          <w:p>
            <w:pPr>
              <w:jc w:val="right"/>
              <w:ind w:right="109"/>
              <w:spacing w:after="0"/>
              <w:rPr>
                <w:sz w:val="20"/>
                <w:szCs w:val="20"/>
                <w:color w:val="auto"/>
              </w:rPr>
            </w:pPr>
            <w:r>
              <w:rPr>
                <w:rFonts w:ascii="Arial" w:cs="Arial" w:eastAsia="Arial" w:hAnsi="Arial"/>
                <w:sz w:val="14"/>
                <w:szCs w:val="14"/>
                <w:color w:val="55565A"/>
              </w:rPr>
              <w:t>42</w:t>
            </w:r>
          </w:p>
        </w:tc>
        <w:tc>
          <w:tcPr>
            <w:tcW w:w="760" w:type="dxa"/>
            <w:vAlign w:val="bottom"/>
            <w:tcBorders>
              <w:bottom w:val="single" w:sz="8" w:color="88888B"/>
            </w:tcBorders>
          </w:tcPr>
          <w:p>
            <w:pPr>
              <w:jc w:val="right"/>
              <w:ind w:right="109"/>
              <w:spacing w:after="0"/>
              <w:rPr>
                <w:sz w:val="20"/>
                <w:szCs w:val="20"/>
                <w:color w:val="auto"/>
              </w:rPr>
            </w:pPr>
            <w:r>
              <w:rPr>
                <w:rFonts w:ascii="Arial" w:cs="Arial" w:eastAsia="Arial" w:hAnsi="Arial"/>
                <w:sz w:val="14"/>
                <w:szCs w:val="14"/>
                <w:color w:val="55565A"/>
              </w:rPr>
              <w:t>(46%)</w:t>
            </w:r>
          </w:p>
        </w:tc>
        <w:tc>
          <w:tcPr>
            <w:tcW w:w="940" w:type="dxa"/>
            <w:vAlign w:val="bottom"/>
            <w:tcBorders>
              <w:bottom w:val="single" w:sz="8" w:color="88888B"/>
            </w:tcBorders>
          </w:tcPr>
          <w:p>
            <w:pPr>
              <w:jc w:val="right"/>
              <w:ind w:right="129"/>
              <w:spacing w:after="0"/>
              <w:rPr>
                <w:sz w:val="20"/>
                <w:szCs w:val="20"/>
                <w:color w:val="auto"/>
              </w:rPr>
            </w:pPr>
            <w:r>
              <w:rPr>
                <w:rFonts w:ascii="Arial" w:cs="Arial" w:eastAsia="Arial" w:hAnsi="Arial"/>
                <w:sz w:val="14"/>
                <w:szCs w:val="14"/>
                <w:color w:val="55565A"/>
              </w:rPr>
              <w:t>(44%)</w:t>
            </w:r>
          </w:p>
        </w:tc>
        <w:tc>
          <w:tcPr>
            <w:tcW w:w="840" w:type="dxa"/>
            <w:vAlign w:val="bottom"/>
            <w:tcBorders>
              <w:bottom w:val="single" w:sz="8" w:color="88888B"/>
            </w:tcBorders>
          </w:tcPr>
          <w:p>
            <w:pPr>
              <w:jc w:val="right"/>
              <w:ind w:right="149"/>
              <w:spacing w:after="0"/>
              <w:rPr>
                <w:sz w:val="20"/>
                <w:szCs w:val="20"/>
                <w:color w:val="auto"/>
              </w:rPr>
            </w:pPr>
            <w:r>
              <w:rPr>
                <w:rFonts w:ascii="Arial" w:cs="Arial" w:eastAsia="Arial" w:hAnsi="Arial"/>
                <w:sz w:val="14"/>
                <w:szCs w:val="14"/>
                <w:color w:val="55565A"/>
              </w:rPr>
              <w:t>4%</w:t>
            </w:r>
          </w:p>
        </w:tc>
      </w:tr>
      <w:tr>
        <w:trPr>
          <w:trHeight w:val="154"/>
        </w:trPr>
        <w:tc>
          <w:tcPr>
            <w:tcW w:w="484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Revenues</w:t>
            </w:r>
          </w:p>
        </w:tc>
        <w:tc>
          <w:tcPr>
            <w:tcW w:w="282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b w:val="1"/>
                <w:bCs w:val="1"/>
                <w:color w:val="55565A"/>
              </w:rPr>
              <w:t>721</w:t>
            </w:r>
          </w:p>
        </w:tc>
        <w:tc>
          <w:tcPr>
            <w:tcW w:w="72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5565A"/>
              </w:rPr>
              <w:t>714</w:t>
            </w:r>
          </w:p>
        </w:tc>
        <w:tc>
          <w:tcPr>
            <w:tcW w:w="76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5565A"/>
              </w:rPr>
              <w:t>1%</w:t>
            </w:r>
          </w:p>
        </w:tc>
        <w:tc>
          <w:tcPr>
            <w:tcW w:w="940" w:type="dxa"/>
            <w:vAlign w:val="bottom"/>
            <w:shd w:val="clear" w:color="auto" w:fill="CCEEFF"/>
          </w:tcPr>
          <w:p>
            <w:pPr>
              <w:jc w:val="right"/>
              <w:ind w:right="129"/>
              <w:spacing w:after="0" w:line="154" w:lineRule="exact"/>
              <w:rPr>
                <w:sz w:val="20"/>
                <w:szCs w:val="20"/>
                <w:color w:val="auto"/>
              </w:rPr>
            </w:pPr>
            <w:r>
              <w:rPr>
                <w:rFonts w:ascii="Arial" w:cs="Arial" w:eastAsia="Arial" w:hAnsi="Arial"/>
                <w:sz w:val="14"/>
                <w:szCs w:val="14"/>
                <w:color w:val="55565A"/>
              </w:rPr>
              <w:t>1%</w:t>
            </w:r>
          </w:p>
        </w:tc>
        <w:tc>
          <w:tcPr>
            <w:tcW w:w="840" w:type="dxa"/>
            <w:vAlign w:val="bottom"/>
            <w:shd w:val="clear" w:color="auto" w:fill="CCEEFF"/>
          </w:tcPr>
          <w:p>
            <w:pPr>
              <w:jc w:val="right"/>
              <w:ind w:right="149"/>
              <w:spacing w:after="0" w:line="154" w:lineRule="exact"/>
              <w:rPr>
                <w:sz w:val="20"/>
                <w:szCs w:val="20"/>
                <w:color w:val="auto"/>
              </w:rPr>
            </w:pPr>
            <w:r>
              <w:rPr>
                <w:rFonts w:ascii="Arial" w:cs="Arial" w:eastAsia="Arial" w:hAnsi="Arial"/>
                <w:sz w:val="14"/>
                <w:szCs w:val="14"/>
                <w:color w:val="55565A"/>
              </w:rPr>
              <w:t>7%</w:t>
            </w:r>
          </w:p>
        </w:tc>
      </w:tr>
      <w:tr>
        <w:trPr>
          <w:trHeight w:val="160"/>
        </w:trPr>
        <w:tc>
          <w:tcPr>
            <w:tcW w:w="4840" w:type="dxa"/>
            <w:vAlign w:val="bottom"/>
          </w:tcPr>
          <w:p>
            <w:pPr>
              <w:spacing w:after="0"/>
              <w:rPr>
                <w:sz w:val="20"/>
                <w:szCs w:val="20"/>
                <w:color w:val="auto"/>
              </w:rPr>
            </w:pPr>
            <w:r>
              <w:rPr>
                <w:rFonts w:ascii="Arial" w:cs="Arial" w:eastAsia="Arial" w:hAnsi="Arial"/>
                <w:sz w:val="14"/>
                <w:szCs w:val="14"/>
                <w:b w:val="1"/>
                <w:bCs w:val="1"/>
                <w:color w:val="55565A"/>
              </w:rPr>
              <w:t>Segment adjusted EBITDA</w:t>
            </w:r>
          </w:p>
        </w:tc>
        <w:tc>
          <w:tcPr>
            <w:tcW w:w="2820" w:type="dxa"/>
            <w:vAlign w:val="bottom"/>
          </w:tcPr>
          <w:p>
            <w:pPr>
              <w:jc w:val="right"/>
              <w:ind w:right="49"/>
              <w:spacing w:after="0"/>
              <w:rPr>
                <w:sz w:val="20"/>
                <w:szCs w:val="20"/>
                <w:color w:val="auto"/>
              </w:rPr>
            </w:pPr>
            <w:r>
              <w:rPr>
                <w:rFonts w:ascii="Arial" w:cs="Arial" w:eastAsia="Arial" w:hAnsi="Arial"/>
                <w:sz w:val="14"/>
                <w:szCs w:val="14"/>
                <w:b w:val="1"/>
                <w:bCs w:val="1"/>
                <w:color w:val="55565A"/>
              </w:rPr>
              <w:t>342</w:t>
            </w:r>
          </w:p>
        </w:tc>
        <w:tc>
          <w:tcPr>
            <w:tcW w:w="720" w:type="dxa"/>
            <w:vAlign w:val="bottom"/>
          </w:tcPr>
          <w:p>
            <w:pPr>
              <w:jc w:val="right"/>
              <w:ind w:right="109"/>
              <w:spacing w:after="0"/>
              <w:rPr>
                <w:sz w:val="20"/>
                <w:szCs w:val="20"/>
                <w:color w:val="auto"/>
              </w:rPr>
            </w:pPr>
            <w:r>
              <w:rPr>
                <w:rFonts w:ascii="Arial" w:cs="Arial" w:eastAsia="Arial" w:hAnsi="Arial"/>
                <w:sz w:val="14"/>
                <w:szCs w:val="14"/>
                <w:color w:val="55565A"/>
              </w:rPr>
              <w:t>318</w:t>
            </w:r>
          </w:p>
        </w:tc>
        <w:tc>
          <w:tcPr>
            <w:tcW w:w="760" w:type="dxa"/>
            <w:vAlign w:val="bottom"/>
          </w:tcPr>
          <w:p>
            <w:pPr>
              <w:jc w:val="right"/>
              <w:ind w:right="109"/>
              <w:spacing w:after="0"/>
              <w:rPr>
                <w:sz w:val="20"/>
                <w:szCs w:val="20"/>
                <w:color w:val="auto"/>
              </w:rPr>
            </w:pPr>
            <w:r>
              <w:rPr>
                <w:rFonts w:ascii="Arial" w:cs="Arial" w:eastAsia="Arial" w:hAnsi="Arial"/>
                <w:sz w:val="14"/>
                <w:szCs w:val="14"/>
                <w:color w:val="55565A"/>
              </w:rPr>
              <w:t>7%</w:t>
            </w:r>
          </w:p>
        </w:tc>
        <w:tc>
          <w:tcPr>
            <w:tcW w:w="940" w:type="dxa"/>
            <w:vAlign w:val="bottom"/>
          </w:tcPr>
          <w:p>
            <w:pPr>
              <w:jc w:val="right"/>
              <w:ind w:right="129"/>
              <w:spacing w:after="0"/>
              <w:rPr>
                <w:sz w:val="20"/>
                <w:szCs w:val="20"/>
                <w:color w:val="auto"/>
              </w:rPr>
            </w:pPr>
            <w:r>
              <w:rPr>
                <w:rFonts w:ascii="Arial" w:cs="Arial" w:eastAsia="Arial" w:hAnsi="Arial"/>
                <w:sz w:val="14"/>
                <w:szCs w:val="14"/>
                <w:color w:val="55565A"/>
              </w:rPr>
              <w:t>8%</w:t>
            </w:r>
          </w:p>
        </w:tc>
        <w:tc>
          <w:tcPr>
            <w:tcW w:w="840" w:type="dxa"/>
            <w:vAlign w:val="bottom"/>
          </w:tcPr>
          <w:p>
            <w:pPr>
              <w:spacing w:after="0"/>
              <w:rPr>
                <w:sz w:val="13"/>
                <w:szCs w:val="13"/>
                <w:color w:val="auto"/>
              </w:rPr>
            </w:pPr>
          </w:p>
        </w:tc>
      </w:tr>
      <w:tr>
        <w:trPr>
          <w:trHeight w:val="160"/>
        </w:trPr>
        <w:tc>
          <w:tcPr>
            <w:tcW w:w="484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Segment adjusted EBITDA margin</w:t>
            </w:r>
          </w:p>
        </w:tc>
        <w:tc>
          <w:tcPr>
            <w:tcW w:w="282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47.4%</w:t>
            </w:r>
          </w:p>
        </w:tc>
        <w:tc>
          <w:tcPr>
            <w:tcW w:w="72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color w:val="55565A"/>
              </w:rPr>
              <w:t>44.6%</w:t>
            </w:r>
          </w:p>
        </w:tc>
        <w:tc>
          <w:tcPr>
            <w:tcW w:w="76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color w:val="55565A"/>
              </w:rPr>
              <w:t>280bp</w:t>
            </w:r>
          </w:p>
        </w:tc>
        <w:tc>
          <w:tcPr>
            <w:tcW w:w="94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color w:val="55565A"/>
              </w:rPr>
              <w:t>310bp</w:t>
            </w:r>
          </w:p>
        </w:tc>
        <w:tc>
          <w:tcPr>
            <w:tcW w:w="840" w:type="dxa"/>
            <w:vAlign w:val="bottom"/>
            <w:tcBorders>
              <w:bottom w:val="single" w:sz="8" w:color="88888B"/>
            </w:tcBorders>
            <w:shd w:val="clear" w:color="auto" w:fill="CCEEFF"/>
          </w:tcPr>
          <w:p>
            <w:pPr>
              <w:spacing w:after="0"/>
              <w:rPr>
                <w:sz w:val="13"/>
                <w:szCs w:val="13"/>
                <w:color w:val="auto"/>
              </w:rPr>
            </w:pPr>
          </w:p>
        </w:tc>
      </w:tr>
    </w:tbl>
    <w:p>
      <w:pPr>
        <w:spacing w:after="0" w:line="93"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55565A"/>
        </w:rPr>
        <w:t>Revenues increased slightly in total and in constant currency as organic revenue growth of 7% was largely offset by a significant negative impact from the loss of revenues from the divestiture of the Elite business in the second quarter of 2023. On an organic basis, revenues grew due to growth in both recurring (97% of the Legal Professionals segment) and transactions (3% of the Legal Professionals segment) revenues. Recurring organic revenue growth was driven by Westlaw, Practical Law, CoCounsel, HighQ, and the segment’s international businesses. Revenue growth also included a benefit of $4 million due to the migration of customers from a Global Print product to Westlaw. Transactions organic revenue growth was driven by the Government business.</w:t>
      </w:r>
    </w:p>
    <w:p>
      <w:pPr>
        <w:spacing w:after="0" w:line="76"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55565A"/>
        </w:rPr>
        <w:t>Segment adjusted EBITDA and the related margin increased due to higher revenues and lower expenses. Foreign currency negatively impacted the year-over-year change in segment adjusted EBITDA margin by 30bp.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9</w:t>
      </w:r>
    </w:p>
    <w:p>
      <w:pPr>
        <w:sectPr>
          <w:pgSz w:w="11900" w:h="16838" w:orient="portrait"/>
          <w:cols w:equalWidth="0" w:num="1">
            <w:col w:w="11080"/>
          </w:cols>
          <w:pgMar w:left="320" w:top="454"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Corporates</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5060" w:type="dxa"/>
            <w:vAlign w:val="bottom"/>
            <w:tcBorders>
              <w:top w:val="single" w:sz="8" w:color="88888B"/>
            </w:tcBorders>
          </w:tcPr>
          <w:p>
            <w:pPr>
              <w:spacing w:after="0"/>
              <w:rPr>
                <w:sz w:val="18"/>
                <w:szCs w:val="18"/>
                <w:color w:val="auto"/>
              </w:rPr>
            </w:pPr>
          </w:p>
        </w:tc>
        <w:tc>
          <w:tcPr>
            <w:tcW w:w="2980" w:type="dxa"/>
            <w:vAlign w:val="bottom"/>
            <w:tcBorders>
              <w:top w:val="single" w:sz="8" w:color="88888B"/>
            </w:tcBorders>
          </w:tcPr>
          <w:p>
            <w:pPr>
              <w:spacing w:after="0"/>
              <w:rPr>
                <w:sz w:val="18"/>
                <w:szCs w:val="18"/>
                <w:color w:val="auto"/>
              </w:rPr>
            </w:pPr>
          </w:p>
        </w:tc>
        <w:tc>
          <w:tcPr>
            <w:tcW w:w="2220" w:type="dxa"/>
            <w:vAlign w:val="bottom"/>
            <w:tcBorders>
              <w:top w:val="single" w:sz="8" w:color="88888B"/>
            </w:tcBorders>
            <w:gridSpan w:val="3"/>
          </w:tcPr>
          <w:p>
            <w:pPr>
              <w:jc w:val="right"/>
              <w:spacing w:after="0"/>
              <w:rPr>
                <w:sz w:val="20"/>
                <w:szCs w:val="20"/>
                <w:color w:val="auto"/>
              </w:rPr>
            </w:pPr>
            <w:r>
              <w:rPr>
                <w:rFonts w:ascii="Arial" w:cs="Arial" w:eastAsia="Arial" w:hAnsi="Arial"/>
                <w:sz w:val="14"/>
                <w:szCs w:val="14"/>
                <w:b w:val="1"/>
                <w:bCs w:val="1"/>
                <w:color w:val="55565A"/>
              </w:rPr>
              <w:t>Three months ended March 31,</w:t>
            </w:r>
          </w:p>
        </w:tc>
        <w:tc>
          <w:tcPr>
            <w:tcW w:w="660" w:type="dxa"/>
            <w:vAlign w:val="bottom"/>
            <w:tcBorders>
              <w:top w:val="single" w:sz="8" w:color="88888B"/>
            </w:tcBorders>
          </w:tcPr>
          <w:p>
            <w:pPr>
              <w:spacing w:after="0"/>
              <w:rPr>
                <w:sz w:val="18"/>
                <w:szCs w:val="18"/>
                <w:color w:val="auto"/>
              </w:rPr>
            </w:pPr>
          </w:p>
        </w:tc>
      </w:tr>
      <w:tr>
        <w:trPr>
          <w:trHeight w:val="221"/>
        </w:trPr>
        <w:tc>
          <w:tcPr>
            <w:tcW w:w="50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55565A"/>
              </w:rPr>
              <w:t>Change</w:t>
            </w:r>
          </w:p>
        </w:tc>
        <w:tc>
          <w:tcPr>
            <w:tcW w:w="660" w:type="dxa"/>
            <w:vAlign w:val="bottom"/>
          </w:tcPr>
          <w:p>
            <w:pPr>
              <w:spacing w:after="0"/>
              <w:rPr>
                <w:sz w:val="19"/>
                <w:szCs w:val="19"/>
                <w:color w:val="auto"/>
              </w:rPr>
            </w:pPr>
          </w:p>
        </w:tc>
      </w:tr>
      <w:tr>
        <w:trPr>
          <w:trHeight w:val="212"/>
        </w:trPr>
        <w:tc>
          <w:tcPr>
            <w:tcW w:w="5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55565A"/>
              </w:rPr>
              <w:t>Constant</w:t>
            </w:r>
          </w:p>
        </w:tc>
        <w:tc>
          <w:tcPr>
            <w:tcW w:w="660" w:type="dxa"/>
            <w:vAlign w:val="bottom"/>
          </w:tcPr>
          <w:p>
            <w:pPr>
              <w:spacing w:after="0"/>
              <w:rPr>
                <w:sz w:val="18"/>
                <w:szCs w:val="18"/>
                <w:color w:val="auto"/>
              </w:rPr>
            </w:pPr>
          </w:p>
        </w:tc>
      </w:tr>
      <w:tr>
        <w:trPr>
          <w:trHeight w:val="195"/>
        </w:trPr>
        <w:tc>
          <w:tcPr>
            <w:tcW w:w="5060" w:type="dxa"/>
            <w:vAlign w:val="bottom"/>
          </w:tcPr>
          <w:p>
            <w:pPr>
              <w:spacing w:after="0"/>
              <w:rPr>
                <w:sz w:val="20"/>
                <w:szCs w:val="20"/>
                <w:color w:val="auto"/>
              </w:rPr>
            </w:pPr>
            <w:r>
              <w:rPr>
                <w:rFonts w:ascii="Arial" w:cs="Arial" w:eastAsia="Arial" w:hAnsi="Arial"/>
                <w:sz w:val="14"/>
                <w:szCs w:val="14"/>
                <w:color w:val="55565A"/>
              </w:rPr>
              <w:t>(millions of U.S. dollars, except margins)</w:t>
            </w:r>
          </w:p>
        </w:tc>
        <w:tc>
          <w:tcPr>
            <w:tcW w:w="2980" w:type="dxa"/>
            <w:vAlign w:val="bottom"/>
          </w:tcPr>
          <w:p>
            <w:pPr>
              <w:jc w:val="right"/>
              <w:ind w:right="9"/>
              <w:spacing w:after="0"/>
              <w:rPr>
                <w:sz w:val="20"/>
                <w:szCs w:val="20"/>
                <w:color w:val="auto"/>
              </w:rPr>
            </w:pPr>
            <w:r>
              <w:rPr>
                <w:rFonts w:ascii="Arial" w:cs="Arial" w:eastAsia="Arial" w:hAnsi="Arial"/>
                <w:sz w:val="14"/>
                <w:szCs w:val="14"/>
                <w:b w:val="1"/>
                <w:bCs w:val="1"/>
                <w:color w:val="55565A"/>
              </w:rPr>
              <w:t>2024</w:t>
            </w:r>
          </w:p>
        </w:tc>
        <w:tc>
          <w:tcPr>
            <w:tcW w:w="720" w:type="dxa"/>
            <w:vAlign w:val="bottom"/>
          </w:tcPr>
          <w:p>
            <w:pPr>
              <w:jc w:val="right"/>
              <w:ind w:right="49"/>
              <w:spacing w:after="0"/>
              <w:rPr>
                <w:sz w:val="20"/>
                <w:szCs w:val="20"/>
                <w:color w:val="auto"/>
              </w:rPr>
            </w:pPr>
            <w:r>
              <w:rPr>
                <w:rFonts w:ascii="Arial" w:cs="Arial" w:eastAsia="Arial" w:hAnsi="Arial"/>
                <w:sz w:val="14"/>
                <w:szCs w:val="14"/>
                <w:color w:val="55565A"/>
              </w:rPr>
              <w:t>2023</w:t>
            </w:r>
          </w:p>
        </w:tc>
        <w:tc>
          <w:tcPr>
            <w:tcW w:w="640" w:type="dxa"/>
            <w:vAlign w:val="bottom"/>
          </w:tcPr>
          <w:p>
            <w:pPr>
              <w:jc w:val="right"/>
              <w:ind w:right="49"/>
              <w:spacing w:after="0"/>
              <w:rPr>
                <w:sz w:val="20"/>
                <w:szCs w:val="20"/>
                <w:color w:val="auto"/>
              </w:rPr>
            </w:pPr>
            <w:r>
              <w:rPr>
                <w:rFonts w:ascii="Arial" w:cs="Arial" w:eastAsia="Arial" w:hAnsi="Arial"/>
                <w:sz w:val="14"/>
                <w:szCs w:val="14"/>
                <w:color w:val="55565A"/>
              </w:rPr>
              <w:t>Total</w:t>
            </w:r>
          </w:p>
        </w:tc>
        <w:tc>
          <w:tcPr>
            <w:tcW w:w="860" w:type="dxa"/>
            <w:vAlign w:val="bottom"/>
          </w:tcPr>
          <w:p>
            <w:pPr>
              <w:jc w:val="right"/>
              <w:ind w:right="89"/>
              <w:spacing w:after="0"/>
              <w:rPr>
                <w:sz w:val="20"/>
                <w:szCs w:val="20"/>
                <w:color w:val="auto"/>
              </w:rPr>
            </w:pPr>
            <w:r>
              <w:rPr>
                <w:rFonts w:ascii="Arial" w:cs="Arial" w:eastAsia="Arial" w:hAnsi="Arial"/>
                <w:sz w:val="14"/>
                <w:szCs w:val="14"/>
                <w:color w:val="55565A"/>
              </w:rPr>
              <w:t>Currency</w:t>
            </w:r>
          </w:p>
        </w:tc>
        <w:tc>
          <w:tcPr>
            <w:tcW w:w="660" w:type="dxa"/>
            <w:vAlign w:val="bottom"/>
          </w:tcPr>
          <w:p>
            <w:pPr>
              <w:jc w:val="right"/>
              <w:ind w:right="29"/>
              <w:spacing w:after="0"/>
              <w:rPr>
                <w:sz w:val="20"/>
                <w:szCs w:val="20"/>
                <w:color w:val="auto"/>
              </w:rPr>
            </w:pPr>
            <w:r>
              <w:rPr>
                <w:rFonts w:ascii="Arial" w:cs="Arial" w:eastAsia="Arial" w:hAnsi="Arial"/>
                <w:sz w:val="14"/>
                <w:szCs w:val="14"/>
                <w:color w:val="55565A"/>
              </w:rPr>
              <w:t>Organic</w:t>
            </w:r>
          </w:p>
        </w:tc>
      </w:tr>
      <w:tr>
        <w:trPr>
          <w:trHeight w:val="28"/>
        </w:trPr>
        <w:tc>
          <w:tcPr>
            <w:tcW w:w="5060" w:type="dxa"/>
            <w:vAlign w:val="bottom"/>
            <w:tcBorders>
              <w:bottom w:val="single" w:sz="8" w:color="88888B"/>
            </w:tcBorders>
          </w:tcPr>
          <w:p>
            <w:pPr>
              <w:spacing w:after="0"/>
              <w:rPr>
                <w:sz w:val="2"/>
                <w:szCs w:val="2"/>
                <w:color w:val="auto"/>
              </w:rPr>
            </w:pPr>
          </w:p>
        </w:tc>
        <w:tc>
          <w:tcPr>
            <w:tcW w:w="2980" w:type="dxa"/>
            <w:vAlign w:val="bottom"/>
            <w:tcBorders>
              <w:bottom w:val="single" w:sz="8" w:color="88888B"/>
            </w:tcBorders>
          </w:tcPr>
          <w:p>
            <w:pPr>
              <w:spacing w:after="0"/>
              <w:rPr>
                <w:sz w:val="2"/>
                <w:szCs w:val="2"/>
                <w:color w:val="auto"/>
              </w:rPr>
            </w:pPr>
          </w:p>
        </w:tc>
        <w:tc>
          <w:tcPr>
            <w:tcW w:w="720" w:type="dxa"/>
            <w:vAlign w:val="bottom"/>
            <w:tcBorders>
              <w:bottom w:val="single" w:sz="8" w:color="88888B"/>
            </w:tcBorders>
          </w:tcPr>
          <w:p>
            <w:pPr>
              <w:spacing w:after="0"/>
              <w:rPr>
                <w:sz w:val="2"/>
                <w:szCs w:val="2"/>
                <w:color w:val="auto"/>
              </w:rPr>
            </w:pPr>
          </w:p>
        </w:tc>
        <w:tc>
          <w:tcPr>
            <w:tcW w:w="640" w:type="dxa"/>
            <w:vAlign w:val="bottom"/>
            <w:tcBorders>
              <w:bottom w:val="single" w:sz="8" w:color="88888B"/>
            </w:tcBorders>
          </w:tcPr>
          <w:p>
            <w:pPr>
              <w:spacing w:after="0"/>
              <w:rPr>
                <w:sz w:val="2"/>
                <w:szCs w:val="2"/>
                <w:color w:val="auto"/>
              </w:rPr>
            </w:pPr>
          </w:p>
        </w:tc>
        <w:tc>
          <w:tcPr>
            <w:tcW w:w="860" w:type="dxa"/>
            <w:vAlign w:val="bottom"/>
            <w:tcBorders>
              <w:bottom w:val="single" w:sz="8" w:color="88888B"/>
            </w:tcBorders>
          </w:tcPr>
          <w:p>
            <w:pPr>
              <w:spacing w:after="0"/>
              <w:rPr>
                <w:sz w:val="2"/>
                <w:szCs w:val="2"/>
                <w:color w:val="auto"/>
              </w:rPr>
            </w:pPr>
          </w:p>
        </w:tc>
        <w:tc>
          <w:tcPr>
            <w:tcW w:w="660" w:type="dxa"/>
            <w:vAlign w:val="bottom"/>
            <w:tcBorders>
              <w:bottom w:val="single" w:sz="8" w:color="88888B"/>
            </w:tcBorders>
          </w:tcPr>
          <w:p>
            <w:pPr>
              <w:spacing w:after="0"/>
              <w:rPr>
                <w:sz w:val="2"/>
                <w:szCs w:val="2"/>
                <w:color w:val="auto"/>
              </w:rPr>
            </w:pPr>
          </w:p>
        </w:tc>
      </w:tr>
      <w:tr>
        <w:trPr>
          <w:trHeight w:val="154"/>
        </w:trPr>
        <w:tc>
          <w:tcPr>
            <w:tcW w:w="5060" w:type="dxa"/>
            <w:vAlign w:val="bottom"/>
            <w:shd w:val="clear" w:color="auto" w:fill="CCEEFF"/>
          </w:tcPr>
          <w:p>
            <w:pPr>
              <w:ind w:left="160"/>
              <w:spacing w:after="0" w:line="154" w:lineRule="exact"/>
              <w:rPr>
                <w:sz w:val="20"/>
                <w:szCs w:val="20"/>
                <w:color w:val="auto"/>
              </w:rPr>
            </w:pPr>
            <w:r>
              <w:rPr>
                <w:rFonts w:ascii="Arial" w:cs="Arial" w:eastAsia="Arial" w:hAnsi="Arial"/>
                <w:sz w:val="14"/>
                <w:szCs w:val="14"/>
                <w:b w:val="1"/>
                <w:bCs w:val="1"/>
                <w:color w:val="55565A"/>
              </w:rPr>
              <w:t>Recurring revenues</w:t>
            </w:r>
          </w:p>
        </w:tc>
        <w:tc>
          <w:tcPr>
            <w:tcW w:w="2980" w:type="dxa"/>
            <w:vAlign w:val="bottom"/>
            <w:shd w:val="clear" w:color="auto" w:fill="CCEEFF"/>
          </w:tcPr>
          <w:p>
            <w:pPr>
              <w:jc w:val="right"/>
              <w:ind w:right="9"/>
              <w:spacing w:after="0" w:line="154" w:lineRule="exact"/>
              <w:rPr>
                <w:sz w:val="20"/>
                <w:szCs w:val="20"/>
                <w:color w:val="auto"/>
              </w:rPr>
            </w:pPr>
            <w:r>
              <w:rPr>
                <w:rFonts w:ascii="Arial" w:cs="Arial" w:eastAsia="Arial" w:hAnsi="Arial"/>
                <w:sz w:val="14"/>
                <w:szCs w:val="14"/>
                <w:b w:val="1"/>
                <w:bCs w:val="1"/>
                <w:color w:val="55565A"/>
              </w:rPr>
              <w:t>370</w:t>
            </w:r>
          </w:p>
        </w:tc>
        <w:tc>
          <w:tcPr>
            <w:tcW w:w="72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5565A"/>
              </w:rPr>
              <w:t>326</w:t>
            </w:r>
          </w:p>
        </w:tc>
        <w:tc>
          <w:tcPr>
            <w:tcW w:w="64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5565A"/>
              </w:rPr>
              <w:t>13%</w:t>
            </w:r>
          </w:p>
        </w:tc>
        <w:tc>
          <w:tcPr>
            <w:tcW w:w="860" w:type="dxa"/>
            <w:vAlign w:val="bottom"/>
            <w:shd w:val="clear" w:color="auto" w:fill="CCEEFF"/>
          </w:tcPr>
          <w:p>
            <w:pPr>
              <w:jc w:val="right"/>
              <w:ind w:right="89"/>
              <w:spacing w:after="0" w:line="154" w:lineRule="exact"/>
              <w:rPr>
                <w:sz w:val="20"/>
                <w:szCs w:val="20"/>
                <w:color w:val="auto"/>
              </w:rPr>
            </w:pPr>
            <w:r>
              <w:rPr>
                <w:rFonts w:ascii="Arial" w:cs="Arial" w:eastAsia="Arial" w:hAnsi="Arial"/>
                <w:sz w:val="14"/>
                <w:szCs w:val="14"/>
                <w:color w:val="55565A"/>
              </w:rPr>
              <w:t>13%</w:t>
            </w:r>
          </w:p>
        </w:tc>
        <w:tc>
          <w:tcPr>
            <w:tcW w:w="66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5565A"/>
              </w:rPr>
              <w:t>11%</w:t>
            </w:r>
          </w:p>
        </w:tc>
      </w:tr>
      <w:tr>
        <w:trPr>
          <w:trHeight w:val="160"/>
        </w:trPr>
        <w:tc>
          <w:tcPr>
            <w:tcW w:w="5060" w:type="dxa"/>
            <w:vAlign w:val="bottom"/>
            <w:tcBorders>
              <w:bottom w:val="single" w:sz="8" w:color="88888B"/>
            </w:tcBorders>
          </w:tcPr>
          <w:p>
            <w:pPr>
              <w:ind w:left="160"/>
              <w:spacing w:after="0"/>
              <w:rPr>
                <w:sz w:val="20"/>
                <w:szCs w:val="20"/>
                <w:color w:val="auto"/>
              </w:rPr>
            </w:pPr>
            <w:r>
              <w:rPr>
                <w:rFonts w:ascii="Arial" w:cs="Arial" w:eastAsia="Arial" w:hAnsi="Arial"/>
                <w:sz w:val="14"/>
                <w:szCs w:val="14"/>
                <w:b w:val="1"/>
                <w:bCs w:val="1"/>
                <w:color w:val="55565A"/>
              </w:rPr>
              <w:t>Transactions revenues</w:t>
            </w:r>
          </w:p>
        </w:tc>
        <w:tc>
          <w:tcPr>
            <w:tcW w:w="298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b w:val="1"/>
                <w:bCs w:val="1"/>
                <w:color w:val="55565A"/>
              </w:rPr>
              <w:t>137</w:t>
            </w:r>
          </w:p>
        </w:tc>
        <w:tc>
          <w:tcPr>
            <w:tcW w:w="72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color w:val="55565A"/>
              </w:rPr>
              <w:t>109</w:t>
            </w:r>
          </w:p>
        </w:tc>
        <w:tc>
          <w:tcPr>
            <w:tcW w:w="64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color w:val="55565A"/>
              </w:rPr>
              <w:t>26%</w:t>
            </w:r>
          </w:p>
        </w:tc>
        <w:tc>
          <w:tcPr>
            <w:tcW w:w="860" w:type="dxa"/>
            <w:vAlign w:val="bottom"/>
            <w:tcBorders>
              <w:bottom w:val="single" w:sz="8" w:color="88888B"/>
            </w:tcBorders>
          </w:tcPr>
          <w:p>
            <w:pPr>
              <w:jc w:val="right"/>
              <w:ind w:right="89"/>
              <w:spacing w:after="0"/>
              <w:rPr>
                <w:sz w:val="20"/>
                <w:szCs w:val="20"/>
                <w:color w:val="auto"/>
              </w:rPr>
            </w:pPr>
            <w:r>
              <w:rPr>
                <w:rFonts w:ascii="Arial" w:cs="Arial" w:eastAsia="Arial" w:hAnsi="Arial"/>
                <w:sz w:val="14"/>
                <w:szCs w:val="14"/>
                <w:color w:val="55565A"/>
              </w:rPr>
              <w:t>26%</w:t>
            </w:r>
          </w:p>
        </w:tc>
        <w:tc>
          <w:tcPr>
            <w:tcW w:w="660" w:type="dxa"/>
            <w:vAlign w:val="bottom"/>
            <w:tcBorders>
              <w:bottom w:val="single" w:sz="8" w:color="88888B"/>
            </w:tcBorders>
          </w:tcPr>
          <w:p>
            <w:pPr>
              <w:jc w:val="right"/>
              <w:ind w:right="29"/>
              <w:spacing w:after="0"/>
              <w:rPr>
                <w:sz w:val="20"/>
                <w:szCs w:val="20"/>
                <w:color w:val="auto"/>
              </w:rPr>
            </w:pPr>
            <w:r>
              <w:rPr>
                <w:rFonts w:ascii="Arial" w:cs="Arial" w:eastAsia="Arial" w:hAnsi="Arial"/>
                <w:sz w:val="14"/>
                <w:szCs w:val="14"/>
                <w:color w:val="55565A"/>
              </w:rPr>
              <w:t>16%</w:t>
            </w:r>
          </w:p>
        </w:tc>
      </w:tr>
      <w:tr>
        <w:trPr>
          <w:trHeight w:val="154"/>
        </w:trPr>
        <w:tc>
          <w:tcPr>
            <w:tcW w:w="506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Revenues</w:t>
            </w:r>
          </w:p>
        </w:tc>
        <w:tc>
          <w:tcPr>
            <w:tcW w:w="2980" w:type="dxa"/>
            <w:vAlign w:val="bottom"/>
            <w:shd w:val="clear" w:color="auto" w:fill="CCEEFF"/>
          </w:tcPr>
          <w:p>
            <w:pPr>
              <w:jc w:val="right"/>
              <w:ind w:right="9"/>
              <w:spacing w:after="0" w:line="154" w:lineRule="exact"/>
              <w:rPr>
                <w:sz w:val="20"/>
                <w:szCs w:val="20"/>
                <w:color w:val="auto"/>
              </w:rPr>
            </w:pPr>
            <w:r>
              <w:rPr>
                <w:rFonts w:ascii="Arial" w:cs="Arial" w:eastAsia="Arial" w:hAnsi="Arial"/>
                <w:sz w:val="14"/>
                <w:szCs w:val="14"/>
                <w:b w:val="1"/>
                <w:bCs w:val="1"/>
                <w:color w:val="55565A"/>
              </w:rPr>
              <w:t>507</w:t>
            </w:r>
          </w:p>
        </w:tc>
        <w:tc>
          <w:tcPr>
            <w:tcW w:w="72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5565A"/>
              </w:rPr>
              <w:t>435</w:t>
            </w:r>
          </w:p>
        </w:tc>
        <w:tc>
          <w:tcPr>
            <w:tcW w:w="64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5565A"/>
              </w:rPr>
              <w:t>17%</w:t>
            </w:r>
          </w:p>
        </w:tc>
        <w:tc>
          <w:tcPr>
            <w:tcW w:w="860" w:type="dxa"/>
            <w:vAlign w:val="bottom"/>
            <w:shd w:val="clear" w:color="auto" w:fill="CCEEFF"/>
          </w:tcPr>
          <w:p>
            <w:pPr>
              <w:jc w:val="right"/>
              <w:ind w:right="89"/>
              <w:spacing w:after="0" w:line="154" w:lineRule="exact"/>
              <w:rPr>
                <w:sz w:val="20"/>
                <w:szCs w:val="20"/>
                <w:color w:val="auto"/>
              </w:rPr>
            </w:pPr>
            <w:r>
              <w:rPr>
                <w:rFonts w:ascii="Arial" w:cs="Arial" w:eastAsia="Arial" w:hAnsi="Arial"/>
                <w:sz w:val="14"/>
                <w:szCs w:val="14"/>
                <w:color w:val="55565A"/>
              </w:rPr>
              <w:t>16%</w:t>
            </w:r>
          </w:p>
        </w:tc>
        <w:tc>
          <w:tcPr>
            <w:tcW w:w="66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5565A"/>
              </w:rPr>
              <w:t>12%</w:t>
            </w:r>
          </w:p>
        </w:tc>
      </w:tr>
      <w:tr>
        <w:trPr>
          <w:trHeight w:val="160"/>
        </w:trPr>
        <w:tc>
          <w:tcPr>
            <w:tcW w:w="5060" w:type="dxa"/>
            <w:vAlign w:val="bottom"/>
          </w:tcPr>
          <w:p>
            <w:pPr>
              <w:spacing w:after="0"/>
              <w:rPr>
                <w:sz w:val="20"/>
                <w:szCs w:val="20"/>
                <w:color w:val="auto"/>
              </w:rPr>
            </w:pPr>
            <w:r>
              <w:rPr>
                <w:rFonts w:ascii="Arial" w:cs="Arial" w:eastAsia="Arial" w:hAnsi="Arial"/>
                <w:sz w:val="14"/>
                <w:szCs w:val="14"/>
                <w:b w:val="1"/>
                <w:bCs w:val="1"/>
                <w:color w:val="55565A"/>
              </w:rPr>
              <w:t>Segment adjusted EBITDA</w:t>
            </w:r>
          </w:p>
        </w:tc>
        <w:tc>
          <w:tcPr>
            <w:tcW w:w="2980" w:type="dxa"/>
            <w:vAlign w:val="bottom"/>
          </w:tcPr>
          <w:p>
            <w:pPr>
              <w:jc w:val="right"/>
              <w:ind w:right="9"/>
              <w:spacing w:after="0"/>
              <w:rPr>
                <w:sz w:val="20"/>
                <w:szCs w:val="20"/>
                <w:color w:val="auto"/>
              </w:rPr>
            </w:pPr>
            <w:r>
              <w:rPr>
                <w:rFonts w:ascii="Arial" w:cs="Arial" w:eastAsia="Arial" w:hAnsi="Arial"/>
                <w:sz w:val="14"/>
                <w:szCs w:val="14"/>
                <w:b w:val="1"/>
                <w:bCs w:val="1"/>
                <w:color w:val="55565A"/>
              </w:rPr>
              <w:t>193</w:t>
            </w:r>
          </w:p>
        </w:tc>
        <w:tc>
          <w:tcPr>
            <w:tcW w:w="720" w:type="dxa"/>
            <w:vAlign w:val="bottom"/>
          </w:tcPr>
          <w:p>
            <w:pPr>
              <w:jc w:val="right"/>
              <w:ind w:right="49"/>
              <w:spacing w:after="0"/>
              <w:rPr>
                <w:sz w:val="20"/>
                <w:szCs w:val="20"/>
                <w:color w:val="auto"/>
              </w:rPr>
            </w:pPr>
            <w:r>
              <w:rPr>
                <w:rFonts w:ascii="Arial" w:cs="Arial" w:eastAsia="Arial" w:hAnsi="Arial"/>
                <w:sz w:val="14"/>
                <w:szCs w:val="14"/>
                <w:color w:val="55565A"/>
              </w:rPr>
              <w:t>154</w:t>
            </w:r>
          </w:p>
        </w:tc>
        <w:tc>
          <w:tcPr>
            <w:tcW w:w="640" w:type="dxa"/>
            <w:vAlign w:val="bottom"/>
          </w:tcPr>
          <w:p>
            <w:pPr>
              <w:jc w:val="right"/>
              <w:ind w:right="49"/>
              <w:spacing w:after="0"/>
              <w:rPr>
                <w:sz w:val="20"/>
                <w:szCs w:val="20"/>
                <w:color w:val="auto"/>
              </w:rPr>
            </w:pPr>
            <w:r>
              <w:rPr>
                <w:rFonts w:ascii="Arial" w:cs="Arial" w:eastAsia="Arial" w:hAnsi="Arial"/>
                <w:sz w:val="14"/>
                <w:szCs w:val="14"/>
                <w:color w:val="55565A"/>
              </w:rPr>
              <w:t>26%</w:t>
            </w:r>
          </w:p>
        </w:tc>
        <w:tc>
          <w:tcPr>
            <w:tcW w:w="860" w:type="dxa"/>
            <w:vAlign w:val="bottom"/>
          </w:tcPr>
          <w:p>
            <w:pPr>
              <w:jc w:val="right"/>
              <w:ind w:right="89"/>
              <w:spacing w:after="0"/>
              <w:rPr>
                <w:sz w:val="20"/>
                <w:szCs w:val="20"/>
                <w:color w:val="auto"/>
              </w:rPr>
            </w:pPr>
            <w:r>
              <w:rPr>
                <w:rFonts w:ascii="Arial" w:cs="Arial" w:eastAsia="Arial" w:hAnsi="Arial"/>
                <w:sz w:val="14"/>
                <w:szCs w:val="14"/>
                <w:color w:val="55565A"/>
              </w:rPr>
              <w:t>25%</w:t>
            </w:r>
          </w:p>
        </w:tc>
        <w:tc>
          <w:tcPr>
            <w:tcW w:w="660" w:type="dxa"/>
            <w:vAlign w:val="bottom"/>
          </w:tcPr>
          <w:p>
            <w:pPr>
              <w:spacing w:after="0"/>
              <w:rPr>
                <w:sz w:val="13"/>
                <w:szCs w:val="13"/>
                <w:color w:val="auto"/>
              </w:rPr>
            </w:pPr>
          </w:p>
        </w:tc>
      </w:tr>
      <w:tr>
        <w:trPr>
          <w:trHeight w:val="160"/>
        </w:trPr>
        <w:tc>
          <w:tcPr>
            <w:tcW w:w="506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Segment adjusted EBITDA margin</w:t>
            </w:r>
          </w:p>
        </w:tc>
        <w:tc>
          <w:tcPr>
            <w:tcW w:w="298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37.8%</w:t>
            </w:r>
          </w:p>
        </w:tc>
        <w:tc>
          <w:tcPr>
            <w:tcW w:w="72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color w:val="55565A"/>
              </w:rPr>
              <w:t>35.1%</w:t>
            </w:r>
          </w:p>
        </w:tc>
        <w:tc>
          <w:tcPr>
            <w:tcW w:w="64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color w:val="55565A"/>
              </w:rPr>
              <w:t>270bp</w:t>
            </w:r>
          </w:p>
        </w:tc>
        <w:tc>
          <w:tcPr>
            <w:tcW w:w="86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color w:val="55565A"/>
              </w:rPr>
              <w:t>260bp</w:t>
            </w:r>
          </w:p>
        </w:tc>
        <w:tc>
          <w:tcPr>
            <w:tcW w:w="660" w:type="dxa"/>
            <w:vAlign w:val="bottom"/>
            <w:tcBorders>
              <w:bottom w:val="single" w:sz="8" w:color="88888B"/>
            </w:tcBorders>
            <w:shd w:val="clear" w:color="auto" w:fill="CCEEFF"/>
          </w:tcPr>
          <w:p>
            <w:pPr>
              <w:spacing w:after="0"/>
              <w:rPr>
                <w:sz w:val="13"/>
                <w:szCs w:val="13"/>
                <w:color w:val="auto"/>
              </w:rPr>
            </w:pPr>
          </w:p>
        </w:tc>
      </w:tr>
    </w:tbl>
    <w:p>
      <w:pPr>
        <w:spacing w:after="0" w:line="93"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55565A"/>
        </w:rPr>
        <w:t>Revenues increased in total and constant currency, which included a contribution from our acquisition of Pagero. On an organic basis, revenues grew 12% due to growth in both recurring (73% of the Corporates segment) and transactions (27% of the Corporates segment) revenues. Recurring organic revenue growth was driven by Practical Law, Indirect Tax, Pagero, and the segment’s international businesses. Transactions organic revenue growth benefited from strong seasonal demand from the Confirmation and Trust businesses.</w:t>
      </w:r>
    </w:p>
    <w:p>
      <w:pPr>
        <w:spacing w:after="0" w:line="71"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color w:val="55565A"/>
        </w:rPr>
        <w:t>Segment adjusted EBITDA and the related margin increased as higher revenues more than offset higher expenses. Foreign currency benefited the year-over-year change in segment adjusted EBITDA margin by 10bp.</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Tax &amp; Accounting Professionals</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5060" w:type="dxa"/>
            <w:vAlign w:val="bottom"/>
            <w:tcBorders>
              <w:top w:val="single" w:sz="8" w:color="88888B"/>
            </w:tcBorders>
          </w:tcPr>
          <w:p>
            <w:pPr>
              <w:spacing w:after="0"/>
              <w:rPr>
                <w:sz w:val="18"/>
                <w:szCs w:val="18"/>
                <w:color w:val="auto"/>
              </w:rPr>
            </w:pPr>
          </w:p>
        </w:tc>
        <w:tc>
          <w:tcPr>
            <w:tcW w:w="2980" w:type="dxa"/>
            <w:vAlign w:val="bottom"/>
            <w:tcBorders>
              <w:top w:val="single" w:sz="8" w:color="88888B"/>
            </w:tcBorders>
          </w:tcPr>
          <w:p>
            <w:pPr>
              <w:spacing w:after="0"/>
              <w:rPr>
                <w:sz w:val="18"/>
                <w:szCs w:val="18"/>
                <w:color w:val="auto"/>
              </w:rPr>
            </w:pPr>
          </w:p>
        </w:tc>
        <w:tc>
          <w:tcPr>
            <w:tcW w:w="2220" w:type="dxa"/>
            <w:vAlign w:val="bottom"/>
            <w:tcBorders>
              <w:top w:val="single" w:sz="8" w:color="88888B"/>
            </w:tcBorders>
            <w:gridSpan w:val="3"/>
          </w:tcPr>
          <w:p>
            <w:pPr>
              <w:jc w:val="right"/>
              <w:spacing w:after="0"/>
              <w:rPr>
                <w:sz w:val="20"/>
                <w:szCs w:val="20"/>
                <w:color w:val="auto"/>
              </w:rPr>
            </w:pPr>
            <w:r>
              <w:rPr>
                <w:rFonts w:ascii="Arial" w:cs="Arial" w:eastAsia="Arial" w:hAnsi="Arial"/>
                <w:sz w:val="14"/>
                <w:szCs w:val="14"/>
                <w:b w:val="1"/>
                <w:bCs w:val="1"/>
                <w:color w:val="55565A"/>
              </w:rPr>
              <w:t>Three months ended March 31,</w:t>
            </w:r>
          </w:p>
        </w:tc>
        <w:tc>
          <w:tcPr>
            <w:tcW w:w="660" w:type="dxa"/>
            <w:vAlign w:val="bottom"/>
            <w:tcBorders>
              <w:top w:val="single" w:sz="8" w:color="88888B"/>
            </w:tcBorders>
          </w:tcPr>
          <w:p>
            <w:pPr>
              <w:spacing w:after="0"/>
              <w:rPr>
                <w:sz w:val="18"/>
                <w:szCs w:val="18"/>
                <w:color w:val="auto"/>
              </w:rPr>
            </w:pPr>
          </w:p>
        </w:tc>
      </w:tr>
      <w:tr>
        <w:trPr>
          <w:trHeight w:val="221"/>
        </w:trPr>
        <w:tc>
          <w:tcPr>
            <w:tcW w:w="50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55565A"/>
              </w:rPr>
              <w:t>Change</w:t>
            </w:r>
          </w:p>
        </w:tc>
        <w:tc>
          <w:tcPr>
            <w:tcW w:w="660" w:type="dxa"/>
            <w:vAlign w:val="bottom"/>
          </w:tcPr>
          <w:p>
            <w:pPr>
              <w:spacing w:after="0"/>
              <w:rPr>
                <w:sz w:val="19"/>
                <w:szCs w:val="19"/>
                <w:color w:val="auto"/>
              </w:rPr>
            </w:pPr>
          </w:p>
        </w:tc>
      </w:tr>
      <w:tr>
        <w:trPr>
          <w:trHeight w:val="212"/>
        </w:trPr>
        <w:tc>
          <w:tcPr>
            <w:tcW w:w="5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55565A"/>
              </w:rPr>
              <w:t>Constant</w:t>
            </w:r>
          </w:p>
        </w:tc>
        <w:tc>
          <w:tcPr>
            <w:tcW w:w="660" w:type="dxa"/>
            <w:vAlign w:val="bottom"/>
          </w:tcPr>
          <w:p>
            <w:pPr>
              <w:spacing w:after="0"/>
              <w:rPr>
                <w:sz w:val="18"/>
                <w:szCs w:val="18"/>
                <w:color w:val="auto"/>
              </w:rPr>
            </w:pPr>
          </w:p>
        </w:tc>
      </w:tr>
      <w:tr>
        <w:trPr>
          <w:trHeight w:val="195"/>
        </w:trPr>
        <w:tc>
          <w:tcPr>
            <w:tcW w:w="5060" w:type="dxa"/>
            <w:vAlign w:val="bottom"/>
          </w:tcPr>
          <w:p>
            <w:pPr>
              <w:spacing w:after="0"/>
              <w:rPr>
                <w:sz w:val="20"/>
                <w:szCs w:val="20"/>
                <w:color w:val="auto"/>
              </w:rPr>
            </w:pPr>
            <w:r>
              <w:rPr>
                <w:rFonts w:ascii="Arial" w:cs="Arial" w:eastAsia="Arial" w:hAnsi="Arial"/>
                <w:sz w:val="14"/>
                <w:szCs w:val="14"/>
                <w:color w:val="55565A"/>
              </w:rPr>
              <w:t>(millions of U.S. dollars, except margins)</w:t>
            </w:r>
          </w:p>
        </w:tc>
        <w:tc>
          <w:tcPr>
            <w:tcW w:w="2980" w:type="dxa"/>
            <w:vAlign w:val="bottom"/>
          </w:tcPr>
          <w:p>
            <w:pPr>
              <w:jc w:val="right"/>
              <w:ind w:right="9"/>
              <w:spacing w:after="0"/>
              <w:rPr>
                <w:sz w:val="20"/>
                <w:szCs w:val="20"/>
                <w:color w:val="auto"/>
              </w:rPr>
            </w:pPr>
            <w:r>
              <w:rPr>
                <w:rFonts w:ascii="Arial" w:cs="Arial" w:eastAsia="Arial" w:hAnsi="Arial"/>
                <w:sz w:val="14"/>
                <w:szCs w:val="14"/>
                <w:b w:val="1"/>
                <w:bCs w:val="1"/>
                <w:color w:val="55565A"/>
              </w:rPr>
              <w:t>2024</w:t>
            </w:r>
          </w:p>
        </w:tc>
        <w:tc>
          <w:tcPr>
            <w:tcW w:w="720" w:type="dxa"/>
            <w:vAlign w:val="bottom"/>
          </w:tcPr>
          <w:p>
            <w:pPr>
              <w:jc w:val="right"/>
              <w:ind w:right="49"/>
              <w:spacing w:after="0"/>
              <w:rPr>
                <w:sz w:val="20"/>
                <w:szCs w:val="20"/>
                <w:color w:val="auto"/>
              </w:rPr>
            </w:pPr>
            <w:r>
              <w:rPr>
                <w:rFonts w:ascii="Arial" w:cs="Arial" w:eastAsia="Arial" w:hAnsi="Arial"/>
                <w:sz w:val="14"/>
                <w:szCs w:val="14"/>
                <w:color w:val="55565A"/>
              </w:rPr>
              <w:t>2023</w:t>
            </w:r>
          </w:p>
        </w:tc>
        <w:tc>
          <w:tcPr>
            <w:tcW w:w="640" w:type="dxa"/>
            <w:vAlign w:val="bottom"/>
          </w:tcPr>
          <w:p>
            <w:pPr>
              <w:jc w:val="right"/>
              <w:ind w:right="49"/>
              <w:spacing w:after="0"/>
              <w:rPr>
                <w:sz w:val="20"/>
                <w:szCs w:val="20"/>
                <w:color w:val="auto"/>
              </w:rPr>
            </w:pPr>
            <w:r>
              <w:rPr>
                <w:rFonts w:ascii="Arial" w:cs="Arial" w:eastAsia="Arial" w:hAnsi="Arial"/>
                <w:sz w:val="14"/>
                <w:szCs w:val="14"/>
                <w:color w:val="55565A"/>
              </w:rPr>
              <w:t>Total</w:t>
            </w:r>
          </w:p>
        </w:tc>
        <w:tc>
          <w:tcPr>
            <w:tcW w:w="860" w:type="dxa"/>
            <w:vAlign w:val="bottom"/>
          </w:tcPr>
          <w:p>
            <w:pPr>
              <w:jc w:val="right"/>
              <w:ind w:right="89"/>
              <w:spacing w:after="0"/>
              <w:rPr>
                <w:sz w:val="20"/>
                <w:szCs w:val="20"/>
                <w:color w:val="auto"/>
              </w:rPr>
            </w:pPr>
            <w:r>
              <w:rPr>
                <w:rFonts w:ascii="Arial" w:cs="Arial" w:eastAsia="Arial" w:hAnsi="Arial"/>
                <w:sz w:val="14"/>
                <w:szCs w:val="14"/>
                <w:color w:val="55565A"/>
              </w:rPr>
              <w:t>Currency</w:t>
            </w:r>
          </w:p>
        </w:tc>
        <w:tc>
          <w:tcPr>
            <w:tcW w:w="660" w:type="dxa"/>
            <w:vAlign w:val="bottom"/>
          </w:tcPr>
          <w:p>
            <w:pPr>
              <w:jc w:val="right"/>
              <w:ind w:right="29"/>
              <w:spacing w:after="0"/>
              <w:rPr>
                <w:sz w:val="20"/>
                <w:szCs w:val="20"/>
                <w:color w:val="auto"/>
              </w:rPr>
            </w:pPr>
            <w:r>
              <w:rPr>
                <w:rFonts w:ascii="Arial" w:cs="Arial" w:eastAsia="Arial" w:hAnsi="Arial"/>
                <w:sz w:val="14"/>
                <w:szCs w:val="14"/>
                <w:color w:val="55565A"/>
              </w:rPr>
              <w:t>Organic</w:t>
            </w:r>
          </w:p>
        </w:tc>
      </w:tr>
      <w:tr>
        <w:trPr>
          <w:trHeight w:val="28"/>
        </w:trPr>
        <w:tc>
          <w:tcPr>
            <w:tcW w:w="5060" w:type="dxa"/>
            <w:vAlign w:val="bottom"/>
            <w:tcBorders>
              <w:bottom w:val="single" w:sz="8" w:color="88888B"/>
            </w:tcBorders>
          </w:tcPr>
          <w:p>
            <w:pPr>
              <w:spacing w:after="0"/>
              <w:rPr>
                <w:sz w:val="2"/>
                <w:szCs w:val="2"/>
                <w:color w:val="auto"/>
              </w:rPr>
            </w:pPr>
          </w:p>
        </w:tc>
        <w:tc>
          <w:tcPr>
            <w:tcW w:w="2980" w:type="dxa"/>
            <w:vAlign w:val="bottom"/>
            <w:tcBorders>
              <w:bottom w:val="single" w:sz="8" w:color="88888B"/>
            </w:tcBorders>
          </w:tcPr>
          <w:p>
            <w:pPr>
              <w:spacing w:after="0"/>
              <w:rPr>
                <w:sz w:val="2"/>
                <w:szCs w:val="2"/>
                <w:color w:val="auto"/>
              </w:rPr>
            </w:pPr>
          </w:p>
        </w:tc>
        <w:tc>
          <w:tcPr>
            <w:tcW w:w="720" w:type="dxa"/>
            <w:vAlign w:val="bottom"/>
            <w:tcBorders>
              <w:bottom w:val="single" w:sz="8" w:color="88888B"/>
            </w:tcBorders>
          </w:tcPr>
          <w:p>
            <w:pPr>
              <w:spacing w:after="0"/>
              <w:rPr>
                <w:sz w:val="2"/>
                <w:szCs w:val="2"/>
                <w:color w:val="auto"/>
              </w:rPr>
            </w:pPr>
          </w:p>
        </w:tc>
        <w:tc>
          <w:tcPr>
            <w:tcW w:w="640" w:type="dxa"/>
            <w:vAlign w:val="bottom"/>
            <w:tcBorders>
              <w:bottom w:val="single" w:sz="8" w:color="88888B"/>
            </w:tcBorders>
          </w:tcPr>
          <w:p>
            <w:pPr>
              <w:spacing w:after="0"/>
              <w:rPr>
                <w:sz w:val="2"/>
                <w:szCs w:val="2"/>
                <w:color w:val="auto"/>
              </w:rPr>
            </w:pPr>
          </w:p>
        </w:tc>
        <w:tc>
          <w:tcPr>
            <w:tcW w:w="860" w:type="dxa"/>
            <w:vAlign w:val="bottom"/>
            <w:tcBorders>
              <w:bottom w:val="single" w:sz="8" w:color="88888B"/>
            </w:tcBorders>
          </w:tcPr>
          <w:p>
            <w:pPr>
              <w:spacing w:after="0"/>
              <w:rPr>
                <w:sz w:val="2"/>
                <w:szCs w:val="2"/>
                <w:color w:val="auto"/>
              </w:rPr>
            </w:pPr>
          </w:p>
        </w:tc>
        <w:tc>
          <w:tcPr>
            <w:tcW w:w="660" w:type="dxa"/>
            <w:vAlign w:val="bottom"/>
            <w:tcBorders>
              <w:bottom w:val="single" w:sz="8" w:color="88888B"/>
            </w:tcBorders>
          </w:tcPr>
          <w:p>
            <w:pPr>
              <w:spacing w:after="0"/>
              <w:rPr>
                <w:sz w:val="2"/>
                <w:szCs w:val="2"/>
                <w:color w:val="auto"/>
              </w:rPr>
            </w:pPr>
          </w:p>
        </w:tc>
      </w:tr>
      <w:tr>
        <w:trPr>
          <w:trHeight w:val="154"/>
        </w:trPr>
        <w:tc>
          <w:tcPr>
            <w:tcW w:w="5060" w:type="dxa"/>
            <w:vAlign w:val="bottom"/>
            <w:shd w:val="clear" w:color="auto" w:fill="CCEEFF"/>
          </w:tcPr>
          <w:p>
            <w:pPr>
              <w:ind w:left="160"/>
              <w:spacing w:after="0" w:line="154" w:lineRule="exact"/>
              <w:rPr>
                <w:sz w:val="20"/>
                <w:szCs w:val="20"/>
                <w:color w:val="auto"/>
              </w:rPr>
            </w:pPr>
            <w:r>
              <w:rPr>
                <w:rFonts w:ascii="Arial" w:cs="Arial" w:eastAsia="Arial" w:hAnsi="Arial"/>
                <w:sz w:val="14"/>
                <w:szCs w:val="14"/>
                <w:b w:val="1"/>
                <w:bCs w:val="1"/>
                <w:color w:val="55565A"/>
              </w:rPr>
              <w:t>Recurring revenues</w:t>
            </w:r>
          </w:p>
        </w:tc>
        <w:tc>
          <w:tcPr>
            <w:tcW w:w="2980" w:type="dxa"/>
            <w:vAlign w:val="bottom"/>
            <w:shd w:val="clear" w:color="auto" w:fill="CCEEFF"/>
          </w:tcPr>
          <w:p>
            <w:pPr>
              <w:jc w:val="right"/>
              <w:ind w:right="9"/>
              <w:spacing w:after="0" w:line="154" w:lineRule="exact"/>
              <w:rPr>
                <w:sz w:val="20"/>
                <w:szCs w:val="20"/>
                <w:color w:val="auto"/>
              </w:rPr>
            </w:pPr>
            <w:r>
              <w:rPr>
                <w:rFonts w:ascii="Arial" w:cs="Arial" w:eastAsia="Arial" w:hAnsi="Arial"/>
                <w:sz w:val="14"/>
                <w:szCs w:val="14"/>
                <w:b w:val="1"/>
                <w:bCs w:val="1"/>
                <w:color w:val="55565A"/>
              </w:rPr>
              <w:t>199</w:t>
            </w:r>
          </w:p>
        </w:tc>
        <w:tc>
          <w:tcPr>
            <w:tcW w:w="72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5565A"/>
              </w:rPr>
              <w:t>176</w:t>
            </w:r>
          </w:p>
        </w:tc>
        <w:tc>
          <w:tcPr>
            <w:tcW w:w="64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5565A"/>
              </w:rPr>
              <w:t>13%</w:t>
            </w:r>
          </w:p>
        </w:tc>
        <w:tc>
          <w:tcPr>
            <w:tcW w:w="860" w:type="dxa"/>
            <w:vAlign w:val="bottom"/>
            <w:shd w:val="clear" w:color="auto" w:fill="CCEEFF"/>
          </w:tcPr>
          <w:p>
            <w:pPr>
              <w:jc w:val="right"/>
              <w:ind w:right="89"/>
              <w:spacing w:after="0" w:line="154" w:lineRule="exact"/>
              <w:rPr>
                <w:sz w:val="20"/>
                <w:szCs w:val="20"/>
                <w:color w:val="auto"/>
              </w:rPr>
            </w:pPr>
            <w:r>
              <w:rPr>
                <w:rFonts w:ascii="Arial" w:cs="Arial" w:eastAsia="Arial" w:hAnsi="Arial"/>
                <w:sz w:val="14"/>
                <w:szCs w:val="14"/>
                <w:color w:val="55565A"/>
              </w:rPr>
              <w:t>14%</w:t>
            </w:r>
          </w:p>
        </w:tc>
        <w:tc>
          <w:tcPr>
            <w:tcW w:w="66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5565A"/>
              </w:rPr>
              <w:t>14%</w:t>
            </w:r>
          </w:p>
        </w:tc>
      </w:tr>
      <w:tr>
        <w:trPr>
          <w:trHeight w:val="160"/>
        </w:trPr>
        <w:tc>
          <w:tcPr>
            <w:tcW w:w="5060" w:type="dxa"/>
            <w:vAlign w:val="bottom"/>
            <w:tcBorders>
              <w:bottom w:val="single" w:sz="8" w:color="88888B"/>
            </w:tcBorders>
          </w:tcPr>
          <w:p>
            <w:pPr>
              <w:ind w:left="160"/>
              <w:spacing w:after="0"/>
              <w:rPr>
                <w:sz w:val="20"/>
                <w:szCs w:val="20"/>
                <w:color w:val="auto"/>
              </w:rPr>
            </w:pPr>
            <w:r>
              <w:rPr>
                <w:rFonts w:ascii="Arial" w:cs="Arial" w:eastAsia="Arial" w:hAnsi="Arial"/>
                <w:sz w:val="14"/>
                <w:szCs w:val="14"/>
                <w:b w:val="1"/>
                <w:bCs w:val="1"/>
                <w:color w:val="55565A"/>
              </w:rPr>
              <w:t>Transactions revenues</w:t>
            </w:r>
          </w:p>
        </w:tc>
        <w:tc>
          <w:tcPr>
            <w:tcW w:w="298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b w:val="1"/>
                <w:bCs w:val="1"/>
                <w:color w:val="55565A"/>
              </w:rPr>
              <w:t>129</w:t>
            </w:r>
          </w:p>
        </w:tc>
        <w:tc>
          <w:tcPr>
            <w:tcW w:w="72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color w:val="55565A"/>
              </w:rPr>
              <w:t>106</w:t>
            </w:r>
          </w:p>
        </w:tc>
        <w:tc>
          <w:tcPr>
            <w:tcW w:w="64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color w:val="55565A"/>
              </w:rPr>
              <w:t>22%</w:t>
            </w:r>
          </w:p>
        </w:tc>
        <w:tc>
          <w:tcPr>
            <w:tcW w:w="860" w:type="dxa"/>
            <w:vAlign w:val="bottom"/>
            <w:tcBorders>
              <w:bottom w:val="single" w:sz="8" w:color="88888B"/>
            </w:tcBorders>
          </w:tcPr>
          <w:p>
            <w:pPr>
              <w:jc w:val="right"/>
              <w:ind w:right="89"/>
              <w:spacing w:after="0"/>
              <w:rPr>
                <w:sz w:val="20"/>
                <w:szCs w:val="20"/>
                <w:color w:val="auto"/>
              </w:rPr>
            </w:pPr>
            <w:r>
              <w:rPr>
                <w:rFonts w:ascii="Arial" w:cs="Arial" w:eastAsia="Arial" w:hAnsi="Arial"/>
                <w:sz w:val="14"/>
                <w:szCs w:val="14"/>
                <w:color w:val="55565A"/>
              </w:rPr>
              <w:t>23%</w:t>
            </w:r>
          </w:p>
        </w:tc>
        <w:tc>
          <w:tcPr>
            <w:tcW w:w="660" w:type="dxa"/>
            <w:vAlign w:val="bottom"/>
            <w:tcBorders>
              <w:bottom w:val="single" w:sz="8" w:color="88888B"/>
            </w:tcBorders>
          </w:tcPr>
          <w:p>
            <w:pPr>
              <w:jc w:val="right"/>
              <w:ind w:right="29"/>
              <w:spacing w:after="0"/>
              <w:rPr>
                <w:sz w:val="20"/>
                <w:szCs w:val="20"/>
                <w:color w:val="auto"/>
              </w:rPr>
            </w:pPr>
            <w:r>
              <w:rPr>
                <w:rFonts w:ascii="Arial" w:cs="Arial" w:eastAsia="Arial" w:hAnsi="Arial"/>
                <w:sz w:val="14"/>
                <w:szCs w:val="14"/>
                <w:color w:val="55565A"/>
              </w:rPr>
              <w:t>15%</w:t>
            </w:r>
          </w:p>
        </w:tc>
      </w:tr>
      <w:tr>
        <w:trPr>
          <w:trHeight w:val="154"/>
        </w:trPr>
        <w:tc>
          <w:tcPr>
            <w:tcW w:w="506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Revenues</w:t>
            </w:r>
          </w:p>
        </w:tc>
        <w:tc>
          <w:tcPr>
            <w:tcW w:w="2980" w:type="dxa"/>
            <w:vAlign w:val="bottom"/>
            <w:shd w:val="clear" w:color="auto" w:fill="CCEEFF"/>
          </w:tcPr>
          <w:p>
            <w:pPr>
              <w:jc w:val="right"/>
              <w:ind w:right="9"/>
              <w:spacing w:after="0" w:line="154" w:lineRule="exact"/>
              <w:rPr>
                <w:sz w:val="20"/>
                <w:szCs w:val="20"/>
                <w:color w:val="auto"/>
              </w:rPr>
            </w:pPr>
            <w:r>
              <w:rPr>
                <w:rFonts w:ascii="Arial" w:cs="Arial" w:eastAsia="Arial" w:hAnsi="Arial"/>
                <w:sz w:val="14"/>
                <w:szCs w:val="14"/>
                <w:b w:val="1"/>
                <w:bCs w:val="1"/>
                <w:color w:val="55565A"/>
              </w:rPr>
              <w:t>328</w:t>
            </w:r>
          </w:p>
        </w:tc>
        <w:tc>
          <w:tcPr>
            <w:tcW w:w="72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5565A"/>
              </w:rPr>
              <w:t>282</w:t>
            </w:r>
          </w:p>
        </w:tc>
        <w:tc>
          <w:tcPr>
            <w:tcW w:w="64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5565A"/>
              </w:rPr>
              <w:t>16%</w:t>
            </w:r>
          </w:p>
        </w:tc>
        <w:tc>
          <w:tcPr>
            <w:tcW w:w="860" w:type="dxa"/>
            <w:vAlign w:val="bottom"/>
            <w:shd w:val="clear" w:color="auto" w:fill="CCEEFF"/>
          </w:tcPr>
          <w:p>
            <w:pPr>
              <w:jc w:val="right"/>
              <w:ind w:right="89"/>
              <w:spacing w:after="0" w:line="154" w:lineRule="exact"/>
              <w:rPr>
                <w:sz w:val="20"/>
                <w:szCs w:val="20"/>
                <w:color w:val="auto"/>
              </w:rPr>
            </w:pPr>
            <w:r>
              <w:rPr>
                <w:rFonts w:ascii="Arial" w:cs="Arial" w:eastAsia="Arial" w:hAnsi="Arial"/>
                <w:sz w:val="14"/>
                <w:szCs w:val="14"/>
                <w:color w:val="55565A"/>
              </w:rPr>
              <w:t>17%</w:t>
            </w:r>
          </w:p>
        </w:tc>
        <w:tc>
          <w:tcPr>
            <w:tcW w:w="66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5565A"/>
              </w:rPr>
              <w:t>14%</w:t>
            </w:r>
          </w:p>
        </w:tc>
      </w:tr>
      <w:tr>
        <w:trPr>
          <w:trHeight w:val="160"/>
        </w:trPr>
        <w:tc>
          <w:tcPr>
            <w:tcW w:w="5060" w:type="dxa"/>
            <w:vAlign w:val="bottom"/>
          </w:tcPr>
          <w:p>
            <w:pPr>
              <w:spacing w:after="0"/>
              <w:rPr>
                <w:sz w:val="20"/>
                <w:szCs w:val="20"/>
                <w:color w:val="auto"/>
              </w:rPr>
            </w:pPr>
            <w:r>
              <w:rPr>
                <w:rFonts w:ascii="Arial" w:cs="Arial" w:eastAsia="Arial" w:hAnsi="Arial"/>
                <w:sz w:val="14"/>
                <w:szCs w:val="14"/>
                <w:b w:val="1"/>
                <w:bCs w:val="1"/>
                <w:color w:val="55565A"/>
              </w:rPr>
              <w:t>Segment adjusted EBITDA</w:t>
            </w:r>
          </w:p>
        </w:tc>
        <w:tc>
          <w:tcPr>
            <w:tcW w:w="2980" w:type="dxa"/>
            <w:vAlign w:val="bottom"/>
          </w:tcPr>
          <w:p>
            <w:pPr>
              <w:jc w:val="right"/>
              <w:ind w:right="9"/>
              <w:spacing w:after="0"/>
              <w:rPr>
                <w:sz w:val="20"/>
                <w:szCs w:val="20"/>
                <w:color w:val="auto"/>
              </w:rPr>
            </w:pPr>
            <w:r>
              <w:rPr>
                <w:rFonts w:ascii="Arial" w:cs="Arial" w:eastAsia="Arial" w:hAnsi="Arial"/>
                <w:sz w:val="14"/>
                <w:szCs w:val="14"/>
                <w:b w:val="1"/>
                <w:bCs w:val="1"/>
                <w:color w:val="55565A"/>
              </w:rPr>
              <w:t>181</w:t>
            </w:r>
          </w:p>
        </w:tc>
        <w:tc>
          <w:tcPr>
            <w:tcW w:w="720" w:type="dxa"/>
            <w:vAlign w:val="bottom"/>
          </w:tcPr>
          <w:p>
            <w:pPr>
              <w:jc w:val="right"/>
              <w:ind w:right="49"/>
              <w:spacing w:after="0"/>
              <w:rPr>
                <w:sz w:val="20"/>
                <w:szCs w:val="20"/>
                <w:color w:val="auto"/>
              </w:rPr>
            </w:pPr>
            <w:r>
              <w:rPr>
                <w:rFonts w:ascii="Arial" w:cs="Arial" w:eastAsia="Arial" w:hAnsi="Arial"/>
                <w:sz w:val="14"/>
                <w:szCs w:val="14"/>
                <w:color w:val="55565A"/>
              </w:rPr>
              <w:t>149</w:t>
            </w:r>
          </w:p>
        </w:tc>
        <w:tc>
          <w:tcPr>
            <w:tcW w:w="640" w:type="dxa"/>
            <w:vAlign w:val="bottom"/>
          </w:tcPr>
          <w:p>
            <w:pPr>
              <w:jc w:val="right"/>
              <w:ind w:right="49"/>
              <w:spacing w:after="0"/>
              <w:rPr>
                <w:sz w:val="20"/>
                <w:szCs w:val="20"/>
                <w:color w:val="auto"/>
              </w:rPr>
            </w:pPr>
            <w:r>
              <w:rPr>
                <w:rFonts w:ascii="Arial" w:cs="Arial" w:eastAsia="Arial" w:hAnsi="Arial"/>
                <w:sz w:val="14"/>
                <w:szCs w:val="14"/>
                <w:color w:val="55565A"/>
              </w:rPr>
              <w:t>21%</w:t>
            </w:r>
          </w:p>
        </w:tc>
        <w:tc>
          <w:tcPr>
            <w:tcW w:w="860" w:type="dxa"/>
            <w:vAlign w:val="bottom"/>
          </w:tcPr>
          <w:p>
            <w:pPr>
              <w:jc w:val="right"/>
              <w:ind w:right="89"/>
              <w:spacing w:after="0"/>
              <w:rPr>
                <w:sz w:val="20"/>
                <w:szCs w:val="20"/>
                <w:color w:val="auto"/>
              </w:rPr>
            </w:pPr>
            <w:r>
              <w:rPr>
                <w:rFonts w:ascii="Arial" w:cs="Arial" w:eastAsia="Arial" w:hAnsi="Arial"/>
                <w:sz w:val="14"/>
                <w:szCs w:val="14"/>
                <w:color w:val="55565A"/>
              </w:rPr>
              <w:t>22%</w:t>
            </w:r>
          </w:p>
        </w:tc>
        <w:tc>
          <w:tcPr>
            <w:tcW w:w="660" w:type="dxa"/>
            <w:vAlign w:val="bottom"/>
          </w:tcPr>
          <w:p>
            <w:pPr>
              <w:spacing w:after="0"/>
              <w:rPr>
                <w:sz w:val="13"/>
                <w:szCs w:val="13"/>
                <w:color w:val="auto"/>
              </w:rPr>
            </w:pPr>
          </w:p>
        </w:tc>
      </w:tr>
      <w:tr>
        <w:trPr>
          <w:trHeight w:val="160"/>
        </w:trPr>
        <w:tc>
          <w:tcPr>
            <w:tcW w:w="506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Segment adjusted EBITDA margin</w:t>
            </w:r>
          </w:p>
        </w:tc>
        <w:tc>
          <w:tcPr>
            <w:tcW w:w="298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55.0%</w:t>
            </w:r>
          </w:p>
        </w:tc>
        <w:tc>
          <w:tcPr>
            <w:tcW w:w="72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color w:val="55565A"/>
              </w:rPr>
              <w:t>51.4%</w:t>
            </w:r>
          </w:p>
        </w:tc>
        <w:tc>
          <w:tcPr>
            <w:tcW w:w="64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color w:val="55565A"/>
              </w:rPr>
              <w:t>360bp</w:t>
            </w:r>
          </w:p>
        </w:tc>
        <w:tc>
          <w:tcPr>
            <w:tcW w:w="86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color w:val="55565A"/>
              </w:rPr>
              <w:t>360bp</w:t>
            </w:r>
          </w:p>
        </w:tc>
        <w:tc>
          <w:tcPr>
            <w:tcW w:w="660" w:type="dxa"/>
            <w:vAlign w:val="bottom"/>
            <w:tcBorders>
              <w:bottom w:val="single" w:sz="8" w:color="88888B"/>
            </w:tcBorders>
            <w:shd w:val="clear" w:color="auto" w:fill="CCEEFF"/>
          </w:tcPr>
          <w:p>
            <w:pPr>
              <w:spacing w:after="0"/>
              <w:rPr>
                <w:sz w:val="13"/>
                <w:szCs w:val="13"/>
                <w:color w:val="auto"/>
              </w:rPr>
            </w:pPr>
          </w:p>
        </w:tc>
      </w:tr>
    </w:tbl>
    <w:p>
      <w:pPr>
        <w:spacing w:after="0" w:line="93" w:lineRule="exact"/>
        <w:rPr>
          <w:sz w:val="20"/>
          <w:szCs w:val="20"/>
          <w:color w:val="auto"/>
        </w:rPr>
      </w:pPr>
    </w:p>
    <w:p>
      <w:pPr>
        <w:ind w:left="160" w:right="160"/>
        <w:spacing w:after="0" w:line="253" w:lineRule="auto"/>
        <w:rPr>
          <w:sz w:val="20"/>
          <w:szCs w:val="20"/>
          <w:color w:val="auto"/>
        </w:rPr>
      </w:pPr>
      <w:r>
        <w:rPr>
          <w:rFonts w:ascii="Arial" w:cs="Arial" w:eastAsia="Arial" w:hAnsi="Arial"/>
          <w:sz w:val="16"/>
          <w:szCs w:val="16"/>
          <w:color w:val="55565A"/>
        </w:rPr>
        <w:t>Revenues increased in total and constant currency, which included a positive impact from our acquisition of SurePrep in the prior-year period. On an organic basis, revenues increased due to growth in both recurring (61% of the Tax &amp; Accounting Professionals segment) and transactions (39% of the Tax &amp; Accounting Professionals segment) revenues. Recurring organic revenue growth was driven by the segment’s businesses in Latin America, UltraTax, as well as a benefit of 2% because the prior-year period included certain non-recurring customer credits. Transactions organic revenue growth was driven by the strong seasonal performance of the SurePrep, UltraTax and the Confirmation businesses.</w:t>
      </w:r>
    </w:p>
    <w:p>
      <w:pPr>
        <w:spacing w:after="0" w:line="73"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55565A"/>
        </w:rPr>
        <w:t>Segment adjusted EBITDA and the related margin increased as higher revenues more than offset higher expenses. Foreign currency had no impact on the change in segment adjusted EBITDA margin.</w:t>
      </w:r>
    </w:p>
    <w:p>
      <w:pPr>
        <w:spacing w:after="0" w:line="54" w:lineRule="exact"/>
        <w:rPr>
          <w:sz w:val="20"/>
          <w:szCs w:val="20"/>
          <w:color w:val="auto"/>
        </w:rPr>
      </w:pPr>
    </w:p>
    <w:p>
      <w:pPr>
        <w:jc w:val="both"/>
        <w:ind w:left="160" w:right="60"/>
        <w:spacing w:after="0" w:line="262" w:lineRule="auto"/>
        <w:rPr>
          <w:sz w:val="20"/>
          <w:szCs w:val="20"/>
          <w:color w:val="auto"/>
        </w:rPr>
      </w:pPr>
      <w:r>
        <w:rPr>
          <w:rFonts w:ascii="Arial" w:cs="Arial" w:eastAsia="Arial" w:hAnsi="Arial"/>
          <w:sz w:val="16"/>
          <w:szCs w:val="16"/>
          <w:color w:val="55565A"/>
        </w:rPr>
        <w:t>The Tax &amp; Accounting Professionals segment is the company’s most seasonal business with approximately 60% of full-year revenues typically generated in the first and fourth quarters. As a result, the margin performance of this segment has been generally higher in the first and fourth quarters as costs are typically incurred in a more linear fashion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10</w:t>
      </w:r>
    </w:p>
    <w:p>
      <w:pPr>
        <w:sectPr>
          <w:pgSz w:w="11900" w:h="16838" w:orient="portrait"/>
          <w:cols w:equalWidth="0" w:num="1">
            <w:col w:w="11080"/>
          </w:cols>
          <w:pgMar w:left="320" w:top="454"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Reuters News</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5120" w:type="dxa"/>
            <w:vAlign w:val="bottom"/>
            <w:tcBorders>
              <w:top w:val="single" w:sz="8" w:color="88888B"/>
            </w:tcBorders>
          </w:tcPr>
          <w:p>
            <w:pPr>
              <w:spacing w:after="0"/>
              <w:rPr>
                <w:sz w:val="18"/>
                <w:szCs w:val="18"/>
                <w:color w:val="auto"/>
              </w:rPr>
            </w:pPr>
          </w:p>
        </w:tc>
        <w:tc>
          <w:tcPr>
            <w:tcW w:w="2860" w:type="dxa"/>
            <w:vAlign w:val="bottom"/>
            <w:tcBorders>
              <w:top w:val="single" w:sz="8" w:color="88888B"/>
            </w:tcBorders>
          </w:tcPr>
          <w:p>
            <w:pPr>
              <w:spacing w:after="0"/>
              <w:rPr>
                <w:sz w:val="18"/>
                <w:szCs w:val="18"/>
                <w:color w:val="auto"/>
              </w:rPr>
            </w:pPr>
          </w:p>
        </w:tc>
        <w:tc>
          <w:tcPr>
            <w:tcW w:w="2260" w:type="dxa"/>
            <w:vAlign w:val="bottom"/>
            <w:tcBorders>
              <w:top w:val="single" w:sz="8" w:color="88888B"/>
            </w:tcBorders>
            <w:gridSpan w:val="3"/>
          </w:tcPr>
          <w:p>
            <w:pPr>
              <w:jc w:val="right"/>
              <w:spacing w:after="0"/>
              <w:rPr>
                <w:sz w:val="20"/>
                <w:szCs w:val="20"/>
                <w:color w:val="auto"/>
              </w:rPr>
            </w:pPr>
            <w:r>
              <w:rPr>
                <w:rFonts w:ascii="Arial" w:cs="Arial" w:eastAsia="Arial" w:hAnsi="Arial"/>
                <w:sz w:val="14"/>
                <w:szCs w:val="14"/>
                <w:b w:val="1"/>
                <w:bCs w:val="1"/>
                <w:color w:val="55565A"/>
              </w:rPr>
              <w:t>Three months ended March 31,</w:t>
            </w:r>
          </w:p>
        </w:tc>
        <w:tc>
          <w:tcPr>
            <w:tcW w:w="680" w:type="dxa"/>
            <w:vAlign w:val="bottom"/>
            <w:tcBorders>
              <w:top w:val="single" w:sz="8" w:color="88888B"/>
            </w:tcBorders>
          </w:tcPr>
          <w:p>
            <w:pPr>
              <w:spacing w:after="0"/>
              <w:rPr>
                <w:sz w:val="18"/>
                <w:szCs w:val="18"/>
                <w:color w:val="auto"/>
              </w:rPr>
            </w:pPr>
          </w:p>
        </w:tc>
      </w:tr>
      <w:tr>
        <w:trPr>
          <w:trHeight w:val="221"/>
        </w:trPr>
        <w:tc>
          <w:tcPr>
            <w:tcW w:w="5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55565A"/>
              </w:rPr>
              <w:t>Change</w:t>
            </w:r>
          </w:p>
        </w:tc>
        <w:tc>
          <w:tcPr>
            <w:tcW w:w="680" w:type="dxa"/>
            <w:vAlign w:val="bottom"/>
          </w:tcPr>
          <w:p>
            <w:pPr>
              <w:spacing w:after="0"/>
              <w:rPr>
                <w:sz w:val="19"/>
                <w:szCs w:val="19"/>
                <w:color w:val="auto"/>
              </w:rPr>
            </w:pPr>
          </w:p>
        </w:tc>
      </w:tr>
      <w:tr>
        <w:trPr>
          <w:trHeight w:val="212"/>
        </w:trPr>
        <w:tc>
          <w:tcPr>
            <w:tcW w:w="5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55565A"/>
              </w:rPr>
              <w:t>Constant</w:t>
            </w:r>
          </w:p>
        </w:tc>
        <w:tc>
          <w:tcPr>
            <w:tcW w:w="680" w:type="dxa"/>
            <w:vAlign w:val="bottom"/>
          </w:tcPr>
          <w:p>
            <w:pPr>
              <w:spacing w:after="0"/>
              <w:rPr>
                <w:sz w:val="18"/>
                <w:szCs w:val="18"/>
                <w:color w:val="auto"/>
              </w:rPr>
            </w:pPr>
          </w:p>
        </w:tc>
      </w:tr>
      <w:tr>
        <w:trPr>
          <w:trHeight w:val="195"/>
        </w:trPr>
        <w:tc>
          <w:tcPr>
            <w:tcW w:w="5120" w:type="dxa"/>
            <w:vAlign w:val="bottom"/>
          </w:tcPr>
          <w:p>
            <w:pPr>
              <w:spacing w:after="0"/>
              <w:rPr>
                <w:sz w:val="20"/>
                <w:szCs w:val="20"/>
                <w:color w:val="auto"/>
              </w:rPr>
            </w:pPr>
            <w:r>
              <w:rPr>
                <w:rFonts w:ascii="Arial" w:cs="Arial" w:eastAsia="Arial" w:hAnsi="Arial"/>
                <w:sz w:val="14"/>
                <w:szCs w:val="14"/>
                <w:b w:val="1"/>
                <w:bCs w:val="1"/>
                <w:color w:val="55565A"/>
              </w:rPr>
              <w:t>(millions of U.S. dollars, except margins)</w:t>
            </w:r>
          </w:p>
        </w:tc>
        <w:tc>
          <w:tcPr>
            <w:tcW w:w="2860" w:type="dxa"/>
            <w:vAlign w:val="bottom"/>
          </w:tcPr>
          <w:p>
            <w:pPr>
              <w:jc w:val="right"/>
              <w:ind w:right="9"/>
              <w:spacing w:after="0"/>
              <w:rPr>
                <w:sz w:val="20"/>
                <w:szCs w:val="20"/>
                <w:color w:val="auto"/>
              </w:rPr>
            </w:pPr>
            <w:r>
              <w:rPr>
                <w:rFonts w:ascii="Arial" w:cs="Arial" w:eastAsia="Arial" w:hAnsi="Arial"/>
                <w:sz w:val="14"/>
                <w:szCs w:val="14"/>
                <w:b w:val="1"/>
                <w:bCs w:val="1"/>
                <w:color w:val="55565A"/>
              </w:rPr>
              <w:t>2024</w:t>
            </w:r>
          </w:p>
        </w:tc>
        <w:tc>
          <w:tcPr>
            <w:tcW w:w="720" w:type="dxa"/>
            <w:vAlign w:val="bottom"/>
          </w:tcPr>
          <w:p>
            <w:pPr>
              <w:jc w:val="right"/>
              <w:ind w:right="69"/>
              <w:spacing w:after="0"/>
              <w:rPr>
                <w:sz w:val="20"/>
                <w:szCs w:val="20"/>
                <w:color w:val="auto"/>
              </w:rPr>
            </w:pPr>
            <w:r>
              <w:rPr>
                <w:rFonts w:ascii="Arial" w:cs="Arial" w:eastAsia="Arial" w:hAnsi="Arial"/>
                <w:sz w:val="14"/>
                <w:szCs w:val="14"/>
                <w:color w:val="55565A"/>
              </w:rPr>
              <w:t>2023</w:t>
            </w:r>
          </w:p>
        </w:tc>
        <w:tc>
          <w:tcPr>
            <w:tcW w:w="700" w:type="dxa"/>
            <w:vAlign w:val="bottom"/>
          </w:tcPr>
          <w:p>
            <w:pPr>
              <w:jc w:val="right"/>
              <w:ind w:right="49"/>
              <w:spacing w:after="0"/>
              <w:rPr>
                <w:sz w:val="20"/>
                <w:szCs w:val="20"/>
                <w:color w:val="auto"/>
              </w:rPr>
            </w:pPr>
            <w:r>
              <w:rPr>
                <w:rFonts w:ascii="Arial" w:cs="Arial" w:eastAsia="Arial" w:hAnsi="Arial"/>
                <w:sz w:val="14"/>
                <w:szCs w:val="14"/>
                <w:color w:val="55565A"/>
              </w:rPr>
              <w:t>Total</w:t>
            </w:r>
          </w:p>
        </w:tc>
        <w:tc>
          <w:tcPr>
            <w:tcW w:w="840" w:type="dxa"/>
            <w:vAlign w:val="bottom"/>
          </w:tcPr>
          <w:p>
            <w:pPr>
              <w:jc w:val="right"/>
              <w:ind w:right="69"/>
              <w:spacing w:after="0"/>
              <w:rPr>
                <w:sz w:val="20"/>
                <w:szCs w:val="20"/>
                <w:color w:val="auto"/>
              </w:rPr>
            </w:pPr>
            <w:r>
              <w:rPr>
                <w:rFonts w:ascii="Arial" w:cs="Arial" w:eastAsia="Arial" w:hAnsi="Arial"/>
                <w:sz w:val="14"/>
                <w:szCs w:val="14"/>
                <w:color w:val="55565A"/>
              </w:rPr>
              <w:t>Currency</w:t>
            </w:r>
          </w:p>
        </w:tc>
        <w:tc>
          <w:tcPr>
            <w:tcW w:w="680" w:type="dxa"/>
            <w:vAlign w:val="bottom"/>
          </w:tcPr>
          <w:p>
            <w:pPr>
              <w:jc w:val="right"/>
              <w:ind w:right="29"/>
              <w:spacing w:after="0"/>
              <w:rPr>
                <w:sz w:val="20"/>
                <w:szCs w:val="20"/>
                <w:color w:val="auto"/>
              </w:rPr>
            </w:pPr>
            <w:r>
              <w:rPr>
                <w:rFonts w:ascii="Arial" w:cs="Arial" w:eastAsia="Arial" w:hAnsi="Arial"/>
                <w:sz w:val="14"/>
                <w:szCs w:val="14"/>
                <w:color w:val="55565A"/>
              </w:rPr>
              <w:t>Organic</w:t>
            </w:r>
          </w:p>
        </w:tc>
      </w:tr>
      <w:tr>
        <w:trPr>
          <w:trHeight w:val="28"/>
        </w:trPr>
        <w:tc>
          <w:tcPr>
            <w:tcW w:w="5120" w:type="dxa"/>
            <w:vAlign w:val="bottom"/>
            <w:tcBorders>
              <w:bottom w:val="single" w:sz="8" w:color="88888B"/>
            </w:tcBorders>
          </w:tcPr>
          <w:p>
            <w:pPr>
              <w:spacing w:after="0"/>
              <w:rPr>
                <w:sz w:val="2"/>
                <w:szCs w:val="2"/>
                <w:color w:val="auto"/>
              </w:rPr>
            </w:pPr>
          </w:p>
        </w:tc>
        <w:tc>
          <w:tcPr>
            <w:tcW w:w="2860" w:type="dxa"/>
            <w:vAlign w:val="bottom"/>
            <w:tcBorders>
              <w:bottom w:val="single" w:sz="8" w:color="88888B"/>
            </w:tcBorders>
          </w:tcPr>
          <w:p>
            <w:pPr>
              <w:spacing w:after="0"/>
              <w:rPr>
                <w:sz w:val="2"/>
                <w:szCs w:val="2"/>
                <w:color w:val="auto"/>
              </w:rPr>
            </w:pPr>
          </w:p>
        </w:tc>
        <w:tc>
          <w:tcPr>
            <w:tcW w:w="720" w:type="dxa"/>
            <w:vAlign w:val="bottom"/>
            <w:tcBorders>
              <w:bottom w:val="single" w:sz="8" w:color="88888B"/>
            </w:tcBorders>
          </w:tcPr>
          <w:p>
            <w:pPr>
              <w:spacing w:after="0"/>
              <w:rPr>
                <w:sz w:val="2"/>
                <w:szCs w:val="2"/>
                <w:color w:val="auto"/>
              </w:rPr>
            </w:pPr>
          </w:p>
        </w:tc>
        <w:tc>
          <w:tcPr>
            <w:tcW w:w="700" w:type="dxa"/>
            <w:vAlign w:val="bottom"/>
            <w:tcBorders>
              <w:bottom w:val="single" w:sz="8" w:color="88888B"/>
            </w:tcBorders>
          </w:tcPr>
          <w:p>
            <w:pPr>
              <w:spacing w:after="0"/>
              <w:rPr>
                <w:sz w:val="2"/>
                <w:szCs w:val="2"/>
                <w:color w:val="auto"/>
              </w:rPr>
            </w:pPr>
          </w:p>
        </w:tc>
        <w:tc>
          <w:tcPr>
            <w:tcW w:w="840" w:type="dxa"/>
            <w:vAlign w:val="bottom"/>
            <w:tcBorders>
              <w:bottom w:val="single" w:sz="8" w:color="88888B"/>
            </w:tcBorders>
          </w:tcPr>
          <w:p>
            <w:pPr>
              <w:spacing w:after="0"/>
              <w:rPr>
                <w:sz w:val="2"/>
                <w:szCs w:val="2"/>
                <w:color w:val="auto"/>
              </w:rPr>
            </w:pPr>
          </w:p>
        </w:tc>
        <w:tc>
          <w:tcPr>
            <w:tcW w:w="680" w:type="dxa"/>
            <w:vAlign w:val="bottom"/>
            <w:tcBorders>
              <w:bottom w:val="single" w:sz="8" w:color="88888B"/>
            </w:tcBorders>
          </w:tcPr>
          <w:p>
            <w:pPr>
              <w:spacing w:after="0"/>
              <w:rPr>
                <w:sz w:val="2"/>
                <w:szCs w:val="2"/>
                <w:color w:val="auto"/>
              </w:rPr>
            </w:pPr>
          </w:p>
        </w:tc>
      </w:tr>
      <w:tr>
        <w:trPr>
          <w:trHeight w:val="154"/>
        </w:trPr>
        <w:tc>
          <w:tcPr>
            <w:tcW w:w="5120" w:type="dxa"/>
            <w:vAlign w:val="bottom"/>
            <w:shd w:val="clear" w:color="auto" w:fill="CCEEFF"/>
          </w:tcPr>
          <w:p>
            <w:pPr>
              <w:ind w:left="160"/>
              <w:spacing w:after="0" w:line="154" w:lineRule="exact"/>
              <w:rPr>
                <w:sz w:val="20"/>
                <w:szCs w:val="20"/>
                <w:color w:val="auto"/>
              </w:rPr>
            </w:pPr>
            <w:r>
              <w:rPr>
                <w:rFonts w:ascii="Arial" w:cs="Arial" w:eastAsia="Arial" w:hAnsi="Arial"/>
                <w:sz w:val="14"/>
                <w:szCs w:val="14"/>
                <w:b w:val="1"/>
                <w:bCs w:val="1"/>
                <w:color w:val="55565A"/>
              </w:rPr>
              <w:t>Recurring revenues</w:t>
            </w:r>
          </w:p>
        </w:tc>
        <w:tc>
          <w:tcPr>
            <w:tcW w:w="2860" w:type="dxa"/>
            <w:vAlign w:val="bottom"/>
            <w:shd w:val="clear" w:color="auto" w:fill="CCEEFF"/>
          </w:tcPr>
          <w:p>
            <w:pPr>
              <w:jc w:val="right"/>
              <w:ind w:right="9"/>
              <w:spacing w:after="0" w:line="154" w:lineRule="exact"/>
              <w:rPr>
                <w:sz w:val="20"/>
                <w:szCs w:val="20"/>
                <w:color w:val="auto"/>
              </w:rPr>
            </w:pPr>
            <w:r>
              <w:rPr>
                <w:rFonts w:ascii="Arial" w:cs="Arial" w:eastAsia="Arial" w:hAnsi="Arial"/>
                <w:sz w:val="14"/>
                <w:szCs w:val="14"/>
                <w:b w:val="1"/>
                <w:bCs w:val="1"/>
                <w:color w:val="55565A"/>
              </w:rPr>
              <w:t>164</w:t>
            </w:r>
          </w:p>
        </w:tc>
        <w:tc>
          <w:tcPr>
            <w:tcW w:w="720" w:type="dxa"/>
            <w:vAlign w:val="bottom"/>
            <w:shd w:val="clear" w:color="auto" w:fill="CCEEFF"/>
          </w:tcPr>
          <w:p>
            <w:pPr>
              <w:jc w:val="right"/>
              <w:ind w:right="69"/>
              <w:spacing w:after="0" w:line="154" w:lineRule="exact"/>
              <w:rPr>
                <w:sz w:val="20"/>
                <w:szCs w:val="20"/>
                <w:color w:val="auto"/>
              </w:rPr>
            </w:pPr>
            <w:r>
              <w:rPr>
                <w:rFonts w:ascii="Arial" w:cs="Arial" w:eastAsia="Arial" w:hAnsi="Arial"/>
                <w:sz w:val="14"/>
                <w:szCs w:val="14"/>
                <w:color w:val="55565A"/>
              </w:rPr>
              <w:t>155</w:t>
            </w:r>
          </w:p>
        </w:tc>
        <w:tc>
          <w:tcPr>
            <w:tcW w:w="70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5565A"/>
              </w:rPr>
              <w:t>6%</w:t>
            </w:r>
          </w:p>
        </w:tc>
        <w:tc>
          <w:tcPr>
            <w:tcW w:w="840" w:type="dxa"/>
            <w:vAlign w:val="bottom"/>
            <w:shd w:val="clear" w:color="auto" w:fill="CCEEFF"/>
          </w:tcPr>
          <w:p>
            <w:pPr>
              <w:jc w:val="right"/>
              <w:ind w:right="69"/>
              <w:spacing w:after="0" w:line="154" w:lineRule="exact"/>
              <w:rPr>
                <w:sz w:val="20"/>
                <w:szCs w:val="20"/>
                <w:color w:val="auto"/>
              </w:rPr>
            </w:pPr>
            <w:r>
              <w:rPr>
                <w:rFonts w:ascii="Arial" w:cs="Arial" w:eastAsia="Arial" w:hAnsi="Arial"/>
                <w:sz w:val="14"/>
                <w:szCs w:val="14"/>
                <w:color w:val="55565A"/>
              </w:rPr>
              <w:t>7%</w:t>
            </w:r>
          </w:p>
        </w:tc>
        <w:tc>
          <w:tcPr>
            <w:tcW w:w="68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5565A"/>
              </w:rPr>
              <w:t>4%</w:t>
            </w:r>
          </w:p>
        </w:tc>
      </w:tr>
      <w:tr>
        <w:trPr>
          <w:trHeight w:val="160"/>
        </w:trPr>
        <w:tc>
          <w:tcPr>
            <w:tcW w:w="5120" w:type="dxa"/>
            <w:vAlign w:val="bottom"/>
            <w:tcBorders>
              <w:bottom w:val="single" w:sz="8" w:color="88888B"/>
            </w:tcBorders>
          </w:tcPr>
          <w:p>
            <w:pPr>
              <w:ind w:left="160"/>
              <w:spacing w:after="0"/>
              <w:rPr>
                <w:sz w:val="20"/>
                <w:szCs w:val="20"/>
                <w:color w:val="auto"/>
              </w:rPr>
            </w:pPr>
            <w:r>
              <w:rPr>
                <w:rFonts w:ascii="Arial" w:cs="Arial" w:eastAsia="Arial" w:hAnsi="Arial"/>
                <w:sz w:val="14"/>
                <w:szCs w:val="14"/>
                <w:b w:val="1"/>
                <w:bCs w:val="1"/>
                <w:color w:val="55565A"/>
              </w:rPr>
              <w:t>Transactions revenues</w:t>
            </w:r>
          </w:p>
        </w:tc>
        <w:tc>
          <w:tcPr>
            <w:tcW w:w="286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b w:val="1"/>
                <w:bCs w:val="1"/>
                <w:color w:val="55565A"/>
              </w:rPr>
              <w:t>46</w:t>
            </w:r>
          </w:p>
        </w:tc>
        <w:tc>
          <w:tcPr>
            <w:tcW w:w="720" w:type="dxa"/>
            <w:vAlign w:val="bottom"/>
            <w:tcBorders>
              <w:bottom w:val="single" w:sz="8" w:color="88888B"/>
            </w:tcBorders>
          </w:tcPr>
          <w:p>
            <w:pPr>
              <w:jc w:val="right"/>
              <w:ind w:right="69"/>
              <w:spacing w:after="0"/>
              <w:rPr>
                <w:sz w:val="20"/>
                <w:szCs w:val="20"/>
                <w:color w:val="auto"/>
              </w:rPr>
            </w:pPr>
            <w:r>
              <w:rPr>
                <w:rFonts w:ascii="Arial" w:cs="Arial" w:eastAsia="Arial" w:hAnsi="Arial"/>
                <w:sz w:val="14"/>
                <w:szCs w:val="14"/>
                <w:color w:val="55565A"/>
              </w:rPr>
              <w:t>20</w:t>
            </w:r>
          </w:p>
        </w:tc>
        <w:tc>
          <w:tcPr>
            <w:tcW w:w="70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color w:val="55565A"/>
              </w:rPr>
              <w:t>127%</w:t>
            </w:r>
          </w:p>
        </w:tc>
        <w:tc>
          <w:tcPr>
            <w:tcW w:w="840" w:type="dxa"/>
            <w:vAlign w:val="bottom"/>
            <w:tcBorders>
              <w:bottom w:val="single" w:sz="8" w:color="88888B"/>
            </w:tcBorders>
          </w:tcPr>
          <w:p>
            <w:pPr>
              <w:jc w:val="right"/>
              <w:ind w:right="69"/>
              <w:spacing w:after="0"/>
              <w:rPr>
                <w:sz w:val="20"/>
                <w:szCs w:val="20"/>
                <w:color w:val="auto"/>
              </w:rPr>
            </w:pPr>
            <w:r>
              <w:rPr>
                <w:rFonts w:ascii="Arial" w:cs="Arial" w:eastAsia="Arial" w:hAnsi="Arial"/>
                <w:sz w:val="14"/>
                <w:szCs w:val="14"/>
                <w:color w:val="55565A"/>
              </w:rPr>
              <w:t>126%</w:t>
            </w:r>
          </w:p>
        </w:tc>
        <w:tc>
          <w:tcPr>
            <w:tcW w:w="680" w:type="dxa"/>
            <w:vAlign w:val="bottom"/>
            <w:tcBorders>
              <w:bottom w:val="single" w:sz="8" w:color="88888B"/>
            </w:tcBorders>
          </w:tcPr>
          <w:p>
            <w:pPr>
              <w:jc w:val="right"/>
              <w:ind w:right="29"/>
              <w:spacing w:after="0"/>
              <w:rPr>
                <w:sz w:val="20"/>
                <w:szCs w:val="20"/>
                <w:color w:val="auto"/>
              </w:rPr>
            </w:pPr>
            <w:r>
              <w:rPr>
                <w:rFonts w:ascii="Arial" w:cs="Arial" w:eastAsia="Arial" w:hAnsi="Arial"/>
                <w:sz w:val="14"/>
                <w:szCs w:val="14"/>
                <w:color w:val="55565A"/>
              </w:rPr>
              <w:t>110%</w:t>
            </w:r>
          </w:p>
        </w:tc>
      </w:tr>
      <w:tr>
        <w:trPr>
          <w:trHeight w:val="154"/>
        </w:trPr>
        <w:tc>
          <w:tcPr>
            <w:tcW w:w="512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Revenues</w:t>
            </w:r>
          </w:p>
        </w:tc>
        <w:tc>
          <w:tcPr>
            <w:tcW w:w="2860" w:type="dxa"/>
            <w:vAlign w:val="bottom"/>
            <w:shd w:val="clear" w:color="auto" w:fill="CCEEFF"/>
          </w:tcPr>
          <w:p>
            <w:pPr>
              <w:jc w:val="right"/>
              <w:ind w:right="9"/>
              <w:spacing w:after="0" w:line="154" w:lineRule="exact"/>
              <w:rPr>
                <w:sz w:val="20"/>
                <w:szCs w:val="20"/>
                <w:color w:val="auto"/>
              </w:rPr>
            </w:pPr>
            <w:r>
              <w:rPr>
                <w:rFonts w:ascii="Arial" w:cs="Arial" w:eastAsia="Arial" w:hAnsi="Arial"/>
                <w:sz w:val="14"/>
                <w:szCs w:val="14"/>
                <w:b w:val="1"/>
                <w:bCs w:val="1"/>
                <w:color w:val="55565A"/>
              </w:rPr>
              <w:t>210</w:t>
            </w:r>
          </w:p>
        </w:tc>
        <w:tc>
          <w:tcPr>
            <w:tcW w:w="720" w:type="dxa"/>
            <w:vAlign w:val="bottom"/>
            <w:shd w:val="clear" w:color="auto" w:fill="CCEEFF"/>
          </w:tcPr>
          <w:p>
            <w:pPr>
              <w:jc w:val="right"/>
              <w:ind w:right="69"/>
              <w:spacing w:after="0" w:line="154" w:lineRule="exact"/>
              <w:rPr>
                <w:sz w:val="20"/>
                <w:szCs w:val="20"/>
                <w:color w:val="auto"/>
              </w:rPr>
            </w:pPr>
            <w:r>
              <w:rPr>
                <w:rFonts w:ascii="Arial" w:cs="Arial" w:eastAsia="Arial" w:hAnsi="Arial"/>
                <w:sz w:val="14"/>
                <w:szCs w:val="14"/>
                <w:color w:val="55565A"/>
              </w:rPr>
              <w:t>175</w:t>
            </w:r>
          </w:p>
        </w:tc>
        <w:tc>
          <w:tcPr>
            <w:tcW w:w="70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5565A"/>
              </w:rPr>
              <w:t>20%</w:t>
            </w:r>
          </w:p>
        </w:tc>
        <w:tc>
          <w:tcPr>
            <w:tcW w:w="840" w:type="dxa"/>
            <w:vAlign w:val="bottom"/>
            <w:shd w:val="clear" w:color="auto" w:fill="CCEEFF"/>
          </w:tcPr>
          <w:p>
            <w:pPr>
              <w:jc w:val="right"/>
              <w:ind w:right="69"/>
              <w:spacing w:after="0" w:line="154" w:lineRule="exact"/>
              <w:rPr>
                <w:sz w:val="20"/>
                <w:szCs w:val="20"/>
                <w:color w:val="auto"/>
              </w:rPr>
            </w:pPr>
            <w:r>
              <w:rPr>
                <w:rFonts w:ascii="Arial" w:cs="Arial" w:eastAsia="Arial" w:hAnsi="Arial"/>
                <w:sz w:val="14"/>
                <w:szCs w:val="14"/>
                <w:color w:val="55565A"/>
              </w:rPr>
              <w:t>21%</w:t>
            </w:r>
          </w:p>
        </w:tc>
        <w:tc>
          <w:tcPr>
            <w:tcW w:w="68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5565A"/>
              </w:rPr>
              <w:t>17%</w:t>
            </w:r>
          </w:p>
        </w:tc>
      </w:tr>
      <w:tr>
        <w:trPr>
          <w:trHeight w:val="160"/>
        </w:trPr>
        <w:tc>
          <w:tcPr>
            <w:tcW w:w="5120" w:type="dxa"/>
            <w:vAlign w:val="bottom"/>
          </w:tcPr>
          <w:p>
            <w:pPr>
              <w:spacing w:after="0"/>
              <w:rPr>
                <w:sz w:val="20"/>
                <w:szCs w:val="20"/>
                <w:color w:val="auto"/>
              </w:rPr>
            </w:pPr>
            <w:r>
              <w:rPr>
                <w:rFonts w:ascii="Arial" w:cs="Arial" w:eastAsia="Arial" w:hAnsi="Arial"/>
                <w:sz w:val="14"/>
                <w:szCs w:val="14"/>
                <w:b w:val="1"/>
                <w:bCs w:val="1"/>
                <w:color w:val="55565A"/>
              </w:rPr>
              <w:t>Segment adjusted EBITDA</w:t>
            </w:r>
          </w:p>
        </w:tc>
        <w:tc>
          <w:tcPr>
            <w:tcW w:w="2860" w:type="dxa"/>
            <w:vAlign w:val="bottom"/>
          </w:tcPr>
          <w:p>
            <w:pPr>
              <w:jc w:val="right"/>
              <w:ind w:right="9"/>
              <w:spacing w:after="0"/>
              <w:rPr>
                <w:sz w:val="20"/>
                <w:szCs w:val="20"/>
                <w:color w:val="auto"/>
              </w:rPr>
            </w:pPr>
            <w:r>
              <w:rPr>
                <w:rFonts w:ascii="Arial" w:cs="Arial" w:eastAsia="Arial" w:hAnsi="Arial"/>
                <w:sz w:val="14"/>
                <w:szCs w:val="14"/>
                <w:b w:val="1"/>
                <w:bCs w:val="1"/>
                <w:color w:val="55565A"/>
              </w:rPr>
              <w:t>60</w:t>
            </w:r>
          </w:p>
        </w:tc>
        <w:tc>
          <w:tcPr>
            <w:tcW w:w="720" w:type="dxa"/>
            <w:vAlign w:val="bottom"/>
          </w:tcPr>
          <w:p>
            <w:pPr>
              <w:jc w:val="right"/>
              <w:ind w:right="69"/>
              <w:spacing w:after="0"/>
              <w:rPr>
                <w:sz w:val="20"/>
                <w:szCs w:val="20"/>
                <w:color w:val="auto"/>
              </w:rPr>
            </w:pPr>
            <w:r>
              <w:rPr>
                <w:rFonts w:ascii="Arial" w:cs="Arial" w:eastAsia="Arial" w:hAnsi="Arial"/>
                <w:sz w:val="14"/>
                <w:szCs w:val="14"/>
                <w:color w:val="55565A"/>
              </w:rPr>
              <w:t>29</w:t>
            </w:r>
          </w:p>
        </w:tc>
        <w:tc>
          <w:tcPr>
            <w:tcW w:w="700" w:type="dxa"/>
            <w:vAlign w:val="bottom"/>
          </w:tcPr>
          <w:p>
            <w:pPr>
              <w:jc w:val="right"/>
              <w:ind w:right="49"/>
              <w:spacing w:after="0"/>
              <w:rPr>
                <w:sz w:val="20"/>
                <w:szCs w:val="20"/>
                <w:color w:val="auto"/>
              </w:rPr>
            </w:pPr>
            <w:r>
              <w:rPr>
                <w:rFonts w:ascii="Arial" w:cs="Arial" w:eastAsia="Arial" w:hAnsi="Arial"/>
                <w:sz w:val="14"/>
                <w:szCs w:val="14"/>
                <w:color w:val="55565A"/>
              </w:rPr>
              <w:t>105%</w:t>
            </w:r>
          </w:p>
        </w:tc>
        <w:tc>
          <w:tcPr>
            <w:tcW w:w="840" w:type="dxa"/>
            <w:vAlign w:val="bottom"/>
          </w:tcPr>
          <w:p>
            <w:pPr>
              <w:jc w:val="right"/>
              <w:ind w:right="69"/>
              <w:spacing w:after="0"/>
              <w:rPr>
                <w:sz w:val="20"/>
                <w:szCs w:val="20"/>
                <w:color w:val="auto"/>
              </w:rPr>
            </w:pPr>
            <w:r>
              <w:rPr>
                <w:rFonts w:ascii="Arial" w:cs="Arial" w:eastAsia="Arial" w:hAnsi="Arial"/>
                <w:sz w:val="14"/>
                <w:szCs w:val="14"/>
                <w:color w:val="55565A"/>
              </w:rPr>
              <w:t>109%</w:t>
            </w:r>
          </w:p>
        </w:tc>
        <w:tc>
          <w:tcPr>
            <w:tcW w:w="680" w:type="dxa"/>
            <w:vAlign w:val="bottom"/>
          </w:tcPr>
          <w:p>
            <w:pPr>
              <w:spacing w:after="0"/>
              <w:rPr>
                <w:sz w:val="13"/>
                <w:szCs w:val="13"/>
                <w:color w:val="auto"/>
              </w:rPr>
            </w:pPr>
          </w:p>
        </w:tc>
      </w:tr>
      <w:tr>
        <w:trPr>
          <w:trHeight w:val="160"/>
        </w:trPr>
        <w:tc>
          <w:tcPr>
            <w:tcW w:w="512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Segment adjusted EBITDA margin</w:t>
            </w:r>
          </w:p>
        </w:tc>
        <w:tc>
          <w:tcPr>
            <w:tcW w:w="286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28.3%</w:t>
            </w:r>
          </w:p>
        </w:tc>
        <w:tc>
          <w:tcPr>
            <w:tcW w:w="720" w:type="dxa"/>
            <w:vAlign w:val="bottom"/>
            <w:tcBorders>
              <w:bottom w:val="single" w:sz="8" w:color="88888B"/>
            </w:tcBorders>
            <w:shd w:val="clear" w:color="auto" w:fill="CCEEFF"/>
          </w:tcPr>
          <w:p>
            <w:pPr>
              <w:jc w:val="right"/>
              <w:ind w:right="69"/>
              <w:spacing w:after="0"/>
              <w:rPr>
                <w:sz w:val="20"/>
                <w:szCs w:val="20"/>
                <w:color w:val="auto"/>
              </w:rPr>
            </w:pPr>
            <w:r>
              <w:rPr>
                <w:rFonts w:ascii="Arial" w:cs="Arial" w:eastAsia="Arial" w:hAnsi="Arial"/>
                <w:sz w:val="14"/>
                <w:szCs w:val="14"/>
                <w:color w:val="55565A"/>
              </w:rPr>
              <w:t>16.6%</w:t>
            </w:r>
          </w:p>
        </w:tc>
        <w:tc>
          <w:tcPr>
            <w:tcW w:w="70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color w:val="55565A"/>
              </w:rPr>
              <w:t>1170bp</w:t>
            </w:r>
          </w:p>
        </w:tc>
        <w:tc>
          <w:tcPr>
            <w:tcW w:w="840" w:type="dxa"/>
            <w:vAlign w:val="bottom"/>
            <w:tcBorders>
              <w:bottom w:val="single" w:sz="8" w:color="88888B"/>
            </w:tcBorders>
            <w:shd w:val="clear" w:color="auto" w:fill="CCEEFF"/>
          </w:tcPr>
          <w:p>
            <w:pPr>
              <w:jc w:val="right"/>
              <w:ind w:right="69"/>
              <w:spacing w:after="0"/>
              <w:rPr>
                <w:sz w:val="20"/>
                <w:szCs w:val="20"/>
                <w:color w:val="auto"/>
              </w:rPr>
            </w:pPr>
            <w:r>
              <w:rPr>
                <w:rFonts w:ascii="Arial" w:cs="Arial" w:eastAsia="Arial" w:hAnsi="Arial"/>
                <w:sz w:val="14"/>
                <w:szCs w:val="14"/>
                <w:color w:val="55565A"/>
              </w:rPr>
              <w:t>1190bp</w:t>
            </w:r>
          </w:p>
        </w:tc>
        <w:tc>
          <w:tcPr>
            <w:tcW w:w="680" w:type="dxa"/>
            <w:vAlign w:val="bottom"/>
            <w:tcBorders>
              <w:bottom w:val="single" w:sz="8" w:color="88888B"/>
            </w:tcBorders>
            <w:shd w:val="clear" w:color="auto" w:fill="CCEEFF"/>
          </w:tcPr>
          <w:p>
            <w:pPr>
              <w:spacing w:after="0"/>
              <w:rPr>
                <w:sz w:val="13"/>
                <w:szCs w:val="13"/>
                <w:color w:val="auto"/>
              </w:rPr>
            </w:pPr>
          </w:p>
        </w:tc>
      </w:tr>
    </w:tbl>
    <w:p>
      <w:pPr>
        <w:spacing w:after="0" w:line="93"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55565A"/>
        </w:rPr>
        <w:t>Revenues increased in total, in constant currency and on an organic basis driven primarily by generative AI related content licensing revenue that was largely transactional. Excluding the content licensing revenue, revenues grew 3%, primarily from the news agreement with LSEG, described below.</w:t>
      </w:r>
    </w:p>
    <w:p>
      <w:pPr>
        <w:spacing w:after="0" w:line="54"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55565A"/>
        </w:rPr>
        <w:t>Reuters News and LSEG’s Data &amp; Analytics business have an agreement pursuant to which Reuters News supplies news and editorial content to LSEG through October 1, 2048. In the first quarter of 2024, Reuters News recorded revenues of $96 million under this agreement, compared to $92 million in the prior-year period.</w:t>
      </w:r>
    </w:p>
    <w:p>
      <w:pPr>
        <w:spacing w:after="0" w:line="66" w:lineRule="exact"/>
        <w:rPr>
          <w:sz w:val="20"/>
          <w:szCs w:val="20"/>
          <w:color w:val="auto"/>
        </w:rPr>
      </w:pPr>
    </w:p>
    <w:p>
      <w:pPr>
        <w:ind w:left="160" w:right="160"/>
        <w:spacing w:after="0" w:line="279" w:lineRule="auto"/>
        <w:rPr>
          <w:sz w:val="20"/>
          <w:szCs w:val="20"/>
          <w:color w:val="auto"/>
        </w:rPr>
      </w:pPr>
      <w:r>
        <w:rPr>
          <w:rFonts w:ascii="Arial" w:cs="Arial" w:eastAsia="Arial" w:hAnsi="Arial"/>
          <w:sz w:val="16"/>
          <w:szCs w:val="16"/>
          <w:color w:val="55565A"/>
        </w:rPr>
        <w:t>Segment adjusted EBITDA and the related margin increased primarily due to higher revenues. Foreign currency negatively impacted the year-over-year change in segment adjusted EBITDA margin by 20bp.</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Global Print</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5160" w:type="dxa"/>
            <w:vAlign w:val="bottom"/>
            <w:tcBorders>
              <w:top w:val="single" w:sz="8" w:color="88888B"/>
            </w:tcBorders>
          </w:tcPr>
          <w:p>
            <w:pPr>
              <w:spacing w:after="0"/>
              <w:rPr>
                <w:sz w:val="18"/>
                <w:szCs w:val="18"/>
                <w:color w:val="auto"/>
              </w:rPr>
            </w:pPr>
          </w:p>
        </w:tc>
        <w:tc>
          <w:tcPr>
            <w:tcW w:w="2860" w:type="dxa"/>
            <w:vAlign w:val="bottom"/>
            <w:tcBorders>
              <w:top w:val="single" w:sz="8" w:color="88888B"/>
            </w:tcBorders>
          </w:tcPr>
          <w:p>
            <w:pPr>
              <w:spacing w:after="0"/>
              <w:rPr>
                <w:sz w:val="18"/>
                <w:szCs w:val="18"/>
                <w:color w:val="auto"/>
              </w:rPr>
            </w:pPr>
          </w:p>
        </w:tc>
        <w:tc>
          <w:tcPr>
            <w:tcW w:w="2240" w:type="dxa"/>
            <w:vAlign w:val="bottom"/>
            <w:tcBorders>
              <w:top w:val="single" w:sz="8" w:color="88888B"/>
            </w:tcBorders>
            <w:gridSpan w:val="3"/>
          </w:tcPr>
          <w:p>
            <w:pPr>
              <w:jc w:val="right"/>
              <w:spacing w:after="0"/>
              <w:rPr>
                <w:sz w:val="20"/>
                <w:szCs w:val="20"/>
                <w:color w:val="auto"/>
              </w:rPr>
            </w:pPr>
            <w:r>
              <w:rPr>
                <w:rFonts w:ascii="Arial" w:cs="Arial" w:eastAsia="Arial" w:hAnsi="Arial"/>
                <w:sz w:val="14"/>
                <w:szCs w:val="14"/>
                <w:b w:val="1"/>
                <w:bCs w:val="1"/>
                <w:color w:val="55565A"/>
              </w:rPr>
              <w:t>Three months ended March 31,</w:t>
            </w:r>
          </w:p>
        </w:tc>
        <w:tc>
          <w:tcPr>
            <w:tcW w:w="660" w:type="dxa"/>
            <w:vAlign w:val="bottom"/>
            <w:tcBorders>
              <w:top w:val="single" w:sz="8" w:color="88888B"/>
            </w:tcBorders>
          </w:tcPr>
          <w:p>
            <w:pPr>
              <w:spacing w:after="0"/>
              <w:rPr>
                <w:sz w:val="18"/>
                <w:szCs w:val="18"/>
                <w:color w:val="auto"/>
              </w:rPr>
            </w:pPr>
          </w:p>
        </w:tc>
      </w:tr>
      <w:tr>
        <w:trPr>
          <w:trHeight w:val="221"/>
        </w:trPr>
        <w:tc>
          <w:tcPr>
            <w:tcW w:w="5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55565A"/>
              </w:rPr>
              <w:t>Change</w:t>
            </w:r>
          </w:p>
        </w:tc>
        <w:tc>
          <w:tcPr>
            <w:tcW w:w="660" w:type="dxa"/>
            <w:vAlign w:val="bottom"/>
          </w:tcPr>
          <w:p>
            <w:pPr>
              <w:spacing w:after="0"/>
              <w:rPr>
                <w:sz w:val="19"/>
                <w:szCs w:val="19"/>
                <w:color w:val="auto"/>
              </w:rPr>
            </w:pPr>
          </w:p>
        </w:tc>
      </w:tr>
      <w:tr>
        <w:trPr>
          <w:trHeight w:val="212"/>
        </w:trPr>
        <w:tc>
          <w:tcPr>
            <w:tcW w:w="5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55565A"/>
              </w:rPr>
              <w:t>Constant</w:t>
            </w:r>
          </w:p>
        </w:tc>
        <w:tc>
          <w:tcPr>
            <w:tcW w:w="660" w:type="dxa"/>
            <w:vAlign w:val="bottom"/>
          </w:tcPr>
          <w:p>
            <w:pPr>
              <w:spacing w:after="0"/>
              <w:rPr>
                <w:sz w:val="18"/>
                <w:szCs w:val="18"/>
                <w:color w:val="auto"/>
              </w:rPr>
            </w:pPr>
          </w:p>
        </w:tc>
      </w:tr>
      <w:tr>
        <w:trPr>
          <w:trHeight w:val="195"/>
        </w:trPr>
        <w:tc>
          <w:tcPr>
            <w:tcW w:w="5160" w:type="dxa"/>
            <w:vAlign w:val="bottom"/>
          </w:tcPr>
          <w:p>
            <w:pPr>
              <w:spacing w:after="0"/>
              <w:rPr>
                <w:sz w:val="20"/>
                <w:szCs w:val="20"/>
                <w:color w:val="auto"/>
              </w:rPr>
            </w:pPr>
            <w:r>
              <w:rPr>
                <w:rFonts w:ascii="Arial" w:cs="Arial" w:eastAsia="Arial" w:hAnsi="Arial"/>
                <w:sz w:val="14"/>
                <w:szCs w:val="14"/>
                <w:b w:val="1"/>
                <w:bCs w:val="1"/>
                <w:color w:val="55565A"/>
              </w:rPr>
              <w:t>(millions of U.S. dollars, except margins)</w:t>
            </w:r>
          </w:p>
        </w:tc>
        <w:tc>
          <w:tcPr>
            <w:tcW w:w="2860" w:type="dxa"/>
            <w:vAlign w:val="bottom"/>
          </w:tcPr>
          <w:p>
            <w:pPr>
              <w:jc w:val="right"/>
              <w:spacing w:after="0"/>
              <w:rPr>
                <w:sz w:val="20"/>
                <w:szCs w:val="20"/>
                <w:color w:val="auto"/>
              </w:rPr>
            </w:pPr>
            <w:r>
              <w:rPr>
                <w:rFonts w:ascii="Arial" w:cs="Arial" w:eastAsia="Arial" w:hAnsi="Arial"/>
                <w:sz w:val="14"/>
                <w:szCs w:val="14"/>
                <w:b w:val="1"/>
                <w:bCs w:val="1"/>
                <w:color w:val="55565A"/>
              </w:rPr>
              <w:t>2024</w:t>
            </w:r>
          </w:p>
        </w:tc>
        <w:tc>
          <w:tcPr>
            <w:tcW w:w="720" w:type="dxa"/>
            <w:vAlign w:val="bottom"/>
          </w:tcPr>
          <w:p>
            <w:pPr>
              <w:jc w:val="right"/>
              <w:ind w:right="49"/>
              <w:spacing w:after="0"/>
              <w:rPr>
                <w:sz w:val="20"/>
                <w:szCs w:val="20"/>
                <w:color w:val="auto"/>
              </w:rPr>
            </w:pPr>
            <w:r>
              <w:rPr>
                <w:rFonts w:ascii="Arial" w:cs="Arial" w:eastAsia="Arial" w:hAnsi="Arial"/>
                <w:sz w:val="14"/>
                <w:szCs w:val="14"/>
                <w:color w:val="55565A"/>
              </w:rPr>
              <w:t>2023</w:t>
            </w:r>
          </w:p>
        </w:tc>
        <w:tc>
          <w:tcPr>
            <w:tcW w:w="640" w:type="dxa"/>
            <w:vAlign w:val="bottom"/>
          </w:tcPr>
          <w:p>
            <w:pPr>
              <w:jc w:val="right"/>
              <w:ind w:right="29"/>
              <w:spacing w:after="0"/>
              <w:rPr>
                <w:sz w:val="20"/>
                <w:szCs w:val="20"/>
                <w:color w:val="auto"/>
              </w:rPr>
            </w:pPr>
            <w:r>
              <w:rPr>
                <w:rFonts w:ascii="Arial" w:cs="Arial" w:eastAsia="Arial" w:hAnsi="Arial"/>
                <w:sz w:val="14"/>
                <w:szCs w:val="14"/>
                <w:color w:val="55565A"/>
              </w:rPr>
              <w:t>Total</w:t>
            </w:r>
          </w:p>
        </w:tc>
        <w:tc>
          <w:tcPr>
            <w:tcW w:w="880" w:type="dxa"/>
            <w:vAlign w:val="bottom"/>
          </w:tcPr>
          <w:p>
            <w:pPr>
              <w:jc w:val="right"/>
              <w:ind w:right="109"/>
              <w:spacing w:after="0"/>
              <w:rPr>
                <w:sz w:val="20"/>
                <w:szCs w:val="20"/>
                <w:color w:val="auto"/>
              </w:rPr>
            </w:pPr>
            <w:r>
              <w:rPr>
                <w:rFonts w:ascii="Arial" w:cs="Arial" w:eastAsia="Arial" w:hAnsi="Arial"/>
                <w:sz w:val="14"/>
                <w:szCs w:val="14"/>
                <w:color w:val="55565A"/>
              </w:rPr>
              <w:t>Currency</w:t>
            </w:r>
          </w:p>
        </w:tc>
        <w:tc>
          <w:tcPr>
            <w:tcW w:w="660" w:type="dxa"/>
            <w:vAlign w:val="bottom"/>
          </w:tcPr>
          <w:p>
            <w:pPr>
              <w:jc w:val="right"/>
              <w:ind w:right="29"/>
              <w:spacing w:after="0"/>
              <w:rPr>
                <w:sz w:val="20"/>
                <w:szCs w:val="20"/>
                <w:color w:val="auto"/>
              </w:rPr>
            </w:pPr>
            <w:r>
              <w:rPr>
                <w:rFonts w:ascii="Arial" w:cs="Arial" w:eastAsia="Arial" w:hAnsi="Arial"/>
                <w:sz w:val="14"/>
                <w:szCs w:val="14"/>
                <w:color w:val="55565A"/>
              </w:rPr>
              <w:t>Organic</w:t>
            </w:r>
          </w:p>
        </w:tc>
      </w:tr>
      <w:tr>
        <w:trPr>
          <w:trHeight w:val="28"/>
        </w:trPr>
        <w:tc>
          <w:tcPr>
            <w:tcW w:w="5160" w:type="dxa"/>
            <w:vAlign w:val="bottom"/>
            <w:tcBorders>
              <w:bottom w:val="single" w:sz="8" w:color="88888B"/>
            </w:tcBorders>
          </w:tcPr>
          <w:p>
            <w:pPr>
              <w:spacing w:after="0"/>
              <w:rPr>
                <w:sz w:val="2"/>
                <w:szCs w:val="2"/>
                <w:color w:val="auto"/>
              </w:rPr>
            </w:pPr>
          </w:p>
        </w:tc>
        <w:tc>
          <w:tcPr>
            <w:tcW w:w="2860" w:type="dxa"/>
            <w:vAlign w:val="bottom"/>
            <w:tcBorders>
              <w:bottom w:val="single" w:sz="8" w:color="88888B"/>
            </w:tcBorders>
          </w:tcPr>
          <w:p>
            <w:pPr>
              <w:spacing w:after="0"/>
              <w:rPr>
                <w:sz w:val="2"/>
                <w:szCs w:val="2"/>
                <w:color w:val="auto"/>
              </w:rPr>
            </w:pPr>
          </w:p>
        </w:tc>
        <w:tc>
          <w:tcPr>
            <w:tcW w:w="720" w:type="dxa"/>
            <w:vAlign w:val="bottom"/>
            <w:tcBorders>
              <w:bottom w:val="single" w:sz="8" w:color="88888B"/>
            </w:tcBorders>
          </w:tcPr>
          <w:p>
            <w:pPr>
              <w:spacing w:after="0"/>
              <w:rPr>
                <w:sz w:val="2"/>
                <w:szCs w:val="2"/>
                <w:color w:val="auto"/>
              </w:rPr>
            </w:pPr>
          </w:p>
        </w:tc>
        <w:tc>
          <w:tcPr>
            <w:tcW w:w="640" w:type="dxa"/>
            <w:vAlign w:val="bottom"/>
            <w:tcBorders>
              <w:bottom w:val="single" w:sz="8" w:color="88888B"/>
            </w:tcBorders>
          </w:tcPr>
          <w:p>
            <w:pPr>
              <w:spacing w:after="0"/>
              <w:rPr>
                <w:sz w:val="2"/>
                <w:szCs w:val="2"/>
                <w:color w:val="auto"/>
              </w:rPr>
            </w:pPr>
          </w:p>
        </w:tc>
        <w:tc>
          <w:tcPr>
            <w:tcW w:w="880" w:type="dxa"/>
            <w:vAlign w:val="bottom"/>
            <w:tcBorders>
              <w:bottom w:val="single" w:sz="8" w:color="88888B"/>
            </w:tcBorders>
          </w:tcPr>
          <w:p>
            <w:pPr>
              <w:spacing w:after="0"/>
              <w:rPr>
                <w:sz w:val="2"/>
                <w:szCs w:val="2"/>
                <w:color w:val="auto"/>
              </w:rPr>
            </w:pPr>
          </w:p>
        </w:tc>
        <w:tc>
          <w:tcPr>
            <w:tcW w:w="660" w:type="dxa"/>
            <w:vAlign w:val="bottom"/>
            <w:tcBorders>
              <w:bottom w:val="single" w:sz="8" w:color="88888B"/>
            </w:tcBorders>
          </w:tcPr>
          <w:p>
            <w:pPr>
              <w:spacing w:after="0"/>
              <w:rPr>
                <w:sz w:val="2"/>
                <w:szCs w:val="2"/>
                <w:color w:val="auto"/>
              </w:rPr>
            </w:pPr>
          </w:p>
        </w:tc>
      </w:tr>
      <w:tr>
        <w:trPr>
          <w:trHeight w:val="154"/>
        </w:trPr>
        <w:tc>
          <w:tcPr>
            <w:tcW w:w="516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Revenues</w:t>
            </w:r>
          </w:p>
        </w:tc>
        <w:tc>
          <w:tcPr>
            <w:tcW w:w="286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b w:val="1"/>
                <w:bCs w:val="1"/>
                <w:color w:val="55565A"/>
              </w:rPr>
              <w:t>124</w:t>
            </w:r>
          </w:p>
        </w:tc>
        <w:tc>
          <w:tcPr>
            <w:tcW w:w="72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5565A"/>
              </w:rPr>
              <w:t>138</w:t>
            </w:r>
          </w:p>
        </w:tc>
        <w:tc>
          <w:tcPr>
            <w:tcW w:w="64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5565A"/>
              </w:rPr>
              <w:t>(10%)</w:t>
            </w:r>
          </w:p>
        </w:tc>
        <w:tc>
          <w:tcPr>
            <w:tcW w:w="88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5565A"/>
              </w:rPr>
              <w:t>(10%)</w:t>
            </w:r>
          </w:p>
        </w:tc>
        <w:tc>
          <w:tcPr>
            <w:tcW w:w="66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5565A"/>
              </w:rPr>
              <w:t>(10%)</w:t>
            </w:r>
          </w:p>
        </w:tc>
      </w:tr>
      <w:tr>
        <w:trPr>
          <w:trHeight w:val="160"/>
        </w:trPr>
        <w:tc>
          <w:tcPr>
            <w:tcW w:w="5160" w:type="dxa"/>
            <w:vAlign w:val="bottom"/>
          </w:tcPr>
          <w:p>
            <w:pPr>
              <w:spacing w:after="0"/>
              <w:rPr>
                <w:sz w:val="20"/>
                <w:szCs w:val="20"/>
                <w:color w:val="auto"/>
              </w:rPr>
            </w:pPr>
            <w:r>
              <w:rPr>
                <w:rFonts w:ascii="Arial" w:cs="Arial" w:eastAsia="Arial" w:hAnsi="Arial"/>
                <w:sz w:val="14"/>
                <w:szCs w:val="14"/>
                <w:b w:val="1"/>
                <w:bCs w:val="1"/>
                <w:color w:val="55565A"/>
              </w:rPr>
              <w:t>Segment adjusted EBITDA</w:t>
            </w:r>
          </w:p>
        </w:tc>
        <w:tc>
          <w:tcPr>
            <w:tcW w:w="2860" w:type="dxa"/>
            <w:vAlign w:val="bottom"/>
          </w:tcPr>
          <w:p>
            <w:pPr>
              <w:jc w:val="right"/>
              <w:spacing w:after="0"/>
              <w:rPr>
                <w:sz w:val="20"/>
                <w:szCs w:val="20"/>
                <w:color w:val="auto"/>
              </w:rPr>
            </w:pPr>
            <w:r>
              <w:rPr>
                <w:rFonts w:ascii="Arial" w:cs="Arial" w:eastAsia="Arial" w:hAnsi="Arial"/>
                <w:sz w:val="14"/>
                <w:szCs w:val="14"/>
                <w:b w:val="1"/>
                <w:bCs w:val="1"/>
                <w:color w:val="55565A"/>
              </w:rPr>
              <w:t>47</w:t>
            </w:r>
          </w:p>
        </w:tc>
        <w:tc>
          <w:tcPr>
            <w:tcW w:w="720" w:type="dxa"/>
            <w:vAlign w:val="bottom"/>
          </w:tcPr>
          <w:p>
            <w:pPr>
              <w:jc w:val="right"/>
              <w:ind w:right="49"/>
              <w:spacing w:after="0"/>
              <w:rPr>
                <w:sz w:val="20"/>
                <w:szCs w:val="20"/>
                <w:color w:val="auto"/>
              </w:rPr>
            </w:pPr>
            <w:r>
              <w:rPr>
                <w:rFonts w:ascii="Arial" w:cs="Arial" w:eastAsia="Arial" w:hAnsi="Arial"/>
                <w:sz w:val="14"/>
                <w:szCs w:val="14"/>
                <w:color w:val="55565A"/>
              </w:rPr>
              <w:t>50</w:t>
            </w:r>
          </w:p>
        </w:tc>
        <w:tc>
          <w:tcPr>
            <w:tcW w:w="640" w:type="dxa"/>
            <w:vAlign w:val="bottom"/>
          </w:tcPr>
          <w:p>
            <w:pPr>
              <w:jc w:val="right"/>
              <w:ind w:right="29"/>
              <w:spacing w:after="0"/>
              <w:rPr>
                <w:sz w:val="20"/>
                <w:szCs w:val="20"/>
                <w:color w:val="auto"/>
              </w:rPr>
            </w:pPr>
            <w:r>
              <w:rPr>
                <w:rFonts w:ascii="Arial" w:cs="Arial" w:eastAsia="Arial" w:hAnsi="Arial"/>
                <w:sz w:val="14"/>
                <w:szCs w:val="14"/>
                <w:color w:val="55565A"/>
              </w:rPr>
              <w:t>(6%)</w:t>
            </w:r>
          </w:p>
        </w:tc>
        <w:tc>
          <w:tcPr>
            <w:tcW w:w="880" w:type="dxa"/>
            <w:vAlign w:val="bottom"/>
          </w:tcPr>
          <w:p>
            <w:pPr>
              <w:jc w:val="right"/>
              <w:ind w:right="109"/>
              <w:spacing w:after="0"/>
              <w:rPr>
                <w:sz w:val="20"/>
                <w:szCs w:val="20"/>
                <w:color w:val="auto"/>
              </w:rPr>
            </w:pPr>
            <w:r>
              <w:rPr>
                <w:rFonts w:ascii="Arial" w:cs="Arial" w:eastAsia="Arial" w:hAnsi="Arial"/>
                <w:sz w:val="14"/>
                <w:szCs w:val="14"/>
                <w:color w:val="55565A"/>
              </w:rPr>
              <w:t>(7%)</w:t>
            </w:r>
          </w:p>
        </w:tc>
        <w:tc>
          <w:tcPr>
            <w:tcW w:w="660" w:type="dxa"/>
            <w:vAlign w:val="bottom"/>
          </w:tcPr>
          <w:p>
            <w:pPr>
              <w:spacing w:after="0"/>
              <w:rPr>
                <w:sz w:val="13"/>
                <w:szCs w:val="13"/>
                <w:color w:val="auto"/>
              </w:rPr>
            </w:pPr>
          </w:p>
        </w:tc>
      </w:tr>
      <w:tr>
        <w:trPr>
          <w:trHeight w:val="160"/>
        </w:trPr>
        <w:tc>
          <w:tcPr>
            <w:tcW w:w="516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Segment adjusted EBITDA margin</w:t>
            </w:r>
          </w:p>
        </w:tc>
        <w:tc>
          <w:tcPr>
            <w:tcW w:w="286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4"/>
                <w:szCs w:val="14"/>
                <w:b w:val="1"/>
                <w:bCs w:val="1"/>
                <w:color w:val="55565A"/>
              </w:rPr>
              <w:t>38.2%</w:t>
            </w:r>
          </w:p>
        </w:tc>
        <w:tc>
          <w:tcPr>
            <w:tcW w:w="72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color w:val="55565A"/>
              </w:rPr>
              <w:t>36.5%</w:t>
            </w:r>
          </w:p>
        </w:tc>
        <w:tc>
          <w:tcPr>
            <w:tcW w:w="640" w:type="dxa"/>
            <w:vAlign w:val="bottom"/>
            <w:tcBorders>
              <w:bottom w:val="single" w:sz="8" w:color="88888B"/>
            </w:tcBorders>
            <w:shd w:val="clear" w:color="auto" w:fill="CCEEFF"/>
          </w:tcPr>
          <w:p>
            <w:pPr>
              <w:jc w:val="right"/>
              <w:ind w:right="29"/>
              <w:spacing w:after="0"/>
              <w:rPr>
                <w:sz w:val="20"/>
                <w:szCs w:val="20"/>
                <w:color w:val="auto"/>
              </w:rPr>
            </w:pPr>
            <w:r>
              <w:rPr>
                <w:rFonts w:ascii="Arial" w:cs="Arial" w:eastAsia="Arial" w:hAnsi="Arial"/>
                <w:sz w:val="14"/>
                <w:szCs w:val="14"/>
                <w:color w:val="55565A"/>
              </w:rPr>
              <w:t>170bp</w:t>
            </w:r>
          </w:p>
        </w:tc>
        <w:tc>
          <w:tcPr>
            <w:tcW w:w="88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color w:val="55565A"/>
              </w:rPr>
              <w:t>130bp</w:t>
            </w:r>
          </w:p>
        </w:tc>
        <w:tc>
          <w:tcPr>
            <w:tcW w:w="660" w:type="dxa"/>
            <w:vAlign w:val="bottom"/>
            <w:tcBorders>
              <w:bottom w:val="single" w:sz="8" w:color="88888B"/>
            </w:tcBorders>
            <w:shd w:val="clear" w:color="auto" w:fill="CCEEFF"/>
          </w:tcPr>
          <w:p>
            <w:pPr>
              <w:spacing w:after="0"/>
              <w:rPr>
                <w:sz w:val="13"/>
                <w:szCs w:val="13"/>
                <w:color w:val="auto"/>
              </w:rPr>
            </w:pPr>
          </w:p>
        </w:tc>
      </w:tr>
    </w:tbl>
    <w:p>
      <w:pPr>
        <w:spacing w:after="0" w:line="93" w:lineRule="exact"/>
        <w:rPr>
          <w:sz w:val="20"/>
          <w:szCs w:val="20"/>
          <w:color w:val="auto"/>
        </w:rPr>
      </w:pPr>
    </w:p>
    <w:p>
      <w:pPr>
        <w:jc w:val="both"/>
        <w:ind w:left="160" w:right="40"/>
        <w:spacing w:after="0" w:line="262" w:lineRule="auto"/>
        <w:rPr>
          <w:sz w:val="20"/>
          <w:szCs w:val="20"/>
          <w:color w:val="auto"/>
        </w:rPr>
      </w:pPr>
      <w:r>
        <w:rPr>
          <w:rFonts w:ascii="Arial" w:cs="Arial" w:eastAsia="Arial" w:hAnsi="Arial"/>
          <w:sz w:val="16"/>
          <w:szCs w:val="16"/>
          <w:color w:val="55565A"/>
        </w:rPr>
        <w:t>Revenues decreased in total, in constant currency, and on an organic basis, in line with our expectations. The revenue decline included the impact of the transfer of $4 million of revenues from the Global Print segment to the Legal Professionals segment due to the migration of customers from a Global Print product to Westlaw. Global Print revenues declined 6% excluding the impact of the revenue transfer.</w:t>
      </w:r>
    </w:p>
    <w:p>
      <w:pPr>
        <w:spacing w:after="0" w:line="66"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55565A"/>
        </w:rPr>
        <w:t>Segment adjusted EBITDA declined primarily due to lower revenues. The related margin increased as lower expenses more than offset the impact from lower revenues. Foreign currency benefited the year-over-year change in segment adjusted EBITDA margin by 40bp.</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Corporate costs</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4620" w:type="dxa"/>
            <w:vAlign w:val="bottom"/>
            <w:tcBorders>
              <w:top w:val="single" w:sz="8" w:color="88888B"/>
            </w:tcBorders>
          </w:tcPr>
          <w:p>
            <w:pPr>
              <w:spacing w:after="0"/>
              <w:rPr>
                <w:sz w:val="18"/>
                <w:szCs w:val="18"/>
                <w:color w:val="auto"/>
              </w:rPr>
            </w:pPr>
          </w:p>
        </w:tc>
        <w:tc>
          <w:tcPr>
            <w:tcW w:w="5260" w:type="dxa"/>
            <w:vAlign w:val="bottom"/>
            <w:tcBorders>
              <w:top w:val="single" w:sz="8" w:color="88888B"/>
            </w:tcBorders>
          </w:tcPr>
          <w:p>
            <w:pPr>
              <w:jc w:val="right"/>
              <w:spacing w:after="0"/>
              <w:rPr>
                <w:sz w:val="20"/>
                <w:szCs w:val="20"/>
                <w:color w:val="auto"/>
              </w:rPr>
            </w:pPr>
            <w:r>
              <w:rPr>
                <w:rFonts w:ascii="Arial" w:cs="Arial" w:eastAsia="Arial" w:hAnsi="Arial"/>
                <w:sz w:val="14"/>
                <w:szCs w:val="14"/>
                <w:b w:val="1"/>
                <w:bCs w:val="1"/>
                <w:color w:val="55565A"/>
              </w:rPr>
              <w:t>Three months ended March 31,</w:t>
            </w:r>
          </w:p>
        </w:tc>
        <w:tc>
          <w:tcPr>
            <w:tcW w:w="1040" w:type="dxa"/>
            <w:vAlign w:val="bottom"/>
            <w:tcBorders>
              <w:top w:val="single" w:sz="8" w:color="88888B"/>
            </w:tcBorders>
          </w:tcPr>
          <w:p>
            <w:pPr>
              <w:spacing w:after="0"/>
              <w:rPr>
                <w:sz w:val="18"/>
                <w:szCs w:val="18"/>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4"/>
                <w:szCs w:val="14"/>
                <w:color w:val="55565A"/>
              </w:rPr>
              <w:t>(millions of U.S. dollars)</w:t>
            </w:r>
          </w:p>
        </w:tc>
        <w:tc>
          <w:tcPr>
            <w:tcW w:w="5260" w:type="dxa"/>
            <w:vAlign w:val="bottom"/>
          </w:tcPr>
          <w:p>
            <w:pPr>
              <w:jc w:val="right"/>
              <w:ind w:right="1609"/>
              <w:spacing w:after="0"/>
              <w:rPr>
                <w:sz w:val="20"/>
                <w:szCs w:val="20"/>
                <w:color w:val="auto"/>
              </w:rPr>
            </w:pPr>
            <w:r>
              <w:rPr>
                <w:rFonts w:ascii="Arial" w:cs="Arial" w:eastAsia="Arial" w:hAnsi="Arial"/>
                <w:sz w:val="14"/>
                <w:szCs w:val="14"/>
                <w:b w:val="1"/>
                <w:bCs w:val="1"/>
                <w:color w:val="55565A"/>
              </w:rPr>
              <w:t>2024</w:t>
            </w:r>
          </w:p>
        </w:tc>
        <w:tc>
          <w:tcPr>
            <w:tcW w:w="1040" w:type="dxa"/>
            <w:vAlign w:val="bottom"/>
          </w:tcPr>
          <w:p>
            <w:pPr>
              <w:jc w:val="right"/>
              <w:ind w:right="589"/>
              <w:spacing w:after="0"/>
              <w:rPr>
                <w:sz w:val="20"/>
                <w:szCs w:val="20"/>
                <w:color w:val="auto"/>
              </w:rPr>
            </w:pPr>
            <w:r>
              <w:rPr>
                <w:rFonts w:ascii="Arial" w:cs="Arial" w:eastAsia="Arial" w:hAnsi="Arial"/>
                <w:sz w:val="14"/>
                <w:szCs w:val="14"/>
                <w:color w:val="55565A"/>
              </w:rPr>
              <w:t>2023</w:t>
            </w:r>
          </w:p>
        </w:tc>
      </w:tr>
      <w:tr>
        <w:trPr>
          <w:trHeight w:val="28"/>
        </w:trPr>
        <w:tc>
          <w:tcPr>
            <w:tcW w:w="4620" w:type="dxa"/>
            <w:vAlign w:val="bottom"/>
            <w:tcBorders>
              <w:bottom w:val="single" w:sz="8" w:color="88888B"/>
            </w:tcBorders>
          </w:tcPr>
          <w:p>
            <w:pPr>
              <w:spacing w:after="0"/>
              <w:rPr>
                <w:sz w:val="2"/>
                <w:szCs w:val="2"/>
                <w:color w:val="auto"/>
              </w:rPr>
            </w:pPr>
          </w:p>
        </w:tc>
        <w:tc>
          <w:tcPr>
            <w:tcW w:w="5260" w:type="dxa"/>
            <w:vAlign w:val="bottom"/>
            <w:tcBorders>
              <w:bottom w:val="single" w:sz="8" w:color="88888B"/>
            </w:tcBorders>
          </w:tcPr>
          <w:p>
            <w:pPr>
              <w:spacing w:after="0"/>
              <w:rPr>
                <w:sz w:val="2"/>
                <w:szCs w:val="2"/>
                <w:color w:val="auto"/>
              </w:rPr>
            </w:pPr>
          </w:p>
        </w:tc>
        <w:tc>
          <w:tcPr>
            <w:tcW w:w="1040" w:type="dxa"/>
            <w:vAlign w:val="bottom"/>
            <w:tcBorders>
              <w:bottom w:val="single" w:sz="8" w:color="88888B"/>
            </w:tcBorders>
          </w:tcPr>
          <w:p>
            <w:pPr>
              <w:spacing w:after="0"/>
              <w:rPr>
                <w:sz w:val="2"/>
                <w:szCs w:val="2"/>
                <w:color w:val="auto"/>
              </w:rPr>
            </w:pPr>
          </w:p>
        </w:tc>
      </w:tr>
      <w:tr>
        <w:trPr>
          <w:trHeight w:val="154"/>
        </w:trPr>
        <w:tc>
          <w:tcPr>
            <w:tcW w:w="4620" w:type="dxa"/>
            <w:vAlign w:val="bottom"/>
            <w:tcBorders>
              <w:bottom w:val="single" w:sz="8" w:color="88888B"/>
            </w:tcBorders>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Corporate costs</w:t>
            </w:r>
          </w:p>
        </w:tc>
        <w:tc>
          <w:tcPr>
            <w:tcW w:w="5260" w:type="dxa"/>
            <w:vAlign w:val="bottom"/>
            <w:tcBorders>
              <w:bottom w:val="single" w:sz="8" w:color="88888B"/>
            </w:tcBorders>
            <w:shd w:val="clear" w:color="auto" w:fill="CCEEFF"/>
          </w:tcPr>
          <w:p>
            <w:pPr>
              <w:jc w:val="right"/>
              <w:ind w:right="1609"/>
              <w:spacing w:after="0" w:line="154" w:lineRule="exact"/>
              <w:rPr>
                <w:sz w:val="20"/>
                <w:szCs w:val="20"/>
                <w:color w:val="auto"/>
              </w:rPr>
            </w:pPr>
            <w:r>
              <w:rPr>
                <w:rFonts w:ascii="Arial" w:cs="Arial" w:eastAsia="Arial" w:hAnsi="Arial"/>
                <w:sz w:val="14"/>
                <w:szCs w:val="14"/>
                <w:b w:val="1"/>
                <w:bCs w:val="1"/>
                <w:color w:val="55565A"/>
              </w:rPr>
              <w:t>17</w:t>
            </w:r>
          </w:p>
        </w:tc>
        <w:tc>
          <w:tcPr>
            <w:tcW w:w="1040" w:type="dxa"/>
            <w:vAlign w:val="bottom"/>
            <w:tcBorders>
              <w:bottom w:val="single" w:sz="8" w:color="88888B"/>
            </w:tcBorders>
            <w:shd w:val="clear" w:color="auto" w:fill="CCEEFF"/>
          </w:tcPr>
          <w:p>
            <w:pPr>
              <w:jc w:val="right"/>
              <w:ind w:right="589"/>
              <w:spacing w:after="0" w:line="154" w:lineRule="exact"/>
              <w:rPr>
                <w:sz w:val="20"/>
                <w:szCs w:val="20"/>
                <w:color w:val="auto"/>
              </w:rPr>
            </w:pPr>
            <w:r>
              <w:rPr>
                <w:rFonts w:ascii="Arial" w:cs="Arial" w:eastAsia="Arial" w:hAnsi="Arial"/>
                <w:sz w:val="14"/>
                <w:szCs w:val="14"/>
                <w:color w:val="55565A"/>
              </w:rPr>
              <w:t>23</w:t>
            </w:r>
          </w:p>
        </w:tc>
      </w:tr>
    </w:tbl>
    <w:p>
      <w:pPr>
        <w:spacing w:after="0" w:line="93"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Corporate costs decreased primarily due to lower costs in certain corporate functional areas and a benefit from foreign currency.</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Investment in LSEG</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We indirectly own shares in LSEG through YPL, an entity jointly owned by our company and Blackstone’s consortium.</w:t>
      </w:r>
    </w:p>
    <w:p>
      <w:pPr>
        <w:spacing w:after="0" w:line="110"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55565A"/>
        </w:rPr>
        <w:t>On March 5, 2024, LSEG amended the terms of contractual lock-up provisions previously agreed between LSEG and the Blackstone consortium/Thomson Reuters entities that hold the LSEG shares, which increased the number of LSEG shares we could sell between March 2, 2024 and January 29, 2025 from 6.1 million shares to 7.5 million shares. In the first quarter of 2024, we sold 10.1 million shares of LSEG that our company indirectly owned, including 2.6 million that were subject to call options. We received $1.2 billion of gross proceeds related to LSEG transactions which included $57 million from the settlement of foreign exchange contracts and $58 million from shares sold in 2023 that settled in 2024. Virtually all of the $1.2 billion was received in the form of dividends from YPL. See the “Liquidity and Capital Resources” section of the management’s discussion and analysis for information on our use of proceeds from the sale of LSEG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99695</wp:posOffset>
            </wp:positionV>
            <wp:extent cx="69297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11</w:t>
      </w:r>
    </w:p>
    <w:p>
      <w:pPr>
        <w:sectPr>
          <w:pgSz w:w="11900" w:h="16838" w:orient="portrait"/>
          <w:cols w:equalWidth="0" w:num="1">
            <w:col w:w="11080"/>
          </w:cols>
          <w:pgMar w:left="320" w:top="454"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55565A"/>
        </w:rPr>
        <w:t>In the first quarter of 2023, we sold 24.5 million shares of LSEG that our company indirectly owned. We received $2.3 billion of gross proceeds, which included $96 million from the settlement of foreign exchange contracts. Of this amount $2.2 billion was received in the form of dividends from YPL.</w:t>
      </w:r>
    </w:p>
    <w:p>
      <w:pPr>
        <w:spacing w:after="0" w:line="54"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55565A"/>
        </w:rPr>
        <w:t>See the “Subsequent Events” section of this management’s discussion and analysis for transactions that occurred after March 31, 2024 and the details about the value of our current LSEG holdings.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Liquidity and Capital Resources</w:t>
      </w:r>
    </w:p>
    <w:p>
      <w:pPr>
        <w:spacing w:after="0" w:line="121"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55565A"/>
        </w:rPr>
        <w:t>We have historically maintained a disciplined capital strategy that balances growth, long-term financial leverage, credit ratings and returns to shareholders. We are focused on having the investment capacity to drive revenue growth, both organically and through acquisitions, while also maintaining our long-term financial leverage and credit ratings and continuing to provide returns to shareholders. Our principal sources of liquidity are cash and cash equivalents and cash provided by operating activities. From time to time, we also issue commercial paper, borrow under our credit facility, and issue debt securities. Our principal uses of cash are for debt repayments, debt servicing costs, dividend payments, capital expenditures, share repurchases and acquisitions.</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In the first quarter of 2024, we received gross proceeds of $1.2 billion in connection with the sale of 10.1 million LSEG shares. We acquired World</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Business Media and 99.58% of Pagero for an aggregate amount of $806 million. We also repurchased $352 million of our common shares under our</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current share repurchase program. As of March 31, 2024, we have cumulatively purchased $713 million under our current plan to repurchase up to</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$1.0 billion of our common shares as announced on November 1, 2023, and expect to complete our share repurchase program by the end of the second</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quarter of 2024.</w:t>
      </w:r>
    </w:p>
    <w:p>
      <w:pPr>
        <w:spacing w:after="0" w:line="94"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55565A"/>
        </w:rPr>
        <w:t>We plan to continue to sell LSEG shares subject to contractual lock-up provisions. We expect those proceeds will provide us with further options for investment, including acquisitions and returns to shareholders (refer to the “Investment in LSEG” section, and the “Share repurchases – Normal Course Issuer Bid (NCIB)” subsection below, of this management’s discussion and analysis for additional information).</w:t>
      </w:r>
    </w:p>
    <w:p>
      <w:pPr>
        <w:spacing w:after="0" w:line="66" w:lineRule="exact"/>
        <w:rPr>
          <w:sz w:val="20"/>
          <w:szCs w:val="20"/>
          <w:color w:val="auto"/>
        </w:rPr>
      </w:pPr>
    </w:p>
    <w:p>
      <w:pPr>
        <w:ind w:left="160" w:right="220"/>
        <w:spacing w:after="0" w:line="256" w:lineRule="auto"/>
        <w:rPr>
          <w:sz w:val="20"/>
          <w:szCs w:val="20"/>
          <w:color w:val="auto"/>
        </w:rPr>
      </w:pPr>
      <w:r>
        <w:rPr>
          <w:rFonts w:ascii="Arial" w:cs="Arial" w:eastAsia="Arial" w:hAnsi="Arial"/>
          <w:sz w:val="16"/>
          <w:szCs w:val="16"/>
          <w:color w:val="55565A"/>
        </w:rPr>
        <w:t>Our capital strategy approach has provided us with a strong capital structure and liquidity position. Our disciplined approach and cash generative business model have allowed us to weather economic volatility in recent years caused by macroeconomic and geopolitical factors, while continuing to invest in our business. While we are closely monitoring the global disruption caused by Russia’s invasion of Ukraine and the ongoing Israel – Hamas conflict, our operations in those regions are not material to our business.</w:t>
      </w:r>
    </w:p>
    <w:p>
      <w:pPr>
        <w:spacing w:after="0" w:line="71" w:lineRule="exact"/>
        <w:rPr>
          <w:sz w:val="20"/>
          <w:szCs w:val="20"/>
          <w:color w:val="auto"/>
        </w:rPr>
      </w:pPr>
    </w:p>
    <w:p>
      <w:pPr>
        <w:ind w:left="160" w:right="400"/>
        <w:spacing w:after="0" w:line="256" w:lineRule="auto"/>
        <w:rPr>
          <w:sz w:val="20"/>
          <w:szCs w:val="20"/>
          <w:color w:val="auto"/>
        </w:rPr>
      </w:pPr>
      <w:r>
        <w:rPr>
          <w:rFonts w:ascii="Arial" w:cs="Arial" w:eastAsia="Arial" w:hAnsi="Arial"/>
          <w:sz w:val="16"/>
          <w:szCs w:val="16"/>
          <w:color w:val="55565A"/>
        </w:rPr>
        <w:t>We expect that the operating leverage of our business will increase our free cash flow if we increase revenues as contemplated by our outlook. We continue to target (i) a maximum leverage ratio of 2.5x net debt to adjusted EBITDA (ii) a pay out of 50% to 60% of our expected free cash flow as dividends to our shareholders (iii) a return of at least 75% of our annual free cash flow to our shareholders in the form of dividends and share repurchases; and (iv) to earn a return on invested capital (ROIC) that is double or more of our weighted-average cost of capital over time.</w:t>
      </w:r>
    </w:p>
    <w:p>
      <w:pPr>
        <w:spacing w:after="0" w:line="71"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55565A"/>
        </w:rPr>
        <w:t>As of March 31, 2024, we had $1.9 billion of cash on hand, which includes a portion of the proceeds from the sale of our LSEG shares. As a result, our net debt to adjusted EBITDA leverage ratio as of March 31, 2024 was 0.8:1, significantly lower than our target of 2.5:1. As calculated under our credit facility covenant, our net debt to adjusted EBITDA leverage ratio as of March 31, 2024 was 0.7:1, which is also well below the maximum leverage ratio allowed under the credit facility of 4.5:1. Our next scheduled debt maturity is in September 2024.</w:t>
      </w:r>
    </w:p>
    <w:p>
      <w:pPr>
        <w:spacing w:after="0" w:line="71"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55565A"/>
        </w:rPr>
        <w:t>We believe that our existing sources of liquidity will be sufficient to fund our expected cash requirements in the normal course of business for the next 12 months.</w:t>
      </w:r>
    </w:p>
    <w:p>
      <w:pPr>
        <w:spacing w:after="0" w:line="56" w:lineRule="exact"/>
        <w:rPr>
          <w:sz w:val="20"/>
          <w:szCs w:val="20"/>
          <w:color w:val="auto"/>
        </w:rPr>
      </w:pPr>
    </w:p>
    <w:p>
      <w:pPr>
        <w:ind w:left="160" w:right="640"/>
        <w:spacing w:after="0" w:line="277" w:lineRule="auto"/>
        <w:rPr>
          <w:sz w:val="20"/>
          <w:szCs w:val="20"/>
          <w:color w:val="auto"/>
        </w:rPr>
      </w:pPr>
      <w:r>
        <w:rPr>
          <w:rFonts w:ascii="Arial" w:cs="Arial" w:eastAsia="Arial" w:hAnsi="Arial"/>
          <w:sz w:val="16"/>
          <w:szCs w:val="16"/>
          <w:i w:val="1"/>
          <w:iCs w:val="1"/>
          <w:color w:val="55565A"/>
        </w:rPr>
        <w:t>Certain information above in this section is forward-looking and should be read in conjunction with the section entitled “Additional Information — Cautionary Note Concerning Factors That May Affect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12</w:t>
      </w:r>
    </w:p>
    <w:p>
      <w:pPr>
        <w:sectPr>
          <w:pgSz w:w="11900" w:h="16838" w:orient="portrait"/>
          <w:cols w:equalWidth="0" w:num="1">
            <w:col w:w="10980"/>
          </w:cols>
          <w:pgMar w:left="320" w:top="454" w:right="5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5565A"/>
        </w:rPr>
        <w:t>Cash flow</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Summary of consolidated statement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5060" w:type="dxa"/>
            <w:vAlign w:val="bottom"/>
            <w:gridSpan w:val="3"/>
          </w:tcPr>
          <w:p>
            <w:pPr>
              <w:jc w:val="right"/>
              <w:ind w:right="329"/>
              <w:spacing w:after="0"/>
              <w:rPr>
                <w:sz w:val="20"/>
                <w:szCs w:val="20"/>
                <w:color w:val="auto"/>
              </w:rPr>
            </w:pPr>
            <w:r>
              <w:rPr>
                <w:rFonts w:ascii="Arial" w:cs="Arial" w:eastAsia="Arial" w:hAnsi="Arial"/>
                <w:sz w:val="14"/>
                <w:szCs w:val="14"/>
                <w:b w:val="1"/>
                <w:bCs w:val="1"/>
                <w:color w:val="55565A"/>
              </w:rPr>
              <w:t>Three months ended March 31,</w:t>
            </w:r>
          </w:p>
        </w:tc>
      </w:tr>
      <w:tr>
        <w:trPr>
          <w:trHeight w:val="267"/>
        </w:trPr>
        <w:tc>
          <w:tcPr>
            <w:tcW w:w="5860" w:type="dxa"/>
            <w:vAlign w:val="bottom"/>
          </w:tcPr>
          <w:p>
            <w:pPr>
              <w:spacing w:after="0"/>
              <w:rPr>
                <w:sz w:val="20"/>
                <w:szCs w:val="20"/>
                <w:color w:val="auto"/>
              </w:rPr>
            </w:pPr>
            <w:r>
              <w:rPr>
                <w:rFonts w:ascii="Arial" w:cs="Arial" w:eastAsia="Arial" w:hAnsi="Arial"/>
                <w:sz w:val="14"/>
                <w:szCs w:val="14"/>
                <w:b w:val="1"/>
                <w:bCs w:val="1"/>
                <w:color w:val="55565A"/>
              </w:rPr>
              <w:t>   (millions of U.S. dollars)</w:t>
            </w:r>
          </w:p>
        </w:tc>
        <w:tc>
          <w:tcPr>
            <w:tcW w:w="3000" w:type="dxa"/>
            <w:vAlign w:val="bottom"/>
          </w:tcPr>
          <w:p>
            <w:pPr>
              <w:jc w:val="right"/>
              <w:ind w:right="169"/>
              <w:spacing w:after="0"/>
              <w:rPr>
                <w:sz w:val="20"/>
                <w:szCs w:val="20"/>
                <w:color w:val="auto"/>
              </w:rPr>
            </w:pPr>
            <w:r>
              <w:rPr>
                <w:rFonts w:ascii="Arial" w:cs="Arial" w:eastAsia="Arial" w:hAnsi="Arial"/>
                <w:sz w:val="14"/>
                <w:szCs w:val="14"/>
                <w:b w:val="1"/>
                <w:bCs w:val="1"/>
                <w:color w:val="55565A"/>
              </w:rPr>
              <w:t>2024</w:t>
            </w:r>
          </w:p>
        </w:tc>
        <w:tc>
          <w:tcPr>
            <w:tcW w:w="960" w:type="dxa"/>
            <w:vAlign w:val="bottom"/>
          </w:tcPr>
          <w:p>
            <w:pPr>
              <w:jc w:val="right"/>
              <w:ind w:right="209"/>
              <w:spacing w:after="0"/>
              <w:rPr>
                <w:sz w:val="20"/>
                <w:szCs w:val="20"/>
                <w:color w:val="auto"/>
              </w:rPr>
            </w:pPr>
            <w:r>
              <w:rPr>
                <w:rFonts w:ascii="Arial" w:cs="Arial" w:eastAsia="Arial" w:hAnsi="Arial"/>
                <w:sz w:val="14"/>
                <w:szCs w:val="14"/>
                <w:color w:val="55565A"/>
              </w:rPr>
              <w:t>2023</w:t>
            </w:r>
          </w:p>
        </w:tc>
        <w:tc>
          <w:tcPr>
            <w:tcW w:w="1100" w:type="dxa"/>
            <w:vAlign w:val="bottom"/>
          </w:tcPr>
          <w:p>
            <w:pPr>
              <w:jc w:val="right"/>
              <w:ind w:right="149"/>
              <w:spacing w:after="0"/>
              <w:rPr>
                <w:sz w:val="20"/>
                <w:szCs w:val="20"/>
                <w:color w:val="auto"/>
              </w:rPr>
            </w:pPr>
            <w:r>
              <w:rPr>
                <w:rFonts w:ascii="Arial" w:cs="Arial" w:eastAsia="Arial" w:hAnsi="Arial"/>
                <w:sz w:val="14"/>
                <w:szCs w:val="14"/>
                <w:color w:val="55565A"/>
              </w:rPr>
              <w:t>$ Change</w:t>
            </w:r>
          </w:p>
        </w:tc>
      </w:tr>
      <w:tr>
        <w:trPr>
          <w:trHeight w:val="55"/>
        </w:trPr>
        <w:tc>
          <w:tcPr>
            <w:tcW w:w="5860" w:type="dxa"/>
            <w:vAlign w:val="bottom"/>
            <w:tcBorders>
              <w:bottom w:val="single" w:sz="8" w:color="88888B"/>
            </w:tcBorders>
          </w:tcPr>
          <w:p>
            <w:pPr>
              <w:spacing w:after="0"/>
              <w:rPr>
                <w:sz w:val="4"/>
                <w:szCs w:val="4"/>
                <w:color w:val="auto"/>
              </w:rPr>
            </w:pPr>
          </w:p>
        </w:tc>
        <w:tc>
          <w:tcPr>
            <w:tcW w:w="3000" w:type="dxa"/>
            <w:vAlign w:val="bottom"/>
            <w:tcBorders>
              <w:bottom w:val="single" w:sz="8" w:color="88888B"/>
            </w:tcBorders>
          </w:tcPr>
          <w:p>
            <w:pPr>
              <w:spacing w:after="0"/>
              <w:rPr>
                <w:sz w:val="4"/>
                <w:szCs w:val="4"/>
                <w:color w:val="auto"/>
              </w:rPr>
            </w:pPr>
          </w:p>
        </w:tc>
        <w:tc>
          <w:tcPr>
            <w:tcW w:w="960" w:type="dxa"/>
            <w:vAlign w:val="bottom"/>
            <w:tcBorders>
              <w:bottom w:val="single" w:sz="8" w:color="88888B"/>
            </w:tcBorders>
          </w:tcPr>
          <w:p>
            <w:pPr>
              <w:spacing w:after="0"/>
              <w:rPr>
                <w:sz w:val="4"/>
                <w:szCs w:val="4"/>
                <w:color w:val="auto"/>
              </w:rPr>
            </w:pPr>
          </w:p>
        </w:tc>
        <w:tc>
          <w:tcPr>
            <w:tcW w:w="1100" w:type="dxa"/>
            <w:vAlign w:val="bottom"/>
            <w:tcBorders>
              <w:bottom w:val="single" w:sz="8" w:color="88888B"/>
            </w:tcBorders>
          </w:tcPr>
          <w:p>
            <w:pPr>
              <w:spacing w:after="0"/>
              <w:rPr>
                <w:sz w:val="4"/>
                <w:szCs w:val="4"/>
                <w:color w:val="auto"/>
              </w:rPr>
            </w:pPr>
          </w:p>
        </w:tc>
      </w:tr>
      <w:tr>
        <w:trPr>
          <w:trHeight w:val="227"/>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55565A"/>
              </w:rPr>
              <w:t>   Net cash provided by operating activities</w:t>
            </w:r>
          </w:p>
        </w:tc>
        <w:tc>
          <w:tcPr>
            <w:tcW w:w="30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432</w:t>
            </w:r>
          </w:p>
        </w:tc>
        <w:tc>
          <w:tcPr>
            <w:tcW w:w="9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55565A"/>
              </w:rPr>
              <w:t>267</w:t>
            </w:r>
          </w:p>
        </w:tc>
        <w:tc>
          <w:tcPr>
            <w:tcW w:w="11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5565A"/>
              </w:rPr>
              <w:t>165</w:t>
            </w:r>
          </w:p>
        </w:tc>
      </w:tr>
      <w:tr>
        <w:trPr>
          <w:trHeight w:val="226"/>
        </w:trPr>
        <w:tc>
          <w:tcPr>
            <w:tcW w:w="5860" w:type="dxa"/>
            <w:vAlign w:val="bottom"/>
          </w:tcPr>
          <w:p>
            <w:pPr>
              <w:spacing w:after="0"/>
              <w:rPr>
                <w:sz w:val="20"/>
                <w:szCs w:val="20"/>
                <w:color w:val="auto"/>
              </w:rPr>
            </w:pPr>
            <w:r>
              <w:rPr>
                <w:rFonts w:ascii="Arial" w:cs="Arial" w:eastAsia="Arial" w:hAnsi="Arial"/>
                <w:sz w:val="14"/>
                <w:szCs w:val="14"/>
                <w:b w:val="1"/>
                <w:bCs w:val="1"/>
                <w:color w:val="55565A"/>
              </w:rPr>
              <w:t>   Net cash provided by investing activities</w:t>
            </w:r>
          </w:p>
        </w:tc>
        <w:tc>
          <w:tcPr>
            <w:tcW w:w="3000" w:type="dxa"/>
            <w:vAlign w:val="bottom"/>
          </w:tcPr>
          <w:p>
            <w:pPr>
              <w:jc w:val="right"/>
              <w:ind w:right="169"/>
              <w:spacing w:after="0"/>
              <w:rPr>
                <w:sz w:val="20"/>
                <w:szCs w:val="20"/>
                <w:color w:val="auto"/>
              </w:rPr>
            </w:pPr>
            <w:r>
              <w:rPr>
                <w:rFonts w:ascii="Arial" w:cs="Arial" w:eastAsia="Arial" w:hAnsi="Arial"/>
                <w:sz w:val="14"/>
                <w:szCs w:val="14"/>
                <w:b w:val="1"/>
                <w:bCs w:val="1"/>
                <w:color w:val="55565A"/>
              </w:rPr>
              <w:t>643</w:t>
            </w:r>
          </w:p>
        </w:tc>
        <w:tc>
          <w:tcPr>
            <w:tcW w:w="960" w:type="dxa"/>
            <w:vAlign w:val="bottom"/>
          </w:tcPr>
          <w:p>
            <w:pPr>
              <w:jc w:val="right"/>
              <w:ind w:right="209"/>
              <w:spacing w:after="0"/>
              <w:rPr>
                <w:sz w:val="20"/>
                <w:szCs w:val="20"/>
                <w:color w:val="auto"/>
              </w:rPr>
            </w:pPr>
            <w:r>
              <w:rPr>
                <w:rFonts w:ascii="Arial" w:cs="Arial" w:eastAsia="Arial" w:hAnsi="Arial"/>
                <w:sz w:val="14"/>
                <w:szCs w:val="14"/>
                <w:color w:val="55565A"/>
              </w:rPr>
              <w:t>1,668</w:t>
            </w:r>
          </w:p>
        </w:tc>
        <w:tc>
          <w:tcPr>
            <w:tcW w:w="1100" w:type="dxa"/>
            <w:vAlign w:val="bottom"/>
          </w:tcPr>
          <w:p>
            <w:pPr>
              <w:jc w:val="right"/>
              <w:ind w:right="149"/>
              <w:spacing w:after="0"/>
              <w:rPr>
                <w:sz w:val="20"/>
                <w:szCs w:val="20"/>
                <w:color w:val="auto"/>
              </w:rPr>
            </w:pPr>
            <w:r>
              <w:rPr>
                <w:rFonts w:ascii="Arial" w:cs="Arial" w:eastAsia="Arial" w:hAnsi="Arial"/>
                <w:sz w:val="14"/>
                <w:szCs w:val="14"/>
                <w:color w:val="55565A"/>
              </w:rPr>
              <w:t>(1,025)</w:t>
            </w:r>
          </w:p>
        </w:tc>
      </w:tr>
      <w:tr>
        <w:trPr>
          <w:trHeight w:val="28"/>
        </w:trPr>
        <w:tc>
          <w:tcPr>
            <w:tcW w:w="5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55565A"/>
              </w:rPr>
              <w:t>   Net cash used in financing activities</w:t>
            </w:r>
          </w:p>
        </w:tc>
        <w:tc>
          <w:tcPr>
            <w:tcW w:w="30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(470)</w:t>
            </w:r>
          </w:p>
        </w:tc>
        <w:tc>
          <w:tcPr>
            <w:tcW w:w="9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55565A"/>
              </w:rPr>
              <w:t>(1,315)</w:t>
            </w:r>
          </w:p>
        </w:tc>
        <w:tc>
          <w:tcPr>
            <w:tcW w:w="11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5565A"/>
              </w:rPr>
              <w:t>845</w:t>
            </w:r>
          </w:p>
        </w:tc>
      </w:tr>
      <w:tr>
        <w:trPr>
          <w:trHeight w:val="226"/>
        </w:trPr>
        <w:tc>
          <w:tcPr>
            <w:tcW w:w="5860" w:type="dxa"/>
            <w:vAlign w:val="bottom"/>
          </w:tcPr>
          <w:p>
            <w:pPr>
              <w:spacing w:after="0"/>
              <w:rPr>
                <w:sz w:val="20"/>
                <w:szCs w:val="20"/>
                <w:color w:val="auto"/>
              </w:rPr>
            </w:pPr>
            <w:r>
              <w:rPr>
                <w:rFonts w:ascii="Arial" w:cs="Arial" w:eastAsia="Arial" w:hAnsi="Arial"/>
                <w:sz w:val="14"/>
                <w:szCs w:val="14"/>
                <w:b w:val="1"/>
                <w:bCs w:val="1"/>
                <w:color w:val="55565A"/>
              </w:rPr>
              <w:t>   Translation adjustments</w:t>
            </w:r>
          </w:p>
        </w:tc>
        <w:tc>
          <w:tcPr>
            <w:tcW w:w="3000" w:type="dxa"/>
            <w:vAlign w:val="bottom"/>
          </w:tcPr>
          <w:p>
            <w:pPr>
              <w:jc w:val="right"/>
              <w:ind w:right="169"/>
              <w:spacing w:after="0"/>
              <w:rPr>
                <w:sz w:val="20"/>
                <w:szCs w:val="20"/>
                <w:color w:val="auto"/>
              </w:rPr>
            </w:pPr>
            <w:r>
              <w:rPr>
                <w:rFonts w:ascii="Arial" w:cs="Arial" w:eastAsia="Arial" w:hAnsi="Arial"/>
                <w:sz w:val="14"/>
                <w:szCs w:val="14"/>
                <w:b w:val="1"/>
                <w:bCs w:val="1"/>
                <w:color w:val="55565A"/>
              </w:rPr>
              <w:t>(2)</w:t>
            </w:r>
          </w:p>
        </w:tc>
        <w:tc>
          <w:tcPr>
            <w:tcW w:w="960" w:type="dxa"/>
            <w:vAlign w:val="bottom"/>
          </w:tcPr>
          <w:p>
            <w:pPr>
              <w:jc w:val="right"/>
              <w:ind w:right="209"/>
              <w:spacing w:after="0"/>
              <w:rPr>
                <w:sz w:val="20"/>
                <w:szCs w:val="20"/>
                <w:color w:val="auto"/>
              </w:rPr>
            </w:pPr>
            <w:r>
              <w:rPr>
                <w:rFonts w:ascii="Arial" w:cs="Arial" w:eastAsia="Arial" w:hAnsi="Arial"/>
                <w:sz w:val="14"/>
                <w:szCs w:val="14"/>
                <w:color w:val="55565A"/>
              </w:rPr>
              <w:t>1</w:t>
            </w:r>
          </w:p>
        </w:tc>
        <w:tc>
          <w:tcPr>
            <w:tcW w:w="1100" w:type="dxa"/>
            <w:vAlign w:val="bottom"/>
          </w:tcPr>
          <w:p>
            <w:pPr>
              <w:jc w:val="right"/>
              <w:ind w:right="149"/>
              <w:spacing w:after="0"/>
              <w:rPr>
                <w:sz w:val="20"/>
                <w:szCs w:val="20"/>
                <w:color w:val="auto"/>
              </w:rPr>
            </w:pPr>
            <w:r>
              <w:rPr>
                <w:rFonts w:ascii="Arial" w:cs="Arial" w:eastAsia="Arial" w:hAnsi="Arial"/>
                <w:sz w:val="14"/>
                <w:szCs w:val="14"/>
                <w:color w:val="55565A"/>
              </w:rPr>
              <w:t>(3)</w:t>
            </w:r>
          </w:p>
        </w:tc>
      </w:tr>
      <w:tr>
        <w:trPr>
          <w:trHeight w:val="28"/>
        </w:trPr>
        <w:tc>
          <w:tcPr>
            <w:tcW w:w="5860" w:type="dxa"/>
            <w:vAlign w:val="bottom"/>
            <w:tcBorders>
              <w:bottom w:val="single" w:sz="8" w:color="88888B"/>
            </w:tcBorders>
          </w:tcPr>
          <w:p>
            <w:pPr>
              <w:spacing w:after="0"/>
              <w:rPr>
                <w:sz w:val="2"/>
                <w:szCs w:val="2"/>
                <w:color w:val="auto"/>
              </w:rPr>
            </w:pPr>
          </w:p>
        </w:tc>
        <w:tc>
          <w:tcPr>
            <w:tcW w:w="3000" w:type="dxa"/>
            <w:vAlign w:val="bottom"/>
            <w:tcBorders>
              <w:bottom w:val="single" w:sz="8" w:color="88888B"/>
            </w:tcBorders>
          </w:tcPr>
          <w:p>
            <w:pPr>
              <w:spacing w:after="0"/>
              <w:rPr>
                <w:sz w:val="2"/>
                <w:szCs w:val="2"/>
                <w:color w:val="auto"/>
              </w:rPr>
            </w:pPr>
          </w:p>
        </w:tc>
        <w:tc>
          <w:tcPr>
            <w:tcW w:w="960" w:type="dxa"/>
            <w:vAlign w:val="bottom"/>
            <w:tcBorders>
              <w:bottom w:val="single" w:sz="8" w:color="88888B"/>
            </w:tcBorders>
          </w:tcPr>
          <w:p>
            <w:pPr>
              <w:spacing w:after="0"/>
              <w:rPr>
                <w:sz w:val="2"/>
                <w:szCs w:val="2"/>
                <w:color w:val="auto"/>
              </w:rPr>
            </w:pPr>
          </w:p>
        </w:tc>
        <w:tc>
          <w:tcPr>
            <w:tcW w:w="1100" w:type="dxa"/>
            <w:vAlign w:val="bottom"/>
            <w:tcBorders>
              <w:bottom w:val="single" w:sz="8" w:color="88888B"/>
            </w:tcBorders>
          </w:tcPr>
          <w:p>
            <w:pPr>
              <w:spacing w:after="0"/>
              <w:rPr>
                <w:sz w:val="2"/>
                <w:szCs w:val="2"/>
                <w:color w:val="auto"/>
              </w:rPr>
            </w:pPr>
          </w:p>
        </w:tc>
      </w:tr>
      <w:tr>
        <w:trPr>
          <w:trHeight w:val="227"/>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55565A"/>
              </w:rPr>
              <w:t>   Increase in cash and cash equivalents</w:t>
            </w:r>
          </w:p>
        </w:tc>
        <w:tc>
          <w:tcPr>
            <w:tcW w:w="30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603</w:t>
            </w:r>
          </w:p>
        </w:tc>
        <w:tc>
          <w:tcPr>
            <w:tcW w:w="9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55565A"/>
              </w:rPr>
              <w:t>621</w:t>
            </w:r>
          </w:p>
        </w:tc>
        <w:tc>
          <w:tcPr>
            <w:tcW w:w="11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5565A"/>
              </w:rPr>
              <w:t>(18)</w:t>
            </w:r>
          </w:p>
        </w:tc>
      </w:tr>
      <w:tr>
        <w:trPr>
          <w:trHeight w:val="226"/>
        </w:trPr>
        <w:tc>
          <w:tcPr>
            <w:tcW w:w="5860" w:type="dxa"/>
            <w:vAlign w:val="bottom"/>
          </w:tcPr>
          <w:p>
            <w:pPr>
              <w:spacing w:after="0"/>
              <w:rPr>
                <w:sz w:val="20"/>
                <w:szCs w:val="20"/>
                <w:color w:val="auto"/>
              </w:rPr>
            </w:pPr>
            <w:r>
              <w:rPr>
                <w:rFonts w:ascii="Arial" w:cs="Arial" w:eastAsia="Arial" w:hAnsi="Arial"/>
                <w:sz w:val="14"/>
                <w:szCs w:val="14"/>
                <w:b w:val="1"/>
                <w:bCs w:val="1"/>
                <w:color w:val="55565A"/>
              </w:rPr>
              <w:t>   Cash and cash equivalents at beginning of period</w:t>
            </w:r>
          </w:p>
        </w:tc>
        <w:tc>
          <w:tcPr>
            <w:tcW w:w="3000" w:type="dxa"/>
            <w:vAlign w:val="bottom"/>
          </w:tcPr>
          <w:p>
            <w:pPr>
              <w:jc w:val="right"/>
              <w:ind w:right="169"/>
              <w:spacing w:after="0"/>
              <w:rPr>
                <w:sz w:val="20"/>
                <w:szCs w:val="20"/>
                <w:color w:val="auto"/>
              </w:rPr>
            </w:pPr>
            <w:r>
              <w:rPr>
                <w:rFonts w:ascii="Arial" w:cs="Arial" w:eastAsia="Arial" w:hAnsi="Arial"/>
                <w:sz w:val="14"/>
                <w:szCs w:val="14"/>
                <w:b w:val="1"/>
                <w:bCs w:val="1"/>
                <w:color w:val="55565A"/>
              </w:rPr>
              <w:t>1,298</w:t>
            </w:r>
          </w:p>
        </w:tc>
        <w:tc>
          <w:tcPr>
            <w:tcW w:w="960" w:type="dxa"/>
            <w:vAlign w:val="bottom"/>
          </w:tcPr>
          <w:p>
            <w:pPr>
              <w:jc w:val="right"/>
              <w:ind w:right="209"/>
              <w:spacing w:after="0"/>
              <w:rPr>
                <w:sz w:val="20"/>
                <w:szCs w:val="20"/>
                <w:color w:val="auto"/>
              </w:rPr>
            </w:pPr>
            <w:r>
              <w:rPr>
                <w:rFonts w:ascii="Arial" w:cs="Arial" w:eastAsia="Arial" w:hAnsi="Arial"/>
                <w:sz w:val="14"/>
                <w:szCs w:val="14"/>
                <w:color w:val="55565A"/>
              </w:rPr>
              <w:t>1,069</w:t>
            </w:r>
          </w:p>
        </w:tc>
        <w:tc>
          <w:tcPr>
            <w:tcW w:w="1100" w:type="dxa"/>
            <w:vAlign w:val="bottom"/>
          </w:tcPr>
          <w:p>
            <w:pPr>
              <w:jc w:val="right"/>
              <w:ind w:right="149"/>
              <w:spacing w:after="0"/>
              <w:rPr>
                <w:sz w:val="20"/>
                <w:szCs w:val="20"/>
                <w:color w:val="auto"/>
              </w:rPr>
            </w:pPr>
            <w:r>
              <w:rPr>
                <w:rFonts w:ascii="Arial" w:cs="Arial" w:eastAsia="Arial" w:hAnsi="Arial"/>
                <w:sz w:val="14"/>
                <w:szCs w:val="14"/>
                <w:color w:val="55565A"/>
              </w:rPr>
              <w:t>229</w:t>
            </w:r>
          </w:p>
        </w:tc>
      </w:tr>
      <w:tr>
        <w:trPr>
          <w:trHeight w:val="28"/>
        </w:trPr>
        <w:tc>
          <w:tcPr>
            <w:tcW w:w="5860" w:type="dxa"/>
            <w:vAlign w:val="bottom"/>
            <w:tcBorders>
              <w:bottom w:val="single" w:sz="8" w:color="88888B"/>
            </w:tcBorders>
          </w:tcPr>
          <w:p>
            <w:pPr>
              <w:spacing w:after="0"/>
              <w:rPr>
                <w:sz w:val="2"/>
                <w:szCs w:val="2"/>
                <w:color w:val="auto"/>
              </w:rPr>
            </w:pPr>
          </w:p>
        </w:tc>
        <w:tc>
          <w:tcPr>
            <w:tcW w:w="3000" w:type="dxa"/>
            <w:vAlign w:val="bottom"/>
            <w:tcBorders>
              <w:bottom w:val="single" w:sz="8" w:color="88888B"/>
            </w:tcBorders>
          </w:tcPr>
          <w:p>
            <w:pPr>
              <w:spacing w:after="0"/>
              <w:rPr>
                <w:sz w:val="2"/>
                <w:szCs w:val="2"/>
                <w:color w:val="auto"/>
              </w:rPr>
            </w:pPr>
          </w:p>
        </w:tc>
        <w:tc>
          <w:tcPr>
            <w:tcW w:w="960" w:type="dxa"/>
            <w:vAlign w:val="bottom"/>
            <w:tcBorders>
              <w:bottom w:val="single" w:sz="8" w:color="88888B"/>
            </w:tcBorders>
          </w:tcPr>
          <w:p>
            <w:pPr>
              <w:spacing w:after="0"/>
              <w:rPr>
                <w:sz w:val="2"/>
                <w:szCs w:val="2"/>
                <w:color w:val="auto"/>
              </w:rPr>
            </w:pPr>
          </w:p>
        </w:tc>
        <w:tc>
          <w:tcPr>
            <w:tcW w:w="1100" w:type="dxa"/>
            <w:vAlign w:val="bottom"/>
            <w:tcBorders>
              <w:bottom w:val="single" w:sz="8" w:color="88888B"/>
            </w:tcBorders>
          </w:tcPr>
          <w:p>
            <w:pPr>
              <w:spacing w:after="0"/>
              <w:rPr>
                <w:sz w:val="2"/>
                <w:szCs w:val="2"/>
                <w:color w:val="auto"/>
              </w:rPr>
            </w:pPr>
          </w:p>
        </w:tc>
      </w:tr>
      <w:tr>
        <w:trPr>
          <w:trHeight w:val="252"/>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55565A"/>
              </w:rPr>
              <w:t>   Cash and cash equivalents at end of period</w:t>
            </w:r>
          </w:p>
        </w:tc>
        <w:tc>
          <w:tcPr>
            <w:tcW w:w="30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1,901</w:t>
            </w:r>
          </w:p>
        </w:tc>
        <w:tc>
          <w:tcPr>
            <w:tcW w:w="9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55565A"/>
              </w:rPr>
              <w:t>1,690</w:t>
            </w:r>
          </w:p>
        </w:tc>
        <w:tc>
          <w:tcPr>
            <w:tcW w:w="11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5565A"/>
              </w:rPr>
              <w:t>211</w:t>
            </w:r>
          </w:p>
        </w:tc>
      </w:tr>
      <w:tr>
        <w:trPr>
          <w:trHeight w:val="247"/>
        </w:trPr>
        <w:tc>
          <w:tcPr>
            <w:tcW w:w="5860" w:type="dxa"/>
            <w:vAlign w:val="bottom"/>
            <w:tcBorders>
              <w:top w:val="single" w:sz="8" w:color="88888B"/>
            </w:tcBorders>
          </w:tcPr>
          <w:p>
            <w:pPr>
              <w:spacing w:after="0"/>
              <w:rPr>
                <w:sz w:val="20"/>
                <w:szCs w:val="20"/>
                <w:color w:val="auto"/>
              </w:rPr>
            </w:pPr>
            <w:r>
              <w:rPr>
                <w:rFonts w:ascii="Arial" w:cs="Arial" w:eastAsia="Arial" w:hAnsi="Arial"/>
                <w:sz w:val="14"/>
                <w:szCs w:val="14"/>
                <w:b w:val="1"/>
                <w:bCs w:val="1"/>
                <w:color w:val="55565A"/>
              </w:rPr>
              <w:t xml:space="preserve">   Non-IFRS Financial Measure </w:t>
            </w:r>
            <w:r>
              <w:rPr>
                <w:rFonts w:ascii="Arial" w:cs="Arial" w:eastAsia="Arial" w:hAnsi="Arial"/>
                <w:sz w:val="21"/>
                <w:szCs w:val="21"/>
                <w:b w:val="1"/>
                <w:bCs w:val="1"/>
                <w:color w:val="55565A"/>
                <w:vertAlign w:val="superscript"/>
              </w:rPr>
              <w:t>(1)</w:t>
            </w:r>
          </w:p>
        </w:tc>
        <w:tc>
          <w:tcPr>
            <w:tcW w:w="3000" w:type="dxa"/>
            <w:vAlign w:val="bottom"/>
            <w:tcBorders>
              <w:top w:val="single" w:sz="8" w:color="88888B"/>
            </w:tcBorders>
          </w:tcPr>
          <w:p>
            <w:pPr>
              <w:spacing w:after="0"/>
              <w:rPr>
                <w:sz w:val="21"/>
                <w:szCs w:val="21"/>
                <w:color w:val="auto"/>
              </w:rPr>
            </w:pPr>
          </w:p>
        </w:tc>
        <w:tc>
          <w:tcPr>
            <w:tcW w:w="960" w:type="dxa"/>
            <w:vAlign w:val="bottom"/>
            <w:tcBorders>
              <w:top w:val="single" w:sz="8" w:color="88888B"/>
            </w:tcBorders>
          </w:tcPr>
          <w:p>
            <w:pPr>
              <w:spacing w:after="0"/>
              <w:rPr>
                <w:sz w:val="21"/>
                <w:szCs w:val="21"/>
                <w:color w:val="auto"/>
              </w:rPr>
            </w:pPr>
          </w:p>
        </w:tc>
        <w:tc>
          <w:tcPr>
            <w:tcW w:w="1100" w:type="dxa"/>
            <w:vAlign w:val="bottom"/>
            <w:tcBorders>
              <w:top w:val="single" w:sz="8" w:color="88888B"/>
            </w:tcBorders>
          </w:tcPr>
          <w:p>
            <w:pPr>
              <w:spacing w:after="0"/>
              <w:rPr>
                <w:sz w:val="21"/>
                <w:szCs w:val="21"/>
                <w:color w:val="auto"/>
              </w:rPr>
            </w:pPr>
          </w:p>
        </w:tc>
      </w:tr>
      <w:tr>
        <w:trPr>
          <w:trHeight w:val="23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55565A"/>
              </w:rPr>
              <w:t>   Free cash flow</w:t>
            </w:r>
          </w:p>
        </w:tc>
        <w:tc>
          <w:tcPr>
            <w:tcW w:w="30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271</w:t>
            </w:r>
          </w:p>
        </w:tc>
        <w:tc>
          <w:tcPr>
            <w:tcW w:w="9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55565A"/>
              </w:rPr>
              <w:t>133</w:t>
            </w:r>
          </w:p>
        </w:tc>
        <w:tc>
          <w:tcPr>
            <w:tcW w:w="11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5565A"/>
              </w:rPr>
              <w:t>138</w:t>
            </w:r>
          </w:p>
        </w:tc>
      </w:tr>
      <w:tr>
        <w:trPr>
          <w:trHeight w:val="20"/>
        </w:trPr>
        <w:tc>
          <w:tcPr>
            <w:tcW w:w="5860" w:type="dxa"/>
            <w:vAlign w:val="bottom"/>
            <w:shd w:val="clear" w:color="auto" w:fill="55565A"/>
          </w:tcPr>
          <w:p>
            <w:pPr>
              <w:spacing w:after="0" w:line="20" w:lineRule="exact"/>
              <w:rPr>
                <w:sz w:val="1"/>
                <w:szCs w:val="1"/>
                <w:color w:val="auto"/>
              </w:rPr>
            </w:pPr>
          </w:p>
        </w:tc>
        <w:tc>
          <w:tcPr>
            <w:tcW w:w="3000" w:type="dxa"/>
            <w:vAlign w:val="bottom"/>
            <w:shd w:val="clear" w:color="auto" w:fill="55565A"/>
          </w:tcPr>
          <w:p>
            <w:pPr>
              <w:spacing w:after="0" w:line="20" w:lineRule="exact"/>
              <w:rPr>
                <w:sz w:val="1"/>
                <w:szCs w:val="1"/>
                <w:color w:val="auto"/>
              </w:rPr>
            </w:pPr>
          </w:p>
        </w:tc>
        <w:tc>
          <w:tcPr>
            <w:tcW w:w="960" w:type="dxa"/>
            <w:vAlign w:val="bottom"/>
            <w:shd w:val="clear" w:color="auto" w:fill="55565A"/>
          </w:tcPr>
          <w:p>
            <w:pPr>
              <w:spacing w:after="0" w:line="20" w:lineRule="exact"/>
              <w:rPr>
                <w:sz w:val="1"/>
                <w:szCs w:val="1"/>
                <w:color w:val="auto"/>
              </w:rPr>
            </w:pPr>
          </w:p>
        </w:tc>
        <w:tc>
          <w:tcPr>
            <w:tcW w:w="1100" w:type="dxa"/>
            <w:vAlign w:val="bottom"/>
            <w:shd w:val="clear" w:color="auto" w:fill="55565A"/>
          </w:tcPr>
          <w:p>
            <w:pPr>
              <w:spacing w:after="0" w:line="20" w:lineRule="exact"/>
              <w:rPr>
                <w:sz w:val="1"/>
                <w:szCs w:val="1"/>
                <w:color w:val="auto"/>
              </w:rPr>
            </w:pPr>
          </w:p>
        </w:tc>
      </w:tr>
    </w:tbl>
    <w:p>
      <w:pPr>
        <w:spacing w:after="0" w:line="102" w:lineRule="exact"/>
        <w:rPr>
          <w:sz w:val="20"/>
          <w:szCs w:val="20"/>
          <w:color w:val="auto"/>
        </w:rPr>
      </w:pPr>
    </w:p>
    <w:p>
      <w:pPr>
        <w:ind w:left="480" w:right="180" w:hanging="313"/>
        <w:spacing w:after="0" w:line="279" w:lineRule="auto"/>
        <w:tabs>
          <w:tab w:leader="none" w:pos="480" w:val="left"/>
        </w:tabs>
        <w:numPr>
          <w:ilvl w:val="0"/>
          <w:numId w:val="9"/>
        </w:numPr>
        <w:rPr>
          <w:rFonts w:ascii="Arial" w:cs="Arial" w:eastAsia="Arial" w:hAnsi="Arial"/>
          <w:sz w:val="12"/>
          <w:szCs w:val="12"/>
          <w:color w:val="55565A"/>
        </w:rPr>
      </w:pPr>
      <w:r>
        <w:rPr>
          <w:rFonts w:ascii="Arial" w:cs="Arial" w:eastAsia="Arial" w:hAnsi="Arial"/>
          <w:sz w:val="12"/>
          <w:szCs w:val="12"/>
          <w:color w:val="55565A"/>
        </w:rPr>
        <w:t>Refer to Appendices A and B of this management’s discussion and analysis for additional information and reconciliations of our non-IFRS financial measures to the most directly comparable IFRS financial measures.</w:t>
      </w:r>
    </w:p>
    <w:p>
      <w:pPr>
        <w:spacing w:after="0" w:line="57" w:lineRule="exact"/>
        <w:rPr>
          <w:sz w:val="20"/>
          <w:szCs w:val="20"/>
          <w:color w:val="auto"/>
        </w:rPr>
      </w:pPr>
    </w:p>
    <w:p>
      <w:pPr>
        <w:ind w:left="160" w:right="440"/>
        <w:spacing w:after="0" w:line="279" w:lineRule="auto"/>
        <w:rPr>
          <w:sz w:val="20"/>
          <w:szCs w:val="20"/>
          <w:color w:val="auto"/>
        </w:rPr>
      </w:pPr>
      <w:r>
        <w:rPr>
          <w:rFonts w:ascii="Arial" w:cs="Arial" w:eastAsia="Arial" w:hAnsi="Arial"/>
          <w:sz w:val="16"/>
          <w:szCs w:val="16"/>
          <w:b w:val="1"/>
          <w:bCs w:val="1"/>
          <w:color w:val="55565A"/>
        </w:rPr>
        <w:t xml:space="preserve">Operating activities. </w:t>
      </w:r>
      <w:r>
        <w:rPr>
          <w:rFonts w:ascii="Arial" w:cs="Arial" w:eastAsia="Arial" w:hAnsi="Arial"/>
          <w:sz w:val="16"/>
          <w:szCs w:val="16"/>
          <w:color w:val="55565A"/>
        </w:rPr>
        <w:t>Net cash provided by operating activities increased due to the cash benefits from higher operating profit. The prior period also</w:t>
      </w:r>
      <w:r>
        <w:rPr>
          <w:rFonts w:ascii="Arial" w:cs="Arial" w:eastAsia="Arial" w:hAnsi="Arial"/>
          <w:sz w:val="16"/>
          <w:szCs w:val="16"/>
          <w:b w:val="1"/>
          <w:bCs w:val="1"/>
          <w:color w:val="55565A"/>
        </w:rPr>
        <w:t xml:space="preserve"> </w:t>
      </w:r>
      <w:r>
        <w:rPr>
          <w:rFonts w:ascii="Arial" w:cs="Arial" w:eastAsia="Arial" w:hAnsi="Arial"/>
          <w:sz w:val="16"/>
          <w:szCs w:val="16"/>
          <w:color w:val="55565A"/>
        </w:rPr>
        <w:t>included $63 million of payments related to our Change Program, which we completed in 2022.</w:t>
      </w:r>
    </w:p>
    <w:p>
      <w:pPr>
        <w:spacing w:after="0" w:line="54"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b w:val="1"/>
          <w:bCs w:val="1"/>
          <w:color w:val="55565A"/>
        </w:rPr>
        <w:t xml:space="preserve">Investing activities. </w:t>
      </w:r>
      <w:r>
        <w:rPr>
          <w:rFonts w:ascii="Arial" w:cs="Arial" w:eastAsia="Arial" w:hAnsi="Arial"/>
          <w:sz w:val="16"/>
          <w:szCs w:val="16"/>
          <w:color w:val="55565A"/>
        </w:rPr>
        <w:t>Net cash provided by investing activities in the first quarter of 2024 included $1,244 million in proceeds from the sales of LSEG</w:t>
      </w:r>
      <w:r>
        <w:rPr>
          <w:rFonts w:ascii="Arial" w:cs="Arial" w:eastAsia="Arial" w:hAnsi="Arial"/>
          <w:sz w:val="16"/>
          <w:szCs w:val="16"/>
          <w:b w:val="1"/>
          <w:bCs w:val="1"/>
          <w:color w:val="55565A"/>
        </w:rPr>
        <w:t xml:space="preserve"> </w:t>
      </w:r>
      <w:r>
        <w:rPr>
          <w:rFonts w:ascii="Arial" w:cs="Arial" w:eastAsia="Arial" w:hAnsi="Arial"/>
          <w:sz w:val="16"/>
          <w:szCs w:val="16"/>
          <w:color w:val="55565A"/>
        </w:rPr>
        <w:t>shares (see the “Investment in LSEG” section of this management’s discussion and analysis for additional information). These inflows were partly offset by $436 million of acquisition spend, which included the purchase of a controlling interest in Pagero and all of World Business Media, and $145 million of capital expenditures.</w:t>
      </w:r>
    </w:p>
    <w:p>
      <w:pPr>
        <w:spacing w:after="0" w:line="71" w:lineRule="exact"/>
        <w:rPr>
          <w:sz w:val="20"/>
          <w:szCs w:val="20"/>
          <w:color w:val="auto"/>
        </w:rPr>
      </w:pPr>
    </w:p>
    <w:p>
      <w:pPr>
        <w:ind w:left="160" w:right="340"/>
        <w:spacing w:after="0" w:line="262" w:lineRule="auto"/>
        <w:rPr>
          <w:sz w:val="20"/>
          <w:szCs w:val="20"/>
          <w:color w:val="auto"/>
        </w:rPr>
      </w:pPr>
      <w:r>
        <w:rPr>
          <w:rFonts w:ascii="Arial" w:cs="Arial" w:eastAsia="Arial" w:hAnsi="Arial"/>
          <w:sz w:val="16"/>
          <w:szCs w:val="16"/>
          <w:color w:val="55565A"/>
        </w:rPr>
        <w:t>Net cash provided by investing activities in the first quarter of 2023 included $2,293 million in proceeds from the sales of LSEG shares. These inflows were partly offset by $490 million of acquisition spend, which included SurePrep LLC, a provider of tax automation software and services, and $140 million of capital expenditures.</w:t>
      </w:r>
    </w:p>
    <w:p>
      <w:pPr>
        <w:spacing w:after="0" w:line="66"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b w:val="1"/>
          <w:bCs w:val="1"/>
          <w:color w:val="55565A"/>
        </w:rPr>
        <w:t>Financing activities</w:t>
      </w:r>
      <w:r>
        <w:rPr>
          <w:rFonts w:ascii="Arial" w:cs="Arial" w:eastAsia="Arial" w:hAnsi="Arial"/>
          <w:sz w:val="16"/>
          <w:szCs w:val="16"/>
          <w:color w:val="55565A"/>
        </w:rPr>
        <w:t>. Net cash used in financing activities in the first quarter of 2024 included outflows of $380 million for the purchase of shares from</w:t>
      </w:r>
      <w:r>
        <w:rPr>
          <w:rFonts w:ascii="Arial" w:cs="Arial" w:eastAsia="Arial" w:hAnsi="Arial"/>
          <w:sz w:val="16"/>
          <w:szCs w:val="16"/>
          <w:b w:val="1"/>
          <w:bCs w:val="1"/>
          <w:color w:val="55565A"/>
        </w:rPr>
        <w:t xml:space="preserve"> </w:t>
      </w:r>
      <w:r>
        <w:rPr>
          <w:rFonts w:ascii="Arial" w:cs="Arial" w:eastAsia="Arial" w:hAnsi="Arial"/>
          <w:sz w:val="16"/>
          <w:szCs w:val="16"/>
          <w:color w:val="55565A"/>
        </w:rPr>
        <w:t>Pagero’s minority shareholders and $48 million for the repayment of Pagero’s outstanding debt. Cash outflows also included $589 million in returns to our common shareholders, which was comprised of $237 million of dividends and $352 million of share repurchases. These outflows were partly offset by $564 million in net borrowings under our commercial paper program.</w:t>
      </w:r>
    </w:p>
    <w:p>
      <w:pPr>
        <w:spacing w:after="0" w:line="71" w:lineRule="exact"/>
        <w:rPr>
          <w:sz w:val="20"/>
          <w:szCs w:val="20"/>
          <w:color w:val="auto"/>
        </w:rPr>
      </w:pPr>
    </w:p>
    <w:p>
      <w:pPr>
        <w:ind w:left="160" w:right="460"/>
        <w:spacing w:after="0" w:line="256" w:lineRule="auto"/>
        <w:rPr>
          <w:sz w:val="20"/>
          <w:szCs w:val="20"/>
          <w:color w:val="auto"/>
        </w:rPr>
      </w:pPr>
      <w:r>
        <w:rPr>
          <w:rFonts w:ascii="Arial" w:cs="Arial" w:eastAsia="Arial" w:hAnsi="Arial"/>
          <w:sz w:val="16"/>
          <w:szCs w:val="16"/>
          <w:color w:val="55565A"/>
        </w:rPr>
        <w:t>Net cash used in financing activities in the first quarter of 2023 included outflows of $942 million of returns to common shareholders, which was comprised of $224 million of dividends and $718 million of share repurchases, as well as $361 million in net payments under our commercial paper program. Refer to the “Commercial paper program”, ”Dividends” and “Share repurchases - Normal Course Issuer Bid (NCIB)” subsections below for additional information.</w:t>
      </w:r>
    </w:p>
    <w:p>
      <w:pPr>
        <w:spacing w:after="0" w:line="71"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b w:val="1"/>
          <w:bCs w:val="1"/>
          <w:color w:val="55565A"/>
        </w:rPr>
        <w:t xml:space="preserve">Cash and cash equivalents. </w:t>
      </w:r>
      <w:r>
        <w:rPr>
          <w:rFonts w:ascii="Arial" w:cs="Arial" w:eastAsia="Arial" w:hAnsi="Arial"/>
          <w:sz w:val="16"/>
          <w:szCs w:val="16"/>
          <w:color w:val="55565A"/>
        </w:rPr>
        <w:t>Cash and cash equivalents as of March 31, 2024 were higher compared to the beginning of the year primarily due to net</w:t>
      </w:r>
      <w:r>
        <w:rPr>
          <w:rFonts w:ascii="Arial" w:cs="Arial" w:eastAsia="Arial" w:hAnsi="Arial"/>
          <w:sz w:val="16"/>
          <w:szCs w:val="16"/>
          <w:b w:val="1"/>
          <w:bCs w:val="1"/>
          <w:color w:val="55565A"/>
        </w:rPr>
        <w:t xml:space="preserve"> </w:t>
      </w:r>
      <w:r>
        <w:rPr>
          <w:rFonts w:ascii="Arial" w:cs="Arial" w:eastAsia="Arial" w:hAnsi="Arial"/>
          <w:sz w:val="16"/>
          <w:szCs w:val="16"/>
          <w:color w:val="55565A"/>
        </w:rPr>
        <w:t>proceeds from the sale of 10.1 million of our indirectly owned LSEG shares.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 xml:space="preserve">Free cash flow. </w:t>
      </w:r>
      <w:r>
        <w:rPr>
          <w:rFonts w:ascii="Arial" w:cs="Arial" w:eastAsia="Arial" w:hAnsi="Arial"/>
          <w:sz w:val="16"/>
          <w:szCs w:val="16"/>
          <w:color w:val="55565A"/>
        </w:rPr>
        <w:t>Free cash flow increased primarily due to higher cash flows from operating activities, as capital expenditures were only slightly higher.</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The prior-year period also benefited from proceeds from the sale of a subsidiary to a company affiliated with Woodbridge.</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Additional information about our debt and credit arrangements, dividends and share repurchases is as follows:</w:t>
      </w:r>
    </w:p>
    <w:p>
      <w:pPr>
        <w:spacing w:after="0" w:line="124" w:lineRule="exact"/>
        <w:rPr>
          <w:sz w:val="20"/>
          <w:szCs w:val="20"/>
          <w:color w:val="auto"/>
        </w:rPr>
      </w:pPr>
    </w:p>
    <w:p>
      <w:pPr>
        <w:ind w:left="480" w:right="120" w:hanging="313"/>
        <w:spacing w:after="0" w:line="255" w:lineRule="auto"/>
        <w:tabs>
          <w:tab w:leader="none" w:pos="480" w:val="left"/>
        </w:tabs>
        <w:numPr>
          <w:ilvl w:val="0"/>
          <w:numId w:val="10"/>
        </w:numPr>
        <w:rPr>
          <w:rFonts w:ascii="Times New Roman" w:cs="Times New Roman" w:eastAsia="Times New Roman" w:hAnsi="Times New Roman"/>
          <w:sz w:val="16"/>
          <w:szCs w:val="16"/>
          <w:color w:val="55565A"/>
          <w:vertAlign w:val="superscript"/>
        </w:rPr>
      </w:pPr>
      <w:r>
        <w:rPr>
          <w:rFonts w:ascii="Arial" w:cs="Arial" w:eastAsia="Arial" w:hAnsi="Arial"/>
          <w:sz w:val="16"/>
          <w:szCs w:val="16"/>
          <w:b w:val="1"/>
          <w:bCs w:val="1"/>
          <w:color w:val="55565A"/>
        </w:rPr>
        <w:t xml:space="preserve">Commercial paper program. </w:t>
      </w:r>
      <w:r>
        <w:rPr>
          <w:rFonts w:ascii="Arial" w:cs="Arial" w:eastAsia="Arial" w:hAnsi="Arial"/>
          <w:sz w:val="16"/>
          <w:szCs w:val="16"/>
          <w:color w:val="55565A"/>
        </w:rPr>
        <w:t>Our $2.0 billion commercial paper program provides cost-effective and flexible short-term funding. The carrying</w:t>
      </w:r>
      <w:r>
        <w:rPr>
          <w:rFonts w:ascii="Arial" w:cs="Arial" w:eastAsia="Arial" w:hAnsi="Arial"/>
          <w:sz w:val="16"/>
          <w:szCs w:val="16"/>
          <w:b w:val="1"/>
          <w:bCs w:val="1"/>
          <w:color w:val="55565A"/>
        </w:rPr>
        <w:t xml:space="preserve"> </w:t>
      </w:r>
      <w:r>
        <w:rPr>
          <w:rFonts w:ascii="Arial" w:cs="Arial" w:eastAsia="Arial" w:hAnsi="Arial"/>
          <w:sz w:val="16"/>
          <w:szCs w:val="16"/>
          <w:color w:val="55565A"/>
        </w:rPr>
        <w:t>amount of outstanding commercial paper of $699 million is included in “Current indebtedness” within the consolidated statement of financial position as of March 31, 2024 (December 31, 2023 - $130 million). Issuances of commercial paper reached a peak of $700 million during the first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297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13</w:t>
      </w:r>
    </w:p>
    <w:p>
      <w:pPr>
        <w:sectPr>
          <w:pgSz w:w="11900" w:h="16838" w:orient="portrait"/>
          <w:cols w:equalWidth="0" w:num="1">
            <w:col w:w="11080"/>
          </w:cols>
          <w:pgMar w:left="320" w:top="454"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0" w:right="60" w:hanging="313"/>
        <w:spacing w:after="0" w:line="249" w:lineRule="auto"/>
        <w:tabs>
          <w:tab w:leader="none" w:pos="480" w:val="left"/>
        </w:tabs>
        <w:numPr>
          <w:ilvl w:val="0"/>
          <w:numId w:val="11"/>
        </w:numPr>
        <w:rPr>
          <w:rFonts w:ascii="Times New Roman" w:cs="Times New Roman" w:eastAsia="Times New Roman" w:hAnsi="Times New Roman"/>
          <w:sz w:val="16"/>
          <w:szCs w:val="16"/>
          <w:color w:val="55565A"/>
          <w:vertAlign w:val="superscript"/>
        </w:rPr>
      </w:pPr>
      <w:r>
        <w:rPr>
          <w:rFonts w:ascii="Arial" w:cs="Arial" w:eastAsia="Arial" w:hAnsi="Arial"/>
          <w:sz w:val="16"/>
          <w:szCs w:val="16"/>
          <w:b w:val="1"/>
          <w:bCs w:val="1"/>
          <w:color w:val="55565A"/>
        </w:rPr>
        <w:t xml:space="preserve">Credit facility. </w:t>
      </w:r>
      <w:r>
        <w:rPr>
          <w:rFonts w:ascii="Arial" w:cs="Arial" w:eastAsia="Arial" w:hAnsi="Arial"/>
          <w:sz w:val="16"/>
          <w:szCs w:val="16"/>
          <w:color w:val="55565A"/>
        </w:rPr>
        <w:t>We have a $2.0 billion syndicated credit facility agreement which matures in November 2027 and may be used to provide liquidity for</w:t>
      </w:r>
      <w:r>
        <w:rPr>
          <w:rFonts w:ascii="Arial" w:cs="Arial" w:eastAsia="Arial" w:hAnsi="Arial"/>
          <w:sz w:val="16"/>
          <w:szCs w:val="16"/>
          <w:b w:val="1"/>
          <w:bCs w:val="1"/>
          <w:color w:val="55565A"/>
        </w:rPr>
        <w:t xml:space="preserve"> </w:t>
      </w:r>
      <w:r>
        <w:rPr>
          <w:rFonts w:ascii="Arial" w:cs="Arial" w:eastAsia="Arial" w:hAnsi="Arial"/>
          <w:sz w:val="16"/>
          <w:szCs w:val="16"/>
          <w:color w:val="55565A"/>
        </w:rPr>
        <w:t>general corporate purposes (including acquisitions or support for our commercial paper program). There were no outstanding borrowings under the credit facility as of March 31, 2024. Based on our current credit ratings, the cost of borrowing under the facility is priced at the Term Secured Overnight Financing Rate (SOFR)/Euro Interbank Offered Rate (EURiBOR)/Simple Sterling Overnight Index Average (SONIA) plus 102.5 basis points. We have the option to request an increase, subject to approval by applicable lenders, in the lenders’ commitments in an aggregate amount of $600 million for a maximum credit facility commitment of $2.6 billion. If our debt rating is downgraded by Moody’s, S&amp;P or Fitch, our facility fees and borrowing costs would increase, although availability would be unaffected. Conversely, an upgrade in our ratings may reduce our facility fees and borrowing costs. We also monitor the lenders that are party to our facility and believe they continue to be able to lend to us.</w:t>
      </w:r>
    </w:p>
    <w:p>
      <w:pPr>
        <w:spacing w:after="0" w:line="90" w:lineRule="exact"/>
        <w:rPr>
          <w:sz w:val="20"/>
          <w:szCs w:val="20"/>
          <w:color w:val="auto"/>
        </w:rPr>
      </w:pPr>
    </w:p>
    <w:p>
      <w:pPr>
        <w:ind w:left="480" w:right="100" w:hanging="313"/>
        <w:spacing w:after="0" w:line="250" w:lineRule="auto"/>
        <w:tabs>
          <w:tab w:leader="none" w:pos="480" w:val="left"/>
        </w:tabs>
        <w:numPr>
          <w:ilvl w:val="0"/>
          <w:numId w:val="12"/>
        </w:numPr>
        <w:rPr>
          <w:rFonts w:ascii="Arial" w:cs="Arial" w:eastAsia="Arial" w:hAnsi="Arial"/>
          <w:sz w:val="16"/>
          <w:szCs w:val="16"/>
          <w:color w:val="55565A"/>
        </w:rPr>
      </w:pPr>
      <w:r>
        <w:rPr>
          <w:rFonts w:ascii="Arial" w:cs="Arial" w:eastAsia="Arial" w:hAnsi="Arial"/>
          <w:sz w:val="16"/>
          <w:szCs w:val="16"/>
          <w:color w:val="55565A"/>
        </w:rPr>
        <w:t>We guarantee borrowings by our subsidiaries under the credit facility. We must also maintain a ratio of net debt as defined in the credit agreement (total debt after swaps less cash and cash equivalents) as of the last day of each fiscal quarter to EBITDA as defined in the credit agreement (earnings before interest, income taxes, depreciation and amortization and other modifications described in the credit agreement) for the last four quarters ended of not more than 4.5:1. If we complete an acquisition with a purchase price of over $500 million, we may elect, subject to notification, to temporarily increase the ratio of net debt to EBITDA to 5.0:1 at the end of the quarter within which the transaction closed and for each of the three immediately following fiscal quarters. At the end of that period, the ratio would revert to 4.5:1. As of March 31, 2024, we complied with this covenant as our ratio of net debt to EBITDA, as calculated under the terms of our syndicated credit facility was 0.7:1.</w:t>
      </w:r>
    </w:p>
    <w:p>
      <w:pPr>
        <w:spacing w:after="0" w:line="89" w:lineRule="exact"/>
        <w:rPr>
          <w:sz w:val="20"/>
          <w:szCs w:val="20"/>
          <w:color w:val="auto"/>
        </w:rPr>
      </w:pPr>
    </w:p>
    <w:p>
      <w:pPr>
        <w:ind w:left="480" w:right="80" w:hanging="313"/>
        <w:spacing w:after="0" w:line="248" w:lineRule="auto"/>
        <w:tabs>
          <w:tab w:leader="none" w:pos="480" w:val="left"/>
        </w:tabs>
        <w:numPr>
          <w:ilvl w:val="0"/>
          <w:numId w:val="13"/>
        </w:numPr>
        <w:rPr>
          <w:rFonts w:ascii="Times New Roman" w:cs="Times New Roman" w:eastAsia="Times New Roman" w:hAnsi="Times New Roman"/>
          <w:sz w:val="16"/>
          <w:szCs w:val="16"/>
          <w:color w:val="55565A"/>
          <w:vertAlign w:val="superscript"/>
        </w:rPr>
      </w:pPr>
      <w:r>
        <w:rPr>
          <w:rFonts w:ascii="Arial" w:cs="Arial" w:eastAsia="Arial" w:hAnsi="Arial"/>
          <w:sz w:val="16"/>
          <w:szCs w:val="16"/>
          <w:b w:val="1"/>
          <w:bCs w:val="1"/>
          <w:color w:val="55565A"/>
        </w:rPr>
        <w:t xml:space="preserve">Long-term debt. </w:t>
      </w:r>
      <w:r>
        <w:rPr>
          <w:rFonts w:ascii="Arial" w:cs="Arial" w:eastAsia="Arial" w:hAnsi="Arial"/>
          <w:sz w:val="16"/>
          <w:szCs w:val="16"/>
          <w:color w:val="55565A"/>
        </w:rPr>
        <w:t>We did not issue notes or repay any of our term debt in the three months ended March 31, 2024. Thomson Reuters Corporation</w:t>
      </w:r>
      <w:r>
        <w:rPr>
          <w:rFonts w:ascii="Arial" w:cs="Arial" w:eastAsia="Arial" w:hAnsi="Arial"/>
          <w:sz w:val="16"/>
          <w:szCs w:val="16"/>
          <w:b w:val="1"/>
          <w:bCs w:val="1"/>
          <w:color w:val="55565A"/>
        </w:rPr>
        <w:t xml:space="preserve"> </w:t>
      </w:r>
      <w:r>
        <w:rPr>
          <w:rFonts w:ascii="Arial" w:cs="Arial" w:eastAsia="Arial" w:hAnsi="Arial"/>
          <w:sz w:val="16"/>
          <w:szCs w:val="16"/>
          <w:color w:val="55565A"/>
        </w:rPr>
        <w:t>and one of its U.S. subsidiaries, TR Finance LLC, may collectively issue up to $3.0 billion of unsecured debt securities from time to time through July 29, 2024 under a base shelf prospectus. Any debt securities issued by TR Finance LLC will be fully and unconditionally guaranteed on an unsecured basis by Thomson Reuters Corporation and three U.S. subsidiary guarantors, which are also indirect 100%-owned and consolidated subsidiaries of Thomson Reuters Corporation. Except for TR Finance LLC and the subsidiary guarantors, none of Thomson Reuters Corporation’s other subsidiaries have guaranteed or would otherwise become obligated with respect to any issued TR Finance LLC debt securities. Neither Thomson Reuters Corporation nor TR Finance LLC has issued any debt securities under the prospectus. We expect to file a new base shelf prospectus later this year in connection with the expiration of the current base shelf prospectus. Please refer to Appendix D of this management’s discussion and analysis for condensed consolidating financial information of the Company, including TR Finance LLC and the subsidiary guarantors.</w:t>
      </w:r>
    </w:p>
    <w:p>
      <w:pPr>
        <w:spacing w:after="0" w:line="93" w:lineRule="exact"/>
        <w:rPr>
          <w:rFonts w:ascii="Times New Roman" w:cs="Times New Roman" w:eastAsia="Times New Roman" w:hAnsi="Times New Roman"/>
          <w:sz w:val="16"/>
          <w:szCs w:val="16"/>
          <w:color w:val="55565A"/>
          <w:vertAlign w:val="superscript"/>
        </w:rPr>
      </w:pPr>
    </w:p>
    <w:p>
      <w:pPr>
        <w:ind w:left="480" w:right="20" w:hanging="313"/>
        <w:spacing w:after="0" w:line="255" w:lineRule="auto"/>
        <w:tabs>
          <w:tab w:leader="none" w:pos="480" w:val="left"/>
        </w:tabs>
        <w:numPr>
          <w:ilvl w:val="0"/>
          <w:numId w:val="13"/>
        </w:numPr>
        <w:rPr>
          <w:rFonts w:ascii="Times New Roman" w:cs="Times New Roman" w:eastAsia="Times New Roman" w:hAnsi="Times New Roman"/>
          <w:sz w:val="16"/>
          <w:szCs w:val="16"/>
          <w:color w:val="55565A"/>
          <w:vertAlign w:val="superscript"/>
        </w:rPr>
      </w:pPr>
      <w:r>
        <w:rPr>
          <w:rFonts w:ascii="Arial" w:cs="Arial" w:eastAsia="Arial" w:hAnsi="Arial"/>
          <w:sz w:val="16"/>
          <w:szCs w:val="16"/>
          <w:b w:val="1"/>
          <w:bCs w:val="1"/>
          <w:color w:val="55565A"/>
        </w:rPr>
        <w:t xml:space="preserve">Credit ratings. </w:t>
      </w:r>
      <w:r>
        <w:rPr>
          <w:rFonts w:ascii="Arial" w:cs="Arial" w:eastAsia="Arial" w:hAnsi="Arial"/>
          <w:sz w:val="16"/>
          <w:szCs w:val="16"/>
          <w:color w:val="55565A"/>
        </w:rPr>
        <w:t>Our access to financing depends on, among other things, suitable market conditions and the maintenance of suitable long-term credit</w:t>
      </w:r>
      <w:r>
        <w:rPr>
          <w:rFonts w:ascii="Arial" w:cs="Arial" w:eastAsia="Arial" w:hAnsi="Arial"/>
          <w:sz w:val="16"/>
          <w:szCs w:val="16"/>
          <w:b w:val="1"/>
          <w:bCs w:val="1"/>
          <w:color w:val="55565A"/>
        </w:rPr>
        <w:t xml:space="preserve"> </w:t>
      </w:r>
      <w:r>
        <w:rPr>
          <w:rFonts w:ascii="Arial" w:cs="Arial" w:eastAsia="Arial" w:hAnsi="Arial"/>
          <w:sz w:val="16"/>
          <w:szCs w:val="16"/>
          <w:color w:val="55565A"/>
        </w:rPr>
        <w:t>ratings. Our credit ratings may be adversely affected by various factors, including increased debt levels, decreased earnings, declines in customer demand, increased competition, a deterioration in general economic and business conditions and adverse publicity. Any downgrades in our credit ratings may impede our access to the debt markets or result in higher borrowing rates.</w:t>
      </w:r>
    </w:p>
    <w:p>
      <w:pPr>
        <w:spacing w:after="0" w:line="87" w:lineRule="exact"/>
        <w:rPr>
          <w:sz w:val="20"/>
          <w:szCs w:val="20"/>
          <w:color w:val="auto"/>
        </w:rPr>
      </w:pPr>
    </w:p>
    <w:p>
      <w:pPr>
        <w:ind w:left="480" w:right="440" w:hanging="313"/>
        <w:spacing w:after="0" w:line="279" w:lineRule="auto"/>
        <w:tabs>
          <w:tab w:leader="none" w:pos="480" w:val="left"/>
        </w:tabs>
        <w:numPr>
          <w:ilvl w:val="0"/>
          <w:numId w:val="14"/>
        </w:numPr>
        <w:rPr>
          <w:rFonts w:ascii="Arial" w:cs="Arial" w:eastAsia="Arial" w:hAnsi="Arial"/>
          <w:sz w:val="16"/>
          <w:szCs w:val="16"/>
          <w:color w:val="55565A"/>
        </w:rPr>
      </w:pPr>
      <w:r>
        <w:rPr>
          <w:rFonts w:ascii="Arial" w:cs="Arial" w:eastAsia="Arial" w:hAnsi="Arial"/>
          <w:sz w:val="16"/>
          <w:szCs w:val="16"/>
          <w:color w:val="55565A"/>
        </w:rPr>
        <w:t>The following table sets forth the credit ratings from rating agencies in respect of our outstanding securities as of the date of this management’s discussion and analysis:</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3360" w:type="dxa"/>
            <w:vAlign w:val="bottom"/>
          </w:tcPr>
          <w:p>
            <w:pPr>
              <w:spacing w:after="0"/>
              <w:rPr>
                <w:sz w:val="16"/>
                <w:szCs w:val="16"/>
                <w:color w:val="auto"/>
              </w:rPr>
            </w:pPr>
          </w:p>
        </w:tc>
        <w:tc>
          <w:tcPr>
            <w:tcW w:w="3020" w:type="dxa"/>
            <w:vAlign w:val="bottom"/>
          </w:tcPr>
          <w:p>
            <w:pPr>
              <w:ind w:left="2020"/>
              <w:spacing w:after="0"/>
              <w:rPr>
                <w:sz w:val="20"/>
                <w:szCs w:val="20"/>
                <w:color w:val="auto"/>
              </w:rPr>
            </w:pPr>
            <w:r>
              <w:rPr>
                <w:rFonts w:ascii="Arial" w:cs="Arial" w:eastAsia="Arial" w:hAnsi="Arial"/>
                <w:sz w:val="14"/>
                <w:szCs w:val="14"/>
                <w:b w:val="1"/>
                <w:bCs w:val="1"/>
                <w:color w:val="55565A"/>
              </w:rPr>
              <w:t>Moody’s</w:t>
            </w:r>
          </w:p>
        </w:tc>
        <w:tc>
          <w:tcPr>
            <w:tcW w:w="2200" w:type="dxa"/>
            <w:vAlign w:val="bottom"/>
          </w:tcPr>
          <w:p>
            <w:pPr>
              <w:ind w:left="420"/>
              <w:spacing w:after="0"/>
              <w:rPr>
                <w:sz w:val="20"/>
                <w:szCs w:val="20"/>
                <w:color w:val="auto"/>
              </w:rPr>
            </w:pPr>
            <w:r>
              <w:rPr>
                <w:rFonts w:ascii="Arial" w:cs="Arial" w:eastAsia="Arial" w:hAnsi="Arial"/>
                <w:sz w:val="14"/>
                <w:szCs w:val="14"/>
                <w:b w:val="1"/>
                <w:bCs w:val="1"/>
                <w:color w:val="55565A"/>
              </w:rPr>
              <w:t>S&amp;P Global Ratings</w:t>
            </w:r>
          </w:p>
        </w:tc>
        <w:tc>
          <w:tcPr>
            <w:tcW w:w="1660" w:type="dxa"/>
            <w:vAlign w:val="bottom"/>
          </w:tcPr>
          <w:p>
            <w:pPr>
              <w:ind w:left="420"/>
              <w:spacing w:after="0"/>
              <w:rPr>
                <w:sz w:val="20"/>
                <w:szCs w:val="20"/>
                <w:color w:val="auto"/>
              </w:rPr>
            </w:pPr>
            <w:r>
              <w:rPr>
                <w:rFonts w:ascii="Arial" w:cs="Arial" w:eastAsia="Arial" w:hAnsi="Arial"/>
                <w:sz w:val="14"/>
                <w:szCs w:val="14"/>
                <w:b w:val="1"/>
                <w:bCs w:val="1"/>
                <w:color w:val="55565A"/>
              </w:rPr>
              <w:t>DBRS Limited</w:t>
            </w:r>
          </w:p>
        </w:tc>
        <w:tc>
          <w:tcPr>
            <w:tcW w:w="680" w:type="dxa"/>
            <w:vAlign w:val="bottom"/>
          </w:tcPr>
          <w:p>
            <w:pPr>
              <w:ind w:left="260"/>
              <w:spacing w:after="0"/>
              <w:rPr>
                <w:sz w:val="20"/>
                <w:szCs w:val="20"/>
                <w:color w:val="auto"/>
              </w:rPr>
            </w:pPr>
            <w:r>
              <w:rPr>
                <w:rFonts w:ascii="Arial" w:cs="Arial" w:eastAsia="Arial" w:hAnsi="Arial"/>
                <w:sz w:val="14"/>
                <w:szCs w:val="14"/>
                <w:b w:val="1"/>
                <w:bCs w:val="1"/>
                <w:color w:val="55565A"/>
              </w:rPr>
              <w:t>Fitch</w:t>
            </w:r>
          </w:p>
        </w:tc>
      </w:tr>
      <w:tr>
        <w:trPr>
          <w:trHeight w:val="55"/>
        </w:trPr>
        <w:tc>
          <w:tcPr>
            <w:tcW w:w="3360" w:type="dxa"/>
            <w:vAlign w:val="bottom"/>
            <w:tcBorders>
              <w:bottom w:val="single" w:sz="8" w:color="88888B"/>
            </w:tcBorders>
          </w:tcPr>
          <w:p>
            <w:pPr>
              <w:spacing w:after="0"/>
              <w:rPr>
                <w:sz w:val="4"/>
                <w:szCs w:val="4"/>
                <w:color w:val="auto"/>
              </w:rPr>
            </w:pPr>
          </w:p>
        </w:tc>
        <w:tc>
          <w:tcPr>
            <w:tcW w:w="3020" w:type="dxa"/>
            <w:vAlign w:val="bottom"/>
            <w:tcBorders>
              <w:bottom w:val="single" w:sz="8" w:color="88888B"/>
            </w:tcBorders>
          </w:tcPr>
          <w:p>
            <w:pPr>
              <w:spacing w:after="0"/>
              <w:rPr>
                <w:sz w:val="4"/>
                <w:szCs w:val="4"/>
                <w:color w:val="auto"/>
              </w:rPr>
            </w:pPr>
          </w:p>
        </w:tc>
        <w:tc>
          <w:tcPr>
            <w:tcW w:w="2200" w:type="dxa"/>
            <w:vAlign w:val="bottom"/>
            <w:tcBorders>
              <w:bottom w:val="single" w:sz="8" w:color="88888B"/>
            </w:tcBorders>
          </w:tcPr>
          <w:p>
            <w:pPr>
              <w:spacing w:after="0"/>
              <w:rPr>
                <w:sz w:val="4"/>
                <w:szCs w:val="4"/>
                <w:color w:val="auto"/>
              </w:rPr>
            </w:pPr>
          </w:p>
        </w:tc>
        <w:tc>
          <w:tcPr>
            <w:tcW w:w="1660" w:type="dxa"/>
            <w:vAlign w:val="bottom"/>
            <w:tcBorders>
              <w:bottom w:val="single" w:sz="8" w:color="88888B"/>
            </w:tcBorders>
          </w:tcPr>
          <w:p>
            <w:pPr>
              <w:spacing w:after="0"/>
              <w:rPr>
                <w:sz w:val="4"/>
                <w:szCs w:val="4"/>
                <w:color w:val="auto"/>
              </w:rPr>
            </w:pPr>
          </w:p>
        </w:tc>
        <w:tc>
          <w:tcPr>
            <w:tcW w:w="680" w:type="dxa"/>
            <w:vAlign w:val="bottom"/>
            <w:tcBorders>
              <w:bottom w:val="single" w:sz="8" w:color="88888B"/>
            </w:tcBorders>
          </w:tcPr>
          <w:p>
            <w:pPr>
              <w:spacing w:after="0"/>
              <w:rPr>
                <w:sz w:val="4"/>
                <w:szCs w:val="4"/>
                <w:color w:val="auto"/>
              </w:rPr>
            </w:pPr>
          </w:p>
        </w:tc>
      </w:tr>
      <w:tr>
        <w:trPr>
          <w:trHeight w:val="207"/>
        </w:trPr>
        <w:tc>
          <w:tcPr>
            <w:tcW w:w="336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   Long-term debt</w:t>
            </w:r>
          </w:p>
        </w:tc>
        <w:tc>
          <w:tcPr>
            <w:tcW w:w="3020" w:type="dxa"/>
            <w:vAlign w:val="bottom"/>
            <w:shd w:val="clear" w:color="auto" w:fill="CCEEFF"/>
          </w:tcPr>
          <w:p>
            <w:pPr>
              <w:ind w:left="2020"/>
              <w:spacing w:after="0"/>
              <w:rPr>
                <w:sz w:val="20"/>
                <w:szCs w:val="20"/>
                <w:color w:val="auto"/>
              </w:rPr>
            </w:pPr>
            <w:r>
              <w:rPr>
                <w:rFonts w:ascii="Arial" w:cs="Arial" w:eastAsia="Arial" w:hAnsi="Arial"/>
                <w:sz w:val="14"/>
                <w:szCs w:val="14"/>
                <w:color w:val="55565A"/>
              </w:rPr>
              <w:t>Baa1</w:t>
            </w:r>
          </w:p>
        </w:tc>
        <w:tc>
          <w:tcPr>
            <w:tcW w:w="2200" w:type="dxa"/>
            <w:vAlign w:val="bottom"/>
            <w:shd w:val="clear" w:color="auto" w:fill="CCEEFF"/>
          </w:tcPr>
          <w:p>
            <w:pPr>
              <w:ind w:left="420"/>
              <w:spacing w:after="0"/>
              <w:rPr>
                <w:sz w:val="20"/>
                <w:szCs w:val="20"/>
                <w:color w:val="auto"/>
              </w:rPr>
            </w:pPr>
            <w:r>
              <w:rPr>
                <w:rFonts w:ascii="Arial" w:cs="Arial" w:eastAsia="Arial" w:hAnsi="Arial"/>
                <w:sz w:val="14"/>
                <w:szCs w:val="14"/>
                <w:color w:val="55565A"/>
              </w:rPr>
              <w:t>BBB</w:t>
            </w:r>
          </w:p>
        </w:tc>
        <w:tc>
          <w:tcPr>
            <w:tcW w:w="1660" w:type="dxa"/>
            <w:vAlign w:val="bottom"/>
            <w:shd w:val="clear" w:color="auto" w:fill="CCEEFF"/>
          </w:tcPr>
          <w:p>
            <w:pPr>
              <w:ind w:left="420"/>
              <w:spacing w:after="0"/>
              <w:rPr>
                <w:sz w:val="20"/>
                <w:szCs w:val="20"/>
                <w:color w:val="auto"/>
              </w:rPr>
            </w:pPr>
            <w:r>
              <w:rPr>
                <w:rFonts w:ascii="Arial" w:cs="Arial" w:eastAsia="Arial" w:hAnsi="Arial"/>
                <w:sz w:val="14"/>
                <w:szCs w:val="14"/>
                <w:color w:val="55565A"/>
              </w:rPr>
              <w:t>BBB (high)</w:t>
            </w:r>
          </w:p>
        </w:tc>
        <w:tc>
          <w:tcPr>
            <w:tcW w:w="680" w:type="dxa"/>
            <w:vAlign w:val="bottom"/>
            <w:shd w:val="clear" w:color="auto" w:fill="CCEEFF"/>
          </w:tcPr>
          <w:p>
            <w:pPr>
              <w:ind w:left="260"/>
              <w:spacing w:after="0"/>
              <w:rPr>
                <w:sz w:val="20"/>
                <w:szCs w:val="20"/>
                <w:color w:val="auto"/>
              </w:rPr>
            </w:pPr>
            <w:r>
              <w:rPr>
                <w:rFonts w:ascii="Arial" w:cs="Arial" w:eastAsia="Arial" w:hAnsi="Arial"/>
                <w:sz w:val="14"/>
                <w:szCs w:val="14"/>
                <w:color w:val="55565A"/>
              </w:rPr>
              <w:t>BBB+</w:t>
            </w:r>
          </w:p>
        </w:tc>
      </w:tr>
      <w:tr>
        <w:trPr>
          <w:trHeight w:val="213"/>
        </w:trPr>
        <w:tc>
          <w:tcPr>
            <w:tcW w:w="3360" w:type="dxa"/>
            <w:vAlign w:val="bottom"/>
          </w:tcPr>
          <w:p>
            <w:pPr>
              <w:spacing w:after="0"/>
              <w:rPr>
                <w:sz w:val="20"/>
                <w:szCs w:val="20"/>
                <w:color w:val="auto"/>
              </w:rPr>
            </w:pPr>
            <w:r>
              <w:rPr>
                <w:rFonts w:ascii="Arial" w:cs="Arial" w:eastAsia="Arial" w:hAnsi="Arial"/>
                <w:sz w:val="14"/>
                <w:szCs w:val="14"/>
                <w:b w:val="1"/>
                <w:bCs w:val="1"/>
                <w:color w:val="55565A"/>
              </w:rPr>
              <w:t>   Commercial paper</w:t>
            </w:r>
          </w:p>
        </w:tc>
        <w:tc>
          <w:tcPr>
            <w:tcW w:w="3020" w:type="dxa"/>
            <w:vAlign w:val="bottom"/>
          </w:tcPr>
          <w:p>
            <w:pPr>
              <w:ind w:left="2020"/>
              <w:spacing w:after="0"/>
              <w:rPr>
                <w:sz w:val="20"/>
                <w:szCs w:val="20"/>
                <w:color w:val="auto"/>
              </w:rPr>
            </w:pPr>
            <w:r>
              <w:rPr>
                <w:rFonts w:ascii="Arial" w:cs="Arial" w:eastAsia="Arial" w:hAnsi="Arial"/>
                <w:sz w:val="14"/>
                <w:szCs w:val="14"/>
                <w:color w:val="55565A"/>
              </w:rPr>
              <w:t>P-2</w:t>
            </w:r>
          </w:p>
        </w:tc>
        <w:tc>
          <w:tcPr>
            <w:tcW w:w="2200" w:type="dxa"/>
            <w:vAlign w:val="bottom"/>
          </w:tcPr>
          <w:p>
            <w:pPr>
              <w:ind w:left="420"/>
              <w:spacing w:after="0"/>
              <w:rPr>
                <w:sz w:val="20"/>
                <w:szCs w:val="20"/>
                <w:color w:val="auto"/>
              </w:rPr>
            </w:pPr>
            <w:r>
              <w:rPr>
                <w:rFonts w:ascii="Arial" w:cs="Arial" w:eastAsia="Arial" w:hAnsi="Arial"/>
                <w:sz w:val="14"/>
                <w:szCs w:val="14"/>
                <w:color w:val="55565A"/>
              </w:rPr>
              <w:t>A-2</w:t>
            </w:r>
          </w:p>
        </w:tc>
        <w:tc>
          <w:tcPr>
            <w:tcW w:w="1660" w:type="dxa"/>
            <w:vAlign w:val="bottom"/>
          </w:tcPr>
          <w:p>
            <w:pPr>
              <w:ind w:left="420"/>
              <w:spacing w:after="0"/>
              <w:rPr>
                <w:sz w:val="20"/>
                <w:szCs w:val="20"/>
                <w:color w:val="auto"/>
              </w:rPr>
            </w:pPr>
            <w:r>
              <w:rPr>
                <w:rFonts w:ascii="Arial" w:cs="Arial" w:eastAsia="Arial" w:hAnsi="Arial"/>
                <w:sz w:val="14"/>
                <w:szCs w:val="14"/>
                <w:color w:val="55565A"/>
              </w:rPr>
              <w:t>R-2 (high)</w:t>
            </w:r>
          </w:p>
        </w:tc>
        <w:tc>
          <w:tcPr>
            <w:tcW w:w="680" w:type="dxa"/>
            <w:vAlign w:val="bottom"/>
          </w:tcPr>
          <w:p>
            <w:pPr>
              <w:ind w:left="260"/>
              <w:spacing w:after="0"/>
              <w:rPr>
                <w:sz w:val="20"/>
                <w:szCs w:val="20"/>
                <w:color w:val="auto"/>
              </w:rPr>
            </w:pPr>
            <w:r>
              <w:rPr>
                <w:rFonts w:ascii="Arial" w:cs="Arial" w:eastAsia="Arial" w:hAnsi="Arial"/>
                <w:sz w:val="14"/>
                <w:szCs w:val="14"/>
                <w:color w:val="55565A"/>
              </w:rPr>
              <w:t>F1</w:t>
            </w:r>
          </w:p>
        </w:tc>
      </w:tr>
      <w:tr>
        <w:trPr>
          <w:trHeight w:val="214"/>
        </w:trPr>
        <w:tc>
          <w:tcPr>
            <w:tcW w:w="3360" w:type="dxa"/>
            <w:vAlign w:val="bottom"/>
            <w:tcBorders>
              <w:bottom w:val="single" w:sz="8" w:color="55565A"/>
            </w:tcBorders>
            <w:shd w:val="clear" w:color="auto" w:fill="CCEEFF"/>
          </w:tcPr>
          <w:p>
            <w:pPr>
              <w:spacing w:after="0"/>
              <w:rPr>
                <w:sz w:val="20"/>
                <w:szCs w:val="20"/>
                <w:color w:val="auto"/>
              </w:rPr>
            </w:pPr>
            <w:r>
              <w:rPr>
                <w:rFonts w:ascii="Arial" w:cs="Arial" w:eastAsia="Arial" w:hAnsi="Arial"/>
                <w:sz w:val="14"/>
                <w:szCs w:val="14"/>
                <w:b w:val="1"/>
                <w:bCs w:val="1"/>
                <w:color w:val="55565A"/>
              </w:rPr>
              <w:t>   Trend/Outlook</w:t>
            </w:r>
          </w:p>
        </w:tc>
        <w:tc>
          <w:tcPr>
            <w:tcW w:w="3020" w:type="dxa"/>
            <w:vAlign w:val="bottom"/>
            <w:tcBorders>
              <w:bottom w:val="single" w:sz="8" w:color="55565A"/>
            </w:tcBorders>
            <w:shd w:val="clear" w:color="auto" w:fill="CCEEFF"/>
          </w:tcPr>
          <w:p>
            <w:pPr>
              <w:ind w:left="2020"/>
              <w:spacing w:after="0"/>
              <w:rPr>
                <w:sz w:val="20"/>
                <w:szCs w:val="20"/>
                <w:color w:val="auto"/>
              </w:rPr>
            </w:pPr>
            <w:r>
              <w:rPr>
                <w:rFonts w:ascii="Arial" w:cs="Arial" w:eastAsia="Arial" w:hAnsi="Arial"/>
                <w:sz w:val="14"/>
                <w:szCs w:val="14"/>
                <w:color w:val="55565A"/>
              </w:rPr>
              <w:t>Stable</w:t>
            </w:r>
          </w:p>
        </w:tc>
        <w:tc>
          <w:tcPr>
            <w:tcW w:w="2200" w:type="dxa"/>
            <w:vAlign w:val="bottom"/>
            <w:tcBorders>
              <w:bottom w:val="single" w:sz="8" w:color="55565A"/>
            </w:tcBorders>
            <w:shd w:val="clear" w:color="auto" w:fill="CCEEFF"/>
          </w:tcPr>
          <w:p>
            <w:pPr>
              <w:ind w:left="420"/>
              <w:spacing w:after="0"/>
              <w:rPr>
                <w:sz w:val="20"/>
                <w:szCs w:val="20"/>
                <w:color w:val="auto"/>
              </w:rPr>
            </w:pPr>
            <w:r>
              <w:rPr>
                <w:rFonts w:ascii="Arial" w:cs="Arial" w:eastAsia="Arial" w:hAnsi="Arial"/>
                <w:sz w:val="14"/>
                <w:szCs w:val="14"/>
                <w:color w:val="55565A"/>
              </w:rPr>
              <w:t>Stable</w:t>
            </w:r>
          </w:p>
        </w:tc>
        <w:tc>
          <w:tcPr>
            <w:tcW w:w="1660" w:type="dxa"/>
            <w:vAlign w:val="bottom"/>
            <w:tcBorders>
              <w:bottom w:val="single" w:sz="8" w:color="55565A"/>
            </w:tcBorders>
            <w:shd w:val="clear" w:color="auto" w:fill="CCEEFF"/>
          </w:tcPr>
          <w:p>
            <w:pPr>
              <w:ind w:left="420"/>
              <w:spacing w:after="0"/>
              <w:rPr>
                <w:sz w:val="20"/>
                <w:szCs w:val="20"/>
                <w:color w:val="auto"/>
              </w:rPr>
            </w:pPr>
            <w:r>
              <w:rPr>
                <w:rFonts w:ascii="Arial" w:cs="Arial" w:eastAsia="Arial" w:hAnsi="Arial"/>
                <w:sz w:val="14"/>
                <w:szCs w:val="14"/>
                <w:color w:val="55565A"/>
              </w:rPr>
              <w:t>Stable</w:t>
            </w:r>
          </w:p>
        </w:tc>
        <w:tc>
          <w:tcPr>
            <w:tcW w:w="680" w:type="dxa"/>
            <w:vAlign w:val="bottom"/>
            <w:tcBorders>
              <w:bottom w:val="single" w:sz="8" w:color="55565A"/>
            </w:tcBorders>
            <w:shd w:val="clear" w:color="auto" w:fill="CCEEFF"/>
          </w:tcPr>
          <w:p>
            <w:pPr>
              <w:ind w:left="260"/>
              <w:spacing w:after="0"/>
              <w:rPr>
                <w:sz w:val="20"/>
                <w:szCs w:val="20"/>
                <w:color w:val="auto"/>
              </w:rPr>
            </w:pPr>
            <w:r>
              <w:rPr>
                <w:rFonts w:ascii="Arial" w:cs="Arial" w:eastAsia="Arial" w:hAnsi="Arial"/>
                <w:sz w:val="14"/>
                <w:szCs w:val="14"/>
                <w:color w:val="55565A"/>
              </w:rPr>
              <w:t>Stable</w:t>
            </w:r>
          </w:p>
        </w:tc>
      </w:tr>
    </w:tbl>
    <w:p>
      <w:pPr>
        <w:spacing w:after="0" w:line="106" w:lineRule="exact"/>
        <w:rPr>
          <w:sz w:val="20"/>
          <w:szCs w:val="20"/>
          <w:color w:val="auto"/>
        </w:rPr>
      </w:pPr>
    </w:p>
    <w:p>
      <w:pPr>
        <w:ind w:left="480" w:right="240" w:hanging="313"/>
        <w:spacing w:after="0" w:line="262" w:lineRule="auto"/>
        <w:tabs>
          <w:tab w:leader="none" w:pos="480" w:val="left"/>
        </w:tabs>
        <w:numPr>
          <w:ilvl w:val="0"/>
          <w:numId w:val="15"/>
        </w:numPr>
        <w:rPr>
          <w:rFonts w:ascii="Arial" w:cs="Arial" w:eastAsia="Arial" w:hAnsi="Arial"/>
          <w:sz w:val="16"/>
          <w:szCs w:val="16"/>
          <w:color w:val="55565A"/>
        </w:rPr>
      </w:pPr>
      <w:r>
        <w:rPr>
          <w:rFonts w:ascii="Arial" w:cs="Arial" w:eastAsia="Arial" w:hAnsi="Arial"/>
          <w:sz w:val="16"/>
          <w:szCs w:val="16"/>
          <w:color w:val="55565A"/>
        </w:rPr>
        <w:t>These credit ratings are not recommendations to purchase, hold, or sell securities and do not address the market price or suitability of a specific security for a particular investor. Credit ratings may not reflect the potential impact of all risks on the value of securities. We cannot ensure that our credit ratings will not be lowered in the future or that rating agencies will not issue adverse commentaries regarding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14</w:t>
      </w:r>
    </w:p>
    <w:p>
      <w:pPr>
        <w:sectPr>
          <w:pgSz w:w="11900" w:h="16838" w:orient="portrait"/>
          <w:cols w:equalWidth="0" w:num="1">
            <w:col w:w="11080"/>
          </w:cols>
          <w:pgMar w:left="320" w:top="454"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0" w:right="240" w:hanging="313"/>
        <w:spacing w:after="0" w:line="251" w:lineRule="auto"/>
        <w:tabs>
          <w:tab w:leader="none" w:pos="480" w:val="left"/>
        </w:tabs>
        <w:numPr>
          <w:ilvl w:val="0"/>
          <w:numId w:val="16"/>
        </w:numPr>
        <w:rPr>
          <w:rFonts w:ascii="Times New Roman" w:cs="Times New Roman" w:eastAsia="Times New Roman" w:hAnsi="Times New Roman"/>
          <w:sz w:val="16"/>
          <w:szCs w:val="16"/>
          <w:color w:val="55565A"/>
          <w:vertAlign w:val="superscript"/>
        </w:rPr>
      </w:pPr>
      <w:r>
        <w:rPr>
          <w:rFonts w:ascii="Arial" w:cs="Arial" w:eastAsia="Arial" w:hAnsi="Arial"/>
          <w:sz w:val="16"/>
          <w:szCs w:val="16"/>
          <w:b w:val="1"/>
          <w:bCs w:val="1"/>
          <w:color w:val="55565A"/>
        </w:rPr>
        <w:t xml:space="preserve">Dividends. </w:t>
      </w:r>
      <w:r>
        <w:rPr>
          <w:rFonts w:ascii="Arial" w:cs="Arial" w:eastAsia="Arial" w:hAnsi="Arial"/>
          <w:sz w:val="16"/>
          <w:szCs w:val="16"/>
          <w:color w:val="55565A"/>
        </w:rPr>
        <w:t>Dividends on our common shares are declared in U.S. dollars. In February 2024, we announced a 10% or $0.20 per share increase in</w:t>
      </w:r>
      <w:r>
        <w:rPr>
          <w:rFonts w:ascii="Arial" w:cs="Arial" w:eastAsia="Arial" w:hAnsi="Arial"/>
          <w:sz w:val="16"/>
          <w:szCs w:val="16"/>
          <w:b w:val="1"/>
          <w:bCs w:val="1"/>
          <w:color w:val="55565A"/>
        </w:rPr>
        <w:t xml:space="preserve"> </w:t>
      </w:r>
      <w:r>
        <w:rPr>
          <w:rFonts w:ascii="Arial" w:cs="Arial" w:eastAsia="Arial" w:hAnsi="Arial"/>
          <w:sz w:val="16"/>
          <w:szCs w:val="16"/>
          <w:color w:val="55565A"/>
        </w:rPr>
        <w:t>the annualized dividend rate to $2.16 per common share (beginning with the common share dividend that we paid in March 2024). In our consolidated statement of cash flow, dividends paid on common shares are shown net of amounts reinvested in our company under our dividend reinvestment plan (DRIP). Registered holders of common shares may participate in our DRIP, under which cash dividends are automatically reinvested in new common shares. Common shares are valued at the weighted-average price at which the shares traded on the Toronto Stock Exchange (TSX) during the five trading days immediately preceding the record date for the dividend.</w:t>
      </w:r>
    </w:p>
    <w:p>
      <w:pPr>
        <w:spacing w:after="0" w:line="89" w:lineRule="exact"/>
        <w:rPr>
          <w:sz w:val="20"/>
          <w:szCs w:val="20"/>
          <w:color w:val="auto"/>
        </w:rPr>
      </w:pPr>
    </w:p>
    <w:p>
      <w:pPr>
        <w:ind w:left="480" w:hanging="313"/>
        <w:spacing w:after="0"/>
        <w:tabs>
          <w:tab w:leader="none" w:pos="480" w:val="left"/>
        </w:tabs>
        <w:numPr>
          <w:ilvl w:val="0"/>
          <w:numId w:val="17"/>
        </w:numPr>
        <w:rPr>
          <w:rFonts w:ascii="Arial" w:cs="Arial" w:eastAsia="Arial" w:hAnsi="Arial"/>
          <w:sz w:val="16"/>
          <w:szCs w:val="16"/>
          <w:color w:val="55565A"/>
        </w:rPr>
      </w:pPr>
      <w:r>
        <w:rPr>
          <w:rFonts w:ascii="Arial" w:cs="Arial" w:eastAsia="Arial" w:hAnsi="Arial"/>
          <w:sz w:val="16"/>
          <w:szCs w:val="16"/>
          <w:color w:val="55565A"/>
        </w:rPr>
        <w:t>Details of dividends declared per common share and dividends paid on common shares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7"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55565A"/>
        </w:rPr>
        <w:t>Three months ended March 31,</w:t>
      </w:r>
    </w:p>
    <w:p>
      <w:pPr>
        <w:spacing w:after="0" w:line="88"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5360" w:type="dxa"/>
            <w:vAlign w:val="bottom"/>
          </w:tcPr>
          <w:p>
            <w:pPr>
              <w:spacing w:after="0"/>
              <w:rPr>
                <w:sz w:val="20"/>
                <w:szCs w:val="20"/>
                <w:color w:val="auto"/>
              </w:rPr>
            </w:pPr>
            <w:r>
              <w:rPr>
                <w:rFonts w:ascii="Arial" w:cs="Arial" w:eastAsia="Arial" w:hAnsi="Arial"/>
                <w:sz w:val="14"/>
                <w:szCs w:val="14"/>
                <w:color w:val="55565A"/>
              </w:rPr>
              <w:t>   (millions of U.S. dollars, except per share amounts)</w:t>
            </w:r>
          </w:p>
        </w:tc>
        <w:tc>
          <w:tcPr>
            <w:tcW w:w="2340" w:type="dxa"/>
            <w:vAlign w:val="bottom"/>
          </w:tcPr>
          <w:p>
            <w:pPr>
              <w:jc w:val="right"/>
              <w:spacing w:after="0"/>
              <w:rPr>
                <w:sz w:val="20"/>
                <w:szCs w:val="20"/>
                <w:color w:val="auto"/>
              </w:rPr>
            </w:pPr>
            <w:r>
              <w:rPr>
                <w:rFonts w:ascii="Arial" w:cs="Arial" w:eastAsia="Arial" w:hAnsi="Arial"/>
                <w:sz w:val="14"/>
                <w:szCs w:val="14"/>
                <w:b w:val="1"/>
                <w:bCs w:val="1"/>
                <w:color w:val="55565A"/>
              </w:rPr>
              <w:t> </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55565A"/>
                <w:w w:val="80"/>
              </w:rPr>
              <w:t>   2024 </w:t>
            </w:r>
          </w:p>
        </w:tc>
        <w:tc>
          <w:tcPr>
            <w:tcW w:w="540" w:type="dxa"/>
            <w:vAlign w:val="bottom"/>
          </w:tcPr>
          <w:p>
            <w:pPr>
              <w:ind w:left="60"/>
              <w:spacing w:after="0"/>
              <w:rPr>
                <w:sz w:val="20"/>
                <w:szCs w:val="20"/>
                <w:color w:val="auto"/>
              </w:rPr>
            </w:pPr>
            <w:r>
              <w:rPr>
                <w:rFonts w:ascii="Arial" w:cs="Arial" w:eastAsia="Arial" w:hAnsi="Arial"/>
                <w:sz w:val="14"/>
                <w:szCs w:val="14"/>
                <w:b w:val="1"/>
                <w:bCs w:val="1"/>
                <w:color w:val="55565A"/>
              </w:rPr>
              <w:t> </w:t>
            </w:r>
          </w:p>
        </w:tc>
        <w:tc>
          <w:tcPr>
            <w:tcW w:w="780" w:type="dxa"/>
            <w:vAlign w:val="bottom"/>
          </w:tcPr>
          <w:p>
            <w:pPr>
              <w:jc w:val="right"/>
              <w:spacing w:after="0"/>
              <w:rPr>
                <w:sz w:val="20"/>
                <w:szCs w:val="20"/>
                <w:color w:val="auto"/>
              </w:rPr>
            </w:pPr>
            <w:r>
              <w:rPr>
                <w:rFonts w:ascii="Arial" w:cs="Arial" w:eastAsia="Arial" w:hAnsi="Arial"/>
                <w:sz w:val="14"/>
                <w:szCs w:val="14"/>
                <w:color w:val="55565A"/>
              </w:rPr>
              <w:t> </w:t>
            </w:r>
          </w:p>
        </w:tc>
        <w:tc>
          <w:tcPr>
            <w:tcW w:w="620" w:type="dxa"/>
            <w:vAlign w:val="bottom"/>
          </w:tcPr>
          <w:p>
            <w:pPr>
              <w:jc w:val="right"/>
              <w:spacing w:after="0"/>
              <w:rPr>
                <w:sz w:val="20"/>
                <w:szCs w:val="20"/>
                <w:color w:val="auto"/>
              </w:rPr>
            </w:pPr>
            <w:r>
              <w:rPr>
                <w:rFonts w:ascii="Arial" w:cs="Arial" w:eastAsia="Arial" w:hAnsi="Arial"/>
                <w:sz w:val="14"/>
                <w:szCs w:val="14"/>
                <w:color w:val="55565A"/>
                <w:w w:val="80"/>
              </w:rPr>
              <w:t>   2023 </w:t>
            </w:r>
          </w:p>
        </w:tc>
        <w:tc>
          <w:tcPr>
            <w:tcW w:w="680" w:type="dxa"/>
            <w:vAlign w:val="bottom"/>
          </w:tcPr>
          <w:p>
            <w:pPr>
              <w:ind w:left="40"/>
              <w:spacing w:after="0"/>
              <w:rPr>
                <w:sz w:val="20"/>
                <w:szCs w:val="20"/>
                <w:color w:val="auto"/>
              </w:rPr>
            </w:pPr>
            <w:r>
              <w:rPr>
                <w:rFonts w:ascii="Arial" w:cs="Arial" w:eastAsia="Arial" w:hAnsi="Arial"/>
                <w:sz w:val="14"/>
                <w:szCs w:val="14"/>
                <w:color w:val="55565A"/>
              </w:rPr>
              <w:t> </w:t>
            </w:r>
          </w:p>
        </w:tc>
      </w:tr>
      <w:tr>
        <w:trPr>
          <w:trHeight w:val="55"/>
        </w:trPr>
        <w:tc>
          <w:tcPr>
            <w:tcW w:w="5360" w:type="dxa"/>
            <w:vAlign w:val="bottom"/>
            <w:tcBorders>
              <w:bottom w:val="single" w:sz="8" w:color="88888B"/>
            </w:tcBorders>
          </w:tcPr>
          <w:p>
            <w:pPr>
              <w:spacing w:after="0"/>
              <w:rPr>
                <w:sz w:val="4"/>
                <w:szCs w:val="4"/>
                <w:color w:val="auto"/>
              </w:rPr>
            </w:pPr>
          </w:p>
        </w:tc>
        <w:tc>
          <w:tcPr>
            <w:tcW w:w="2340" w:type="dxa"/>
            <w:vAlign w:val="bottom"/>
            <w:tcBorders>
              <w:bottom w:val="single" w:sz="8" w:color="88888B"/>
            </w:tcBorders>
          </w:tcPr>
          <w:p>
            <w:pPr>
              <w:spacing w:after="0"/>
              <w:rPr>
                <w:sz w:val="4"/>
                <w:szCs w:val="4"/>
                <w:color w:val="auto"/>
              </w:rPr>
            </w:pPr>
          </w:p>
        </w:tc>
        <w:tc>
          <w:tcPr>
            <w:tcW w:w="600" w:type="dxa"/>
            <w:vAlign w:val="bottom"/>
            <w:tcBorders>
              <w:bottom w:val="single" w:sz="8" w:color="88888B"/>
            </w:tcBorders>
          </w:tcPr>
          <w:p>
            <w:pPr>
              <w:spacing w:after="0"/>
              <w:rPr>
                <w:sz w:val="4"/>
                <w:szCs w:val="4"/>
                <w:color w:val="auto"/>
              </w:rPr>
            </w:pPr>
          </w:p>
        </w:tc>
        <w:tc>
          <w:tcPr>
            <w:tcW w:w="540" w:type="dxa"/>
            <w:vAlign w:val="bottom"/>
            <w:tcBorders>
              <w:bottom w:val="single" w:sz="8" w:color="88888B"/>
            </w:tcBorders>
          </w:tcPr>
          <w:p>
            <w:pPr>
              <w:spacing w:after="0"/>
              <w:rPr>
                <w:sz w:val="4"/>
                <w:szCs w:val="4"/>
                <w:color w:val="auto"/>
              </w:rPr>
            </w:pPr>
          </w:p>
        </w:tc>
        <w:tc>
          <w:tcPr>
            <w:tcW w:w="780" w:type="dxa"/>
            <w:vAlign w:val="bottom"/>
            <w:tcBorders>
              <w:bottom w:val="single" w:sz="8" w:color="88888B"/>
            </w:tcBorders>
          </w:tcPr>
          <w:p>
            <w:pPr>
              <w:spacing w:after="0"/>
              <w:rPr>
                <w:sz w:val="4"/>
                <w:szCs w:val="4"/>
                <w:color w:val="auto"/>
              </w:rPr>
            </w:pPr>
          </w:p>
        </w:tc>
        <w:tc>
          <w:tcPr>
            <w:tcW w:w="620" w:type="dxa"/>
            <w:vAlign w:val="bottom"/>
            <w:tcBorders>
              <w:bottom w:val="single" w:sz="8" w:color="88888B"/>
            </w:tcBorders>
          </w:tcPr>
          <w:p>
            <w:pPr>
              <w:spacing w:after="0"/>
              <w:rPr>
                <w:sz w:val="4"/>
                <w:szCs w:val="4"/>
                <w:color w:val="auto"/>
              </w:rPr>
            </w:pPr>
          </w:p>
        </w:tc>
        <w:tc>
          <w:tcPr>
            <w:tcW w:w="680" w:type="dxa"/>
            <w:vAlign w:val="bottom"/>
            <w:tcBorders>
              <w:bottom w:val="single" w:sz="8" w:color="88888B"/>
            </w:tcBorders>
          </w:tcPr>
          <w:p>
            <w:pPr>
              <w:spacing w:after="0"/>
              <w:rPr>
                <w:sz w:val="4"/>
                <w:szCs w:val="4"/>
                <w:color w:val="auto"/>
              </w:rPr>
            </w:pPr>
          </w:p>
        </w:tc>
      </w:tr>
      <w:tr>
        <w:trPr>
          <w:trHeight w:val="207"/>
        </w:trPr>
        <w:tc>
          <w:tcPr>
            <w:tcW w:w="536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   Dividends declared per common share</w:t>
            </w:r>
          </w:p>
        </w:tc>
        <w:tc>
          <w:tcPr>
            <w:tcW w:w="2340" w:type="dxa"/>
            <w:vAlign w:val="bottom"/>
            <w:tcBorders>
              <w:bottom w:val="single" w:sz="8" w:color="88888B"/>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5565A"/>
              </w:rPr>
              <w:t>$</w:t>
            </w:r>
          </w:p>
        </w:tc>
        <w:tc>
          <w:tcPr>
            <w:tcW w:w="60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4"/>
                <w:szCs w:val="14"/>
                <w:b w:val="1"/>
                <w:bCs w:val="1"/>
                <w:color w:val="55565A"/>
              </w:rPr>
              <w:t>0.54 </w:t>
            </w:r>
          </w:p>
        </w:tc>
        <w:tc>
          <w:tcPr>
            <w:tcW w:w="540" w:type="dxa"/>
            <w:vAlign w:val="bottom"/>
            <w:tcBorders>
              <w:bottom w:val="single" w:sz="8" w:color="88888B"/>
            </w:tcBorders>
            <w:shd w:val="clear" w:color="auto" w:fill="CCEEFF"/>
          </w:tcPr>
          <w:p>
            <w:pPr>
              <w:ind w:left="60"/>
              <w:spacing w:after="0"/>
              <w:rPr>
                <w:sz w:val="20"/>
                <w:szCs w:val="20"/>
                <w:color w:val="auto"/>
              </w:rPr>
            </w:pPr>
            <w:r>
              <w:rPr>
                <w:rFonts w:ascii="Arial" w:cs="Arial" w:eastAsia="Arial" w:hAnsi="Arial"/>
                <w:sz w:val="14"/>
                <w:szCs w:val="14"/>
                <w:b w:val="1"/>
                <w:bCs w:val="1"/>
                <w:color w:val="55565A"/>
              </w:rPr>
              <w:t> </w:t>
            </w:r>
          </w:p>
        </w:tc>
        <w:tc>
          <w:tcPr>
            <w:tcW w:w="78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62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4"/>
                <w:szCs w:val="14"/>
                <w:color w:val="55565A"/>
              </w:rPr>
              <w:t>0.49 </w:t>
            </w:r>
          </w:p>
        </w:tc>
        <w:tc>
          <w:tcPr>
            <w:tcW w:w="680" w:type="dxa"/>
            <w:vAlign w:val="bottom"/>
            <w:tcBorders>
              <w:bottom w:val="single" w:sz="8" w:color="88888B"/>
            </w:tcBorders>
            <w:shd w:val="clear" w:color="auto" w:fill="CCEEFF"/>
          </w:tcPr>
          <w:p>
            <w:pPr>
              <w:ind w:left="40"/>
              <w:spacing w:after="0"/>
              <w:rPr>
                <w:sz w:val="20"/>
                <w:szCs w:val="20"/>
                <w:color w:val="auto"/>
              </w:rPr>
            </w:pPr>
            <w:r>
              <w:rPr>
                <w:rFonts w:ascii="Arial" w:cs="Arial" w:eastAsia="Arial" w:hAnsi="Arial"/>
                <w:sz w:val="14"/>
                <w:szCs w:val="14"/>
                <w:color w:val="55565A"/>
              </w:rPr>
              <w:t> </w:t>
            </w:r>
          </w:p>
        </w:tc>
      </w:tr>
      <w:tr>
        <w:trPr>
          <w:trHeight w:val="207"/>
        </w:trPr>
        <w:tc>
          <w:tcPr>
            <w:tcW w:w="5360" w:type="dxa"/>
            <w:vAlign w:val="bottom"/>
          </w:tcPr>
          <w:p>
            <w:pPr>
              <w:spacing w:after="0"/>
              <w:rPr>
                <w:sz w:val="20"/>
                <w:szCs w:val="20"/>
                <w:color w:val="auto"/>
              </w:rPr>
            </w:pPr>
            <w:r>
              <w:rPr>
                <w:rFonts w:ascii="Arial" w:cs="Arial" w:eastAsia="Arial" w:hAnsi="Arial"/>
                <w:sz w:val="14"/>
                <w:szCs w:val="14"/>
                <w:b w:val="1"/>
                <w:bCs w:val="1"/>
                <w:color w:val="55565A"/>
              </w:rPr>
              <w:t>   Dividends declared</w:t>
            </w:r>
          </w:p>
        </w:tc>
        <w:tc>
          <w:tcPr>
            <w:tcW w:w="2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55565A"/>
              </w:rPr>
              <w:t>244 </w:t>
            </w:r>
          </w:p>
        </w:tc>
        <w:tc>
          <w:tcPr>
            <w:tcW w:w="540" w:type="dxa"/>
            <w:vAlign w:val="bottom"/>
          </w:tcPr>
          <w:p>
            <w:pPr>
              <w:ind w:left="60"/>
              <w:spacing w:after="0"/>
              <w:rPr>
                <w:sz w:val="20"/>
                <w:szCs w:val="20"/>
                <w:color w:val="auto"/>
              </w:rPr>
            </w:pPr>
            <w:r>
              <w:rPr>
                <w:rFonts w:ascii="Arial" w:cs="Arial" w:eastAsia="Arial" w:hAnsi="Arial"/>
                <w:sz w:val="14"/>
                <w:szCs w:val="14"/>
                <w:b w:val="1"/>
                <w:bCs w:val="1"/>
                <w:color w:val="55565A"/>
              </w:rPr>
              <w:t> </w:t>
            </w:r>
          </w:p>
        </w:tc>
        <w:tc>
          <w:tcPr>
            <w:tcW w:w="7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55565A"/>
              </w:rPr>
              <w:t>232 </w:t>
            </w:r>
          </w:p>
        </w:tc>
        <w:tc>
          <w:tcPr>
            <w:tcW w:w="680" w:type="dxa"/>
            <w:vAlign w:val="bottom"/>
          </w:tcPr>
          <w:p>
            <w:pPr>
              <w:ind w:left="40"/>
              <w:spacing w:after="0"/>
              <w:rPr>
                <w:sz w:val="20"/>
                <w:szCs w:val="20"/>
                <w:color w:val="auto"/>
              </w:rPr>
            </w:pPr>
            <w:r>
              <w:rPr>
                <w:rFonts w:ascii="Arial" w:cs="Arial" w:eastAsia="Arial" w:hAnsi="Arial"/>
                <w:sz w:val="14"/>
                <w:szCs w:val="14"/>
                <w:color w:val="55565A"/>
              </w:rPr>
              <w:t> </w:t>
            </w:r>
          </w:p>
        </w:tc>
      </w:tr>
      <w:tr>
        <w:trPr>
          <w:trHeight w:val="214"/>
        </w:trPr>
        <w:tc>
          <w:tcPr>
            <w:tcW w:w="536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   Dividends reinvested</w:t>
            </w:r>
          </w:p>
        </w:tc>
        <w:tc>
          <w:tcPr>
            <w:tcW w:w="2340" w:type="dxa"/>
            <w:vAlign w:val="bottom"/>
            <w:tcBorders>
              <w:bottom w:val="single" w:sz="8" w:color="88888B"/>
            </w:tcBorders>
            <w:shd w:val="clear" w:color="auto" w:fill="CCEEFF"/>
          </w:tcPr>
          <w:p>
            <w:pPr>
              <w:spacing w:after="0"/>
              <w:rPr>
                <w:sz w:val="18"/>
                <w:szCs w:val="18"/>
                <w:color w:val="auto"/>
              </w:rPr>
            </w:pPr>
          </w:p>
        </w:tc>
        <w:tc>
          <w:tcPr>
            <w:tcW w:w="60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4"/>
                <w:szCs w:val="14"/>
                <w:b w:val="1"/>
                <w:bCs w:val="1"/>
                <w:color w:val="55565A"/>
              </w:rPr>
              <w:t xml:space="preserve">(7) </w:t>
            </w:r>
          </w:p>
        </w:tc>
        <w:tc>
          <w:tcPr>
            <w:tcW w:w="540" w:type="dxa"/>
            <w:vAlign w:val="bottom"/>
            <w:tcBorders>
              <w:bottom w:val="single" w:sz="8" w:color="88888B"/>
            </w:tcBorders>
            <w:shd w:val="clear" w:color="auto" w:fill="CCEEFF"/>
          </w:tcPr>
          <w:p>
            <w:pPr>
              <w:ind w:left="60"/>
              <w:spacing w:after="0"/>
              <w:rPr>
                <w:sz w:val="20"/>
                <w:szCs w:val="20"/>
                <w:color w:val="auto"/>
              </w:rPr>
            </w:pPr>
            <w:r>
              <w:rPr>
                <w:rFonts w:ascii="Arial" w:cs="Arial" w:eastAsia="Arial" w:hAnsi="Arial"/>
                <w:sz w:val="14"/>
                <w:szCs w:val="14"/>
                <w:b w:val="1"/>
                <w:bCs w:val="1"/>
                <w:color w:val="55565A"/>
              </w:rPr>
              <w:t> </w:t>
            </w:r>
          </w:p>
        </w:tc>
        <w:tc>
          <w:tcPr>
            <w:tcW w:w="780" w:type="dxa"/>
            <w:vAlign w:val="bottom"/>
            <w:tcBorders>
              <w:bottom w:val="single" w:sz="8" w:color="88888B"/>
            </w:tcBorders>
            <w:shd w:val="clear" w:color="auto" w:fill="CCEEFF"/>
          </w:tcPr>
          <w:p>
            <w:pPr>
              <w:spacing w:after="0"/>
              <w:rPr>
                <w:sz w:val="18"/>
                <w:szCs w:val="18"/>
                <w:color w:val="auto"/>
              </w:rPr>
            </w:pPr>
          </w:p>
        </w:tc>
        <w:tc>
          <w:tcPr>
            <w:tcW w:w="62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4"/>
                <w:szCs w:val="14"/>
                <w:color w:val="55565A"/>
              </w:rPr>
              <w:t xml:space="preserve">(8) </w:t>
            </w:r>
          </w:p>
        </w:tc>
        <w:tc>
          <w:tcPr>
            <w:tcW w:w="680" w:type="dxa"/>
            <w:vAlign w:val="bottom"/>
            <w:tcBorders>
              <w:bottom w:val="single" w:sz="8" w:color="88888B"/>
            </w:tcBorders>
            <w:shd w:val="clear" w:color="auto" w:fill="CCEEFF"/>
          </w:tcPr>
          <w:p>
            <w:pPr>
              <w:ind w:left="40"/>
              <w:spacing w:after="0"/>
              <w:rPr>
                <w:sz w:val="20"/>
                <w:szCs w:val="20"/>
                <w:color w:val="auto"/>
              </w:rPr>
            </w:pPr>
            <w:r>
              <w:rPr>
                <w:rFonts w:ascii="Arial" w:cs="Arial" w:eastAsia="Arial" w:hAnsi="Arial"/>
                <w:sz w:val="14"/>
                <w:szCs w:val="14"/>
                <w:color w:val="55565A"/>
              </w:rPr>
              <w:t> </w:t>
            </w:r>
          </w:p>
        </w:tc>
      </w:tr>
      <w:tr>
        <w:trPr>
          <w:trHeight w:val="207"/>
        </w:trPr>
        <w:tc>
          <w:tcPr>
            <w:tcW w:w="5360" w:type="dxa"/>
            <w:vAlign w:val="bottom"/>
            <w:tcBorders>
              <w:bottom w:val="single" w:sz="8" w:color="55565A"/>
            </w:tcBorders>
          </w:tcPr>
          <w:p>
            <w:pPr>
              <w:spacing w:after="0"/>
              <w:rPr>
                <w:sz w:val="20"/>
                <w:szCs w:val="20"/>
                <w:color w:val="auto"/>
              </w:rPr>
            </w:pPr>
            <w:r>
              <w:rPr>
                <w:rFonts w:ascii="Arial" w:cs="Arial" w:eastAsia="Arial" w:hAnsi="Arial"/>
                <w:sz w:val="14"/>
                <w:szCs w:val="14"/>
                <w:b w:val="1"/>
                <w:bCs w:val="1"/>
                <w:color w:val="55565A"/>
              </w:rPr>
              <w:t>   Dividends paid</w:t>
            </w:r>
          </w:p>
        </w:tc>
        <w:tc>
          <w:tcPr>
            <w:tcW w:w="2340" w:type="dxa"/>
            <w:vAlign w:val="bottom"/>
            <w:tcBorders>
              <w:bottom w:val="single" w:sz="8" w:color="55565A"/>
            </w:tcBorders>
          </w:tcPr>
          <w:p>
            <w:pPr>
              <w:spacing w:after="0"/>
              <w:rPr>
                <w:sz w:val="18"/>
                <w:szCs w:val="18"/>
                <w:color w:val="auto"/>
              </w:rPr>
            </w:pPr>
          </w:p>
        </w:tc>
        <w:tc>
          <w:tcPr>
            <w:tcW w:w="600" w:type="dxa"/>
            <w:vAlign w:val="bottom"/>
            <w:tcBorders>
              <w:bottom w:val="single" w:sz="8" w:color="55565A"/>
            </w:tcBorders>
          </w:tcPr>
          <w:p>
            <w:pPr>
              <w:jc w:val="right"/>
              <w:spacing w:after="0"/>
              <w:rPr>
                <w:sz w:val="20"/>
                <w:szCs w:val="20"/>
                <w:color w:val="auto"/>
              </w:rPr>
            </w:pPr>
            <w:r>
              <w:rPr>
                <w:rFonts w:ascii="Arial" w:cs="Arial" w:eastAsia="Arial" w:hAnsi="Arial"/>
                <w:sz w:val="14"/>
                <w:szCs w:val="14"/>
                <w:b w:val="1"/>
                <w:bCs w:val="1"/>
                <w:color w:val="55565A"/>
              </w:rPr>
              <w:t>237 </w:t>
            </w:r>
          </w:p>
        </w:tc>
        <w:tc>
          <w:tcPr>
            <w:tcW w:w="540" w:type="dxa"/>
            <w:vAlign w:val="bottom"/>
            <w:tcBorders>
              <w:bottom w:val="single" w:sz="8" w:color="55565A"/>
            </w:tcBorders>
          </w:tcPr>
          <w:p>
            <w:pPr>
              <w:ind w:left="60"/>
              <w:spacing w:after="0"/>
              <w:rPr>
                <w:sz w:val="20"/>
                <w:szCs w:val="20"/>
                <w:color w:val="auto"/>
              </w:rPr>
            </w:pPr>
            <w:r>
              <w:rPr>
                <w:rFonts w:ascii="Arial" w:cs="Arial" w:eastAsia="Arial" w:hAnsi="Arial"/>
                <w:sz w:val="14"/>
                <w:szCs w:val="14"/>
                <w:b w:val="1"/>
                <w:bCs w:val="1"/>
                <w:color w:val="55565A"/>
              </w:rPr>
              <w:t> </w:t>
            </w:r>
          </w:p>
        </w:tc>
        <w:tc>
          <w:tcPr>
            <w:tcW w:w="780" w:type="dxa"/>
            <w:vAlign w:val="bottom"/>
            <w:tcBorders>
              <w:bottom w:val="single" w:sz="8" w:color="55565A"/>
            </w:tcBorders>
          </w:tcPr>
          <w:p>
            <w:pPr>
              <w:spacing w:after="0"/>
              <w:rPr>
                <w:sz w:val="18"/>
                <w:szCs w:val="18"/>
                <w:color w:val="auto"/>
              </w:rPr>
            </w:pPr>
          </w:p>
        </w:tc>
        <w:tc>
          <w:tcPr>
            <w:tcW w:w="620" w:type="dxa"/>
            <w:vAlign w:val="bottom"/>
            <w:tcBorders>
              <w:bottom w:val="single" w:sz="8" w:color="55565A"/>
            </w:tcBorders>
          </w:tcPr>
          <w:p>
            <w:pPr>
              <w:jc w:val="right"/>
              <w:spacing w:after="0"/>
              <w:rPr>
                <w:sz w:val="20"/>
                <w:szCs w:val="20"/>
                <w:color w:val="auto"/>
              </w:rPr>
            </w:pPr>
            <w:r>
              <w:rPr>
                <w:rFonts w:ascii="Arial" w:cs="Arial" w:eastAsia="Arial" w:hAnsi="Arial"/>
                <w:sz w:val="14"/>
                <w:szCs w:val="14"/>
                <w:color w:val="55565A"/>
              </w:rPr>
              <w:t>224 </w:t>
            </w:r>
          </w:p>
        </w:tc>
        <w:tc>
          <w:tcPr>
            <w:tcW w:w="680" w:type="dxa"/>
            <w:vAlign w:val="bottom"/>
            <w:tcBorders>
              <w:bottom w:val="single" w:sz="8" w:color="55565A"/>
            </w:tcBorders>
          </w:tcPr>
          <w:p>
            <w:pPr>
              <w:ind w:left="40"/>
              <w:spacing w:after="0"/>
              <w:rPr>
                <w:sz w:val="20"/>
                <w:szCs w:val="20"/>
                <w:color w:val="auto"/>
              </w:rPr>
            </w:pPr>
            <w:r>
              <w:rPr>
                <w:rFonts w:ascii="Arial" w:cs="Arial" w:eastAsia="Arial" w:hAnsi="Arial"/>
                <w:sz w:val="14"/>
                <w:szCs w:val="14"/>
                <w:color w:val="55565A"/>
              </w:rPr>
              <w:t> </w:t>
            </w:r>
          </w:p>
        </w:tc>
      </w:tr>
    </w:tbl>
    <w:p>
      <w:pPr>
        <w:spacing w:after="0" w:line="106" w:lineRule="exact"/>
        <w:rPr>
          <w:sz w:val="20"/>
          <w:szCs w:val="20"/>
          <w:color w:val="auto"/>
        </w:rPr>
      </w:pPr>
    </w:p>
    <w:p>
      <w:pPr>
        <w:ind w:left="480" w:hanging="313"/>
        <w:spacing w:after="0" w:line="248" w:lineRule="auto"/>
        <w:tabs>
          <w:tab w:leader="none" w:pos="480" w:val="left"/>
        </w:tabs>
        <w:numPr>
          <w:ilvl w:val="0"/>
          <w:numId w:val="18"/>
        </w:numPr>
        <w:rPr>
          <w:rFonts w:ascii="Times New Roman" w:cs="Times New Roman" w:eastAsia="Times New Roman" w:hAnsi="Times New Roman"/>
          <w:sz w:val="16"/>
          <w:szCs w:val="16"/>
          <w:color w:val="55565A"/>
          <w:vertAlign w:val="superscript"/>
        </w:rPr>
      </w:pPr>
      <w:r>
        <w:rPr>
          <w:rFonts w:ascii="Arial" w:cs="Arial" w:eastAsia="Arial" w:hAnsi="Arial"/>
          <w:sz w:val="16"/>
          <w:szCs w:val="16"/>
          <w:b w:val="1"/>
          <w:bCs w:val="1"/>
          <w:color w:val="55565A"/>
        </w:rPr>
        <w:t xml:space="preserve">Share repurchases – Normal Course Issuer Bid (NCIB). </w:t>
      </w:r>
      <w:r>
        <w:rPr>
          <w:rFonts w:ascii="Arial" w:cs="Arial" w:eastAsia="Arial" w:hAnsi="Arial"/>
          <w:sz w:val="16"/>
          <w:szCs w:val="16"/>
          <w:color w:val="55565A"/>
        </w:rPr>
        <w:t>We buy back shares (and subsequently cancel them) from time to time as part of our</w:t>
      </w:r>
      <w:r>
        <w:rPr>
          <w:rFonts w:ascii="Arial" w:cs="Arial" w:eastAsia="Arial" w:hAnsi="Arial"/>
          <w:sz w:val="16"/>
          <w:szCs w:val="16"/>
          <w:b w:val="1"/>
          <w:bCs w:val="1"/>
          <w:color w:val="55565A"/>
        </w:rPr>
        <w:t xml:space="preserve"> </w:t>
      </w:r>
      <w:r>
        <w:rPr>
          <w:rFonts w:ascii="Arial" w:cs="Arial" w:eastAsia="Arial" w:hAnsi="Arial"/>
          <w:sz w:val="16"/>
          <w:szCs w:val="16"/>
          <w:color w:val="55565A"/>
        </w:rPr>
        <w:t>capital strategy. On November 1, 2023, we announced that we plan to repurchase up to $1.0 billion of our common shares. Share repurchases are typically executed under a NCIB. Shares are repurchased for the new buyback program under a renewed NCIB, which was approved by the TSX and effective on November 1, 2023. Under the renewed NCIB up to 10 million common shares may be repurchased between November 3, 2023 and November 2, 2024. We may repurchase common shares in open market transactions on the TSX, the NYSE and/or other exchanges and alternative trading systems, if eligible, or by such other means as may be permitted by the TSX and/or NYSE or under applicable law, including private agreement purchases or share purchase program agreement purchases if we receive, if applicable, an issuer bid exemption order in the future from applicable securities regulatory authorities in Canada for such purchases. The price that we will pay for common shares in open market transactions will be the market price at the time of purchase or such other price as may be permitted by the TSX.</w:t>
      </w:r>
    </w:p>
    <w:p>
      <w:pPr>
        <w:spacing w:after="0" w:line="94" w:lineRule="exact"/>
        <w:rPr>
          <w:sz w:val="20"/>
          <w:szCs w:val="20"/>
          <w:color w:val="auto"/>
        </w:rPr>
      </w:pPr>
    </w:p>
    <w:p>
      <w:pPr>
        <w:ind w:left="480" w:hanging="313"/>
        <w:spacing w:after="0"/>
        <w:tabs>
          <w:tab w:leader="none" w:pos="480" w:val="left"/>
        </w:tabs>
        <w:numPr>
          <w:ilvl w:val="0"/>
          <w:numId w:val="19"/>
        </w:numPr>
        <w:rPr>
          <w:rFonts w:ascii="Arial" w:cs="Arial" w:eastAsia="Arial" w:hAnsi="Arial"/>
          <w:sz w:val="16"/>
          <w:szCs w:val="16"/>
          <w:color w:val="55565A"/>
        </w:rPr>
      </w:pPr>
      <w:r>
        <w:rPr>
          <w:rFonts w:ascii="Arial" w:cs="Arial" w:eastAsia="Arial" w:hAnsi="Arial"/>
          <w:sz w:val="16"/>
          <w:szCs w:val="16"/>
          <w:color w:val="55565A"/>
        </w:rPr>
        <w:t>Details of share repurchases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4640" w:type="dxa"/>
            <w:vAlign w:val="bottom"/>
            <w:gridSpan w:val="5"/>
          </w:tcPr>
          <w:p>
            <w:pPr>
              <w:ind w:left="2180"/>
              <w:spacing w:after="0"/>
              <w:rPr>
                <w:sz w:val="20"/>
                <w:szCs w:val="20"/>
                <w:color w:val="auto"/>
              </w:rPr>
            </w:pPr>
            <w:r>
              <w:rPr>
                <w:rFonts w:ascii="Arial" w:cs="Arial" w:eastAsia="Arial" w:hAnsi="Arial"/>
                <w:sz w:val="14"/>
                <w:szCs w:val="14"/>
                <w:b w:val="1"/>
                <w:bCs w:val="1"/>
                <w:color w:val="55565A"/>
              </w:rPr>
              <w:t>Three months ended March 31,</w:t>
            </w:r>
          </w:p>
        </w:tc>
      </w:tr>
      <w:tr>
        <w:trPr>
          <w:trHeight w:val="241"/>
        </w:trPr>
        <w:tc>
          <w:tcPr>
            <w:tcW w:w="628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Arial" w:cs="Arial" w:eastAsia="Arial" w:hAnsi="Arial"/>
                <w:sz w:val="14"/>
                <w:szCs w:val="14"/>
                <w:b w:val="1"/>
                <w:bCs w:val="1"/>
                <w:color w:val="55565A"/>
              </w:rPr>
              <w:t> </w:t>
            </w:r>
          </w:p>
        </w:tc>
        <w:tc>
          <w:tcPr>
            <w:tcW w:w="360" w:type="dxa"/>
            <w:vAlign w:val="bottom"/>
          </w:tcPr>
          <w:p>
            <w:pPr>
              <w:ind w:left="60"/>
              <w:spacing w:after="0"/>
              <w:rPr>
                <w:sz w:val="20"/>
                <w:szCs w:val="20"/>
                <w:color w:val="auto"/>
              </w:rPr>
            </w:pPr>
            <w:r>
              <w:rPr>
                <w:rFonts w:ascii="Arial" w:cs="Arial" w:eastAsia="Arial" w:hAnsi="Arial"/>
                <w:sz w:val="14"/>
                <w:szCs w:val="14"/>
                <w:b w:val="1"/>
                <w:bCs w:val="1"/>
                <w:color w:val="55565A"/>
              </w:rPr>
              <w:t> </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14"/>
        </w:trPr>
        <w:tc>
          <w:tcPr>
            <w:tcW w:w="62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4"/>
                <w:szCs w:val="14"/>
                <w:b w:val="1"/>
                <w:bCs w:val="1"/>
                <w:color w:val="55565A"/>
              </w:rPr>
              <w:t>2024 </w:t>
            </w:r>
          </w:p>
        </w:tc>
        <w:tc>
          <w:tcPr>
            <w:tcW w:w="360" w:type="dxa"/>
            <w:vAlign w:val="bottom"/>
          </w:tcPr>
          <w:p>
            <w:pPr>
              <w:ind w:left="60"/>
              <w:spacing w:after="0"/>
              <w:rPr>
                <w:sz w:val="20"/>
                <w:szCs w:val="20"/>
                <w:color w:val="auto"/>
              </w:rPr>
            </w:pPr>
            <w:r>
              <w:rPr>
                <w:rFonts w:ascii="Arial" w:cs="Arial" w:eastAsia="Arial" w:hAnsi="Arial"/>
                <w:sz w:val="14"/>
                <w:szCs w:val="14"/>
                <w:b w:val="1"/>
                <w:bCs w:val="1"/>
                <w:color w:val="55565A"/>
              </w:rPr>
              <w:t> </w:t>
            </w:r>
          </w:p>
        </w:tc>
        <w:tc>
          <w:tcPr>
            <w:tcW w:w="380" w:type="dxa"/>
            <w:vAlign w:val="bottom"/>
          </w:tcPr>
          <w:p>
            <w:pPr>
              <w:ind w:left="280"/>
              <w:spacing w:after="0"/>
              <w:rPr>
                <w:sz w:val="20"/>
                <w:szCs w:val="20"/>
                <w:color w:val="auto"/>
              </w:rPr>
            </w:pPr>
            <w:r>
              <w:rPr>
                <w:rFonts w:ascii="Arial" w:cs="Arial" w:eastAsia="Arial" w:hAnsi="Arial"/>
                <w:sz w:val="11"/>
                <w:szCs w:val="11"/>
                <w:color w:val="55565A"/>
                <w:w w:val="72"/>
              </w:rPr>
              <w:t> </w:t>
            </w:r>
          </w:p>
        </w:tc>
        <w:tc>
          <w:tcPr>
            <w:tcW w:w="580" w:type="dxa"/>
            <w:vAlign w:val="bottom"/>
          </w:tcPr>
          <w:p>
            <w:pPr>
              <w:jc w:val="right"/>
              <w:spacing w:after="0"/>
              <w:rPr>
                <w:sz w:val="20"/>
                <w:szCs w:val="20"/>
                <w:color w:val="auto"/>
              </w:rPr>
            </w:pPr>
            <w:r>
              <w:rPr>
                <w:rFonts w:ascii="Arial" w:cs="Arial" w:eastAsia="Arial" w:hAnsi="Arial"/>
                <w:sz w:val="14"/>
                <w:szCs w:val="14"/>
                <w:color w:val="55565A"/>
                <w:w w:val="77"/>
              </w:rPr>
              <w:t>   2023 </w:t>
            </w:r>
          </w:p>
        </w:tc>
        <w:tc>
          <w:tcPr>
            <w:tcW w:w="520" w:type="dxa"/>
            <w:vAlign w:val="bottom"/>
          </w:tcPr>
          <w:p>
            <w:pPr>
              <w:ind w:left="60"/>
              <w:spacing w:after="0"/>
              <w:rPr>
                <w:sz w:val="20"/>
                <w:szCs w:val="20"/>
                <w:color w:val="auto"/>
              </w:rPr>
            </w:pPr>
            <w:r>
              <w:rPr>
                <w:rFonts w:ascii="Arial" w:cs="Arial" w:eastAsia="Arial" w:hAnsi="Arial"/>
                <w:sz w:val="14"/>
                <w:szCs w:val="14"/>
                <w:color w:val="55565A"/>
              </w:rPr>
              <w:t> </w:t>
            </w:r>
          </w:p>
        </w:tc>
      </w:tr>
      <w:tr>
        <w:trPr>
          <w:trHeight w:val="55"/>
        </w:trPr>
        <w:tc>
          <w:tcPr>
            <w:tcW w:w="6280" w:type="dxa"/>
            <w:vAlign w:val="bottom"/>
            <w:tcBorders>
              <w:bottom w:val="single" w:sz="8" w:color="88888B"/>
            </w:tcBorders>
          </w:tcPr>
          <w:p>
            <w:pPr>
              <w:spacing w:after="0"/>
              <w:rPr>
                <w:sz w:val="4"/>
                <w:szCs w:val="4"/>
                <w:color w:val="auto"/>
              </w:rPr>
            </w:pPr>
          </w:p>
        </w:tc>
        <w:tc>
          <w:tcPr>
            <w:tcW w:w="2800" w:type="dxa"/>
            <w:vAlign w:val="bottom"/>
            <w:tcBorders>
              <w:bottom w:val="single" w:sz="8" w:color="88888B"/>
            </w:tcBorders>
          </w:tcPr>
          <w:p>
            <w:pPr>
              <w:spacing w:after="0"/>
              <w:rPr>
                <w:sz w:val="4"/>
                <w:szCs w:val="4"/>
                <w:color w:val="auto"/>
              </w:rPr>
            </w:pPr>
          </w:p>
        </w:tc>
        <w:tc>
          <w:tcPr>
            <w:tcW w:w="360" w:type="dxa"/>
            <w:vAlign w:val="bottom"/>
            <w:tcBorders>
              <w:bottom w:val="single" w:sz="8" w:color="88888B"/>
            </w:tcBorders>
          </w:tcPr>
          <w:p>
            <w:pPr>
              <w:spacing w:after="0"/>
              <w:rPr>
                <w:sz w:val="4"/>
                <w:szCs w:val="4"/>
                <w:color w:val="auto"/>
              </w:rPr>
            </w:pPr>
          </w:p>
        </w:tc>
        <w:tc>
          <w:tcPr>
            <w:tcW w:w="380" w:type="dxa"/>
            <w:vAlign w:val="bottom"/>
            <w:tcBorders>
              <w:bottom w:val="single" w:sz="8" w:color="88888B"/>
            </w:tcBorders>
          </w:tcPr>
          <w:p>
            <w:pPr>
              <w:spacing w:after="0"/>
              <w:rPr>
                <w:sz w:val="4"/>
                <w:szCs w:val="4"/>
                <w:color w:val="auto"/>
              </w:rPr>
            </w:pPr>
          </w:p>
        </w:tc>
        <w:tc>
          <w:tcPr>
            <w:tcW w:w="580" w:type="dxa"/>
            <w:vAlign w:val="bottom"/>
            <w:tcBorders>
              <w:bottom w:val="single" w:sz="8" w:color="88888B"/>
            </w:tcBorders>
          </w:tcPr>
          <w:p>
            <w:pPr>
              <w:spacing w:after="0"/>
              <w:rPr>
                <w:sz w:val="4"/>
                <w:szCs w:val="4"/>
                <w:color w:val="auto"/>
              </w:rPr>
            </w:pPr>
          </w:p>
        </w:tc>
        <w:tc>
          <w:tcPr>
            <w:tcW w:w="520" w:type="dxa"/>
            <w:vAlign w:val="bottom"/>
            <w:tcBorders>
              <w:bottom w:val="single" w:sz="8" w:color="88888B"/>
            </w:tcBorders>
          </w:tcPr>
          <w:p>
            <w:pPr>
              <w:spacing w:after="0"/>
              <w:rPr>
                <w:sz w:val="4"/>
                <w:szCs w:val="4"/>
                <w:color w:val="auto"/>
              </w:rPr>
            </w:pPr>
          </w:p>
        </w:tc>
      </w:tr>
      <w:tr>
        <w:trPr>
          <w:trHeight w:val="207"/>
        </w:trPr>
        <w:tc>
          <w:tcPr>
            <w:tcW w:w="628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   Share repurchases (millions of U.S. dollars)</w:t>
            </w:r>
          </w:p>
        </w:tc>
        <w:tc>
          <w:tcPr>
            <w:tcW w:w="2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55565A"/>
              </w:rPr>
              <w:t>352 </w:t>
            </w:r>
          </w:p>
        </w:tc>
        <w:tc>
          <w:tcPr>
            <w:tcW w:w="36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55565A"/>
              </w:rPr>
              <w:t> </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55565A"/>
              </w:rPr>
              <w:t>718 </w:t>
            </w:r>
          </w:p>
        </w:tc>
        <w:tc>
          <w:tcPr>
            <w:tcW w:w="520" w:type="dxa"/>
            <w:vAlign w:val="bottom"/>
            <w:shd w:val="clear" w:color="auto" w:fill="CCEEFF"/>
          </w:tcPr>
          <w:p>
            <w:pPr>
              <w:ind w:left="60"/>
              <w:spacing w:after="0"/>
              <w:rPr>
                <w:sz w:val="20"/>
                <w:szCs w:val="20"/>
                <w:color w:val="auto"/>
              </w:rPr>
            </w:pPr>
            <w:r>
              <w:rPr>
                <w:rFonts w:ascii="Arial" w:cs="Arial" w:eastAsia="Arial" w:hAnsi="Arial"/>
                <w:sz w:val="14"/>
                <w:szCs w:val="14"/>
                <w:color w:val="55565A"/>
              </w:rPr>
              <w:t> </w:t>
            </w:r>
          </w:p>
        </w:tc>
      </w:tr>
      <w:tr>
        <w:trPr>
          <w:trHeight w:val="213"/>
        </w:trPr>
        <w:tc>
          <w:tcPr>
            <w:tcW w:w="6280" w:type="dxa"/>
            <w:vAlign w:val="bottom"/>
          </w:tcPr>
          <w:p>
            <w:pPr>
              <w:spacing w:after="0"/>
              <w:rPr>
                <w:sz w:val="20"/>
                <w:szCs w:val="20"/>
                <w:color w:val="auto"/>
              </w:rPr>
            </w:pPr>
            <w:r>
              <w:rPr>
                <w:rFonts w:ascii="Arial" w:cs="Arial" w:eastAsia="Arial" w:hAnsi="Arial"/>
                <w:sz w:val="14"/>
                <w:szCs w:val="14"/>
                <w:b w:val="1"/>
                <w:bCs w:val="1"/>
                <w:color w:val="55565A"/>
              </w:rPr>
              <w:t>   Shares repurchased (number in millions)</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55565A"/>
              </w:rPr>
              <w:t>2.3 </w:t>
            </w:r>
          </w:p>
        </w:tc>
        <w:tc>
          <w:tcPr>
            <w:tcW w:w="360" w:type="dxa"/>
            <w:vAlign w:val="bottom"/>
          </w:tcPr>
          <w:p>
            <w:pPr>
              <w:ind w:left="60"/>
              <w:spacing w:after="0"/>
              <w:rPr>
                <w:sz w:val="20"/>
                <w:szCs w:val="20"/>
                <w:color w:val="auto"/>
              </w:rPr>
            </w:pPr>
            <w:r>
              <w:rPr>
                <w:rFonts w:ascii="Arial" w:cs="Arial" w:eastAsia="Arial" w:hAnsi="Arial"/>
                <w:sz w:val="14"/>
                <w:szCs w:val="14"/>
                <w:b w:val="1"/>
                <w:bCs w:val="1"/>
                <w:color w:val="55565A"/>
              </w:rPr>
              <w:t> </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55565A"/>
              </w:rPr>
              <w:t>6.0 </w:t>
            </w:r>
          </w:p>
        </w:tc>
        <w:tc>
          <w:tcPr>
            <w:tcW w:w="520" w:type="dxa"/>
            <w:vAlign w:val="bottom"/>
          </w:tcPr>
          <w:p>
            <w:pPr>
              <w:ind w:left="60"/>
              <w:spacing w:after="0"/>
              <w:rPr>
                <w:sz w:val="20"/>
                <w:szCs w:val="20"/>
                <w:color w:val="auto"/>
              </w:rPr>
            </w:pPr>
            <w:r>
              <w:rPr>
                <w:rFonts w:ascii="Arial" w:cs="Arial" w:eastAsia="Arial" w:hAnsi="Arial"/>
                <w:sz w:val="14"/>
                <w:szCs w:val="14"/>
                <w:color w:val="55565A"/>
              </w:rPr>
              <w:t> </w:t>
            </w:r>
          </w:p>
        </w:tc>
      </w:tr>
      <w:tr>
        <w:trPr>
          <w:trHeight w:val="214"/>
        </w:trPr>
        <w:tc>
          <w:tcPr>
            <w:tcW w:w="6280" w:type="dxa"/>
            <w:vAlign w:val="bottom"/>
            <w:tcBorders>
              <w:bottom w:val="single" w:sz="8" w:color="55565A"/>
            </w:tcBorders>
            <w:shd w:val="clear" w:color="auto" w:fill="CCEEFF"/>
          </w:tcPr>
          <w:p>
            <w:pPr>
              <w:spacing w:after="0"/>
              <w:rPr>
                <w:sz w:val="20"/>
                <w:szCs w:val="20"/>
                <w:color w:val="auto"/>
              </w:rPr>
            </w:pPr>
            <w:r>
              <w:rPr>
                <w:rFonts w:ascii="Arial" w:cs="Arial" w:eastAsia="Arial" w:hAnsi="Arial"/>
                <w:sz w:val="14"/>
                <w:szCs w:val="14"/>
                <w:b w:val="1"/>
                <w:bCs w:val="1"/>
                <w:color w:val="55565A"/>
              </w:rPr>
              <w:t>   Share repurchases – average price per share in U.S. dollars</w:t>
            </w:r>
          </w:p>
        </w:tc>
        <w:tc>
          <w:tcPr>
            <w:tcW w:w="2800" w:type="dxa"/>
            <w:vAlign w:val="bottom"/>
            <w:tcBorders>
              <w:bottom w:val="single" w:sz="8" w:color="55565A"/>
            </w:tcBorders>
            <w:shd w:val="clear" w:color="auto" w:fill="CCEEFF"/>
          </w:tcPr>
          <w:p>
            <w:pPr>
              <w:jc w:val="right"/>
              <w:spacing w:after="0"/>
              <w:rPr>
                <w:sz w:val="20"/>
                <w:szCs w:val="20"/>
                <w:color w:val="auto"/>
              </w:rPr>
            </w:pPr>
            <w:r>
              <w:rPr>
                <w:rFonts w:ascii="Arial" w:cs="Arial" w:eastAsia="Arial" w:hAnsi="Arial"/>
                <w:sz w:val="14"/>
                <w:szCs w:val="14"/>
                <w:b w:val="1"/>
                <w:bCs w:val="1"/>
                <w:color w:val="55565A"/>
              </w:rPr>
              <w:t>$ 153.50 </w:t>
            </w:r>
          </w:p>
        </w:tc>
        <w:tc>
          <w:tcPr>
            <w:tcW w:w="360" w:type="dxa"/>
            <w:vAlign w:val="bottom"/>
            <w:tcBorders>
              <w:bottom w:val="single" w:sz="8" w:color="55565A"/>
            </w:tcBorders>
            <w:shd w:val="clear" w:color="auto" w:fill="CCEEFF"/>
          </w:tcPr>
          <w:p>
            <w:pPr>
              <w:ind w:left="60"/>
              <w:spacing w:after="0"/>
              <w:rPr>
                <w:sz w:val="20"/>
                <w:szCs w:val="20"/>
                <w:color w:val="auto"/>
              </w:rPr>
            </w:pPr>
            <w:r>
              <w:rPr>
                <w:rFonts w:ascii="Arial" w:cs="Arial" w:eastAsia="Arial" w:hAnsi="Arial"/>
                <w:sz w:val="14"/>
                <w:szCs w:val="14"/>
                <w:b w:val="1"/>
                <w:bCs w:val="1"/>
                <w:color w:val="55565A"/>
              </w:rPr>
              <w:t> </w:t>
            </w:r>
          </w:p>
        </w:tc>
        <w:tc>
          <w:tcPr>
            <w:tcW w:w="380" w:type="dxa"/>
            <w:vAlign w:val="bottom"/>
            <w:tcBorders>
              <w:bottom w:val="single" w:sz="8" w:color="55565A"/>
            </w:tcBorders>
            <w:shd w:val="clear" w:color="auto" w:fill="CCEEFF"/>
          </w:tcPr>
          <w:p>
            <w:pPr>
              <w:ind w:left="260"/>
              <w:spacing w:after="0"/>
              <w:rPr>
                <w:sz w:val="20"/>
                <w:szCs w:val="20"/>
                <w:color w:val="auto"/>
              </w:rPr>
            </w:pPr>
            <w:r>
              <w:rPr>
                <w:rFonts w:ascii="Arial" w:cs="Arial" w:eastAsia="Arial" w:hAnsi="Arial"/>
                <w:sz w:val="14"/>
                <w:szCs w:val="14"/>
                <w:color w:val="55565A"/>
              </w:rPr>
              <w:t>$</w:t>
            </w:r>
          </w:p>
        </w:tc>
        <w:tc>
          <w:tcPr>
            <w:tcW w:w="580" w:type="dxa"/>
            <w:vAlign w:val="bottom"/>
            <w:tcBorders>
              <w:bottom w:val="single" w:sz="8" w:color="55565A"/>
            </w:tcBorders>
            <w:shd w:val="clear" w:color="auto" w:fill="CCEEFF"/>
          </w:tcPr>
          <w:p>
            <w:pPr>
              <w:jc w:val="right"/>
              <w:spacing w:after="0"/>
              <w:rPr>
                <w:sz w:val="20"/>
                <w:szCs w:val="20"/>
                <w:color w:val="auto"/>
              </w:rPr>
            </w:pPr>
            <w:r>
              <w:rPr>
                <w:rFonts w:ascii="Arial" w:cs="Arial" w:eastAsia="Arial" w:hAnsi="Arial"/>
                <w:sz w:val="14"/>
                <w:szCs w:val="14"/>
                <w:color w:val="55565A"/>
                <w:w w:val="91"/>
              </w:rPr>
              <w:t>120.10 </w:t>
            </w:r>
          </w:p>
        </w:tc>
        <w:tc>
          <w:tcPr>
            <w:tcW w:w="520" w:type="dxa"/>
            <w:vAlign w:val="bottom"/>
            <w:tcBorders>
              <w:bottom w:val="single" w:sz="8" w:color="55565A"/>
            </w:tcBorders>
            <w:shd w:val="clear" w:color="auto" w:fill="CCEEFF"/>
          </w:tcPr>
          <w:p>
            <w:pPr>
              <w:ind w:left="60"/>
              <w:spacing w:after="0"/>
              <w:rPr>
                <w:sz w:val="20"/>
                <w:szCs w:val="20"/>
                <w:color w:val="auto"/>
              </w:rPr>
            </w:pPr>
            <w:r>
              <w:rPr>
                <w:rFonts w:ascii="Arial" w:cs="Arial" w:eastAsia="Arial" w:hAnsi="Arial"/>
                <w:sz w:val="14"/>
                <w:szCs w:val="14"/>
                <w:color w:val="55565A"/>
              </w:rPr>
              <w:t> </w:t>
            </w:r>
          </w:p>
        </w:tc>
      </w:tr>
    </w:tbl>
    <w:p>
      <w:pPr>
        <w:spacing w:after="0" w:line="106" w:lineRule="exact"/>
        <w:rPr>
          <w:sz w:val="20"/>
          <w:szCs w:val="20"/>
          <w:color w:val="auto"/>
        </w:rPr>
      </w:pPr>
    </w:p>
    <w:p>
      <w:pPr>
        <w:ind w:left="480" w:right="20" w:hanging="313"/>
        <w:spacing w:after="0" w:line="251" w:lineRule="auto"/>
        <w:tabs>
          <w:tab w:leader="none" w:pos="480" w:val="left"/>
        </w:tabs>
        <w:numPr>
          <w:ilvl w:val="0"/>
          <w:numId w:val="20"/>
        </w:numPr>
        <w:rPr>
          <w:rFonts w:ascii="Arial" w:cs="Arial" w:eastAsia="Arial" w:hAnsi="Arial"/>
          <w:sz w:val="16"/>
          <w:szCs w:val="16"/>
          <w:color w:val="55565A"/>
        </w:rPr>
      </w:pPr>
      <w:r>
        <w:rPr>
          <w:rFonts w:ascii="Arial" w:cs="Arial" w:eastAsia="Arial" w:hAnsi="Arial"/>
          <w:sz w:val="16"/>
          <w:szCs w:val="16"/>
          <w:color w:val="55565A"/>
        </w:rPr>
        <w:t>Decisions regarding any future repurchases will depend on certain factors such as market conditions, share price and other opportunities to invest capital for growth. We may elect to suspend or discontinue share repurchases at any time, in accordance with applicable laws. From time to time when we do not possess material nonpublic information about ourselves or our securities, we may enter into a pre-defined plan with our broker to allow for the repurchase of shares at times when we ordinarily would not be active in the market due to our own internal trading blackout periods, insider trading rules or otherwise. Any such plans entered into with our broker will be adopted in accordance with applicable Canadian securities laws and the requirements of Rule 10b5-1 under the U.S. Securities Exchange Act of 1934, as amended.</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5565A"/>
        </w:rPr>
        <w:t>Financial position</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Our total assets of $18.8 billion as of March 31, 2024 did not significantly change compared to $18.7 billion of total assets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121285</wp:posOffset>
            </wp:positionV>
            <wp:extent cx="69297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15</w:t>
      </w:r>
    </w:p>
    <w:p>
      <w:pPr>
        <w:sectPr>
          <w:pgSz w:w="11900" w:h="16838" w:orient="portrait"/>
          <w:cols w:equalWidth="0" w:num="1">
            <w:col w:w="11080"/>
          </w:cols>
          <w:pgMar w:left="320" w:top="454"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140"/>
        <w:spacing w:after="0" w:line="250" w:lineRule="auto"/>
        <w:rPr>
          <w:sz w:val="20"/>
          <w:szCs w:val="20"/>
          <w:color w:val="auto"/>
        </w:rPr>
      </w:pPr>
      <w:r>
        <w:rPr>
          <w:rFonts w:ascii="Arial" w:cs="Arial" w:eastAsia="Arial" w:hAnsi="Arial"/>
          <w:sz w:val="16"/>
          <w:szCs w:val="16"/>
          <w:color w:val="55565A"/>
        </w:rPr>
        <w:t>As of March 31, 2024, our current liabilities exceeded our current assets because current liabilities include a significant amount of deferred revenue, which arises from the sale of subscription-based products and services that many customers pay for in advance. The cash received from these advance payments is used to currently fund the operating, investing and financing activities of our business. However, for accounting purposes, these advance payments must be deferred and recognized over the term of the subscription. As such, we typically reflect a negative working capital position in our consolidated statement of financial position. In the ordinary course of business, deferred revenue does not represent a cash obligation, but rather an obligation to perform services or deliver products, and therefore when we are in that situation, we do not believe it is indicative of a liquidity issue, but rather an outcome of the required accounting for our business model.</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Net debt and leverage ratio of net debt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3540" w:type="dxa"/>
            <w:vAlign w:val="bottom"/>
          </w:tcPr>
          <w:p>
            <w:pPr>
              <w:jc w:val="right"/>
              <w:ind w:right="289"/>
              <w:spacing w:after="0"/>
              <w:rPr>
                <w:sz w:val="20"/>
                <w:szCs w:val="20"/>
                <w:color w:val="auto"/>
              </w:rPr>
            </w:pPr>
            <w:r>
              <w:rPr>
                <w:rFonts w:ascii="Arial" w:cs="Arial" w:eastAsia="Arial" w:hAnsi="Arial"/>
                <w:sz w:val="14"/>
                <w:szCs w:val="14"/>
                <w:b w:val="1"/>
                <w:bCs w:val="1"/>
                <w:color w:val="55565A"/>
              </w:rPr>
              <w:t>March 31,</w:t>
            </w:r>
          </w:p>
        </w:tc>
        <w:tc>
          <w:tcPr>
            <w:tcW w:w="1660" w:type="dxa"/>
            <w:vAlign w:val="bottom"/>
          </w:tcPr>
          <w:p>
            <w:pPr>
              <w:jc w:val="right"/>
              <w:ind w:right="329"/>
              <w:spacing w:after="0"/>
              <w:rPr>
                <w:sz w:val="20"/>
                <w:szCs w:val="20"/>
                <w:color w:val="auto"/>
              </w:rPr>
            </w:pPr>
            <w:r>
              <w:rPr>
                <w:rFonts w:ascii="Arial" w:cs="Arial" w:eastAsia="Arial" w:hAnsi="Arial"/>
                <w:sz w:val="14"/>
                <w:szCs w:val="14"/>
                <w:color w:val="55565A"/>
              </w:rPr>
              <w:t>December 31,</w:t>
            </w:r>
          </w:p>
        </w:tc>
      </w:tr>
      <w:tr>
        <w:trPr>
          <w:trHeight w:val="294"/>
        </w:trPr>
        <w:tc>
          <w:tcPr>
            <w:tcW w:w="5720" w:type="dxa"/>
            <w:vAlign w:val="bottom"/>
          </w:tcPr>
          <w:p>
            <w:pPr>
              <w:spacing w:after="0"/>
              <w:rPr>
                <w:sz w:val="20"/>
                <w:szCs w:val="20"/>
                <w:color w:val="auto"/>
              </w:rPr>
            </w:pPr>
            <w:r>
              <w:rPr>
                <w:rFonts w:ascii="Arial" w:cs="Arial" w:eastAsia="Arial" w:hAnsi="Arial"/>
                <w:sz w:val="14"/>
                <w:szCs w:val="14"/>
                <w:color w:val="55565A"/>
              </w:rPr>
              <w:t>   (millions of U.S. dollars)</w:t>
            </w:r>
          </w:p>
        </w:tc>
        <w:tc>
          <w:tcPr>
            <w:tcW w:w="3540" w:type="dxa"/>
            <w:vAlign w:val="bottom"/>
          </w:tcPr>
          <w:p>
            <w:pPr>
              <w:jc w:val="right"/>
              <w:ind w:right="289"/>
              <w:spacing w:after="0"/>
              <w:rPr>
                <w:sz w:val="20"/>
                <w:szCs w:val="20"/>
                <w:color w:val="auto"/>
              </w:rPr>
            </w:pPr>
            <w:r>
              <w:rPr>
                <w:rFonts w:ascii="Arial" w:cs="Arial" w:eastAsia="Arial" w:hAnsi="Arial"/>
                <w:sz w:val="14"/>
                <w:szCs w:val="14"/>
                <w:b w:val="1"/>
                <w:bCs w:val="1"/>
                <w:color w:val="55565A"/>
              </w:rPr>
              <w:t>2024</w:t>
            </w:r>
          </w:p>
        </w:tc>
        <w:tc>
          <w:tcPr>
            <w:tcW w:w="1660" w:type="dxa"/>
            <w:vAlign w:val="bottom"/>
          </w:tcPr>
          <w:p>
            <w:pPr>
              <w:jc w:val="right"/>
              <w:ind w:right="329"/>
              <w:spacing w:after="0"/>
              <w:rPr>
                <w:sz w:val="20"/>
                <w:szCs w:val="20"/>
                <w:color w:val="auto"/>
              </w:rPr>
            </w:pPr>
            <w:r>
              <w:rPr>
                <w:rFonts w:ascii="Arial" w:cs="Arial" w:eastAsia="Arial" w:hAnsi="Arial"/>
                <w:sz w:val="14"/>
                <w:szCs w:val="14"/>
                <w:color w:val="55565A"/>
              </w:rPr>
              <w:t>2023</w:t>
            </w:r>
          </w:p>
        </w:tc>
      </w:tr>
      <w:tr>
        <w:trPr>
          <w:trHeight w:val="55"/>
        </w:trPr>
        <w:tc>
          <w:tcPr>
            <w:tcW w:w="5720" w:type="dxa"/>
            <w:vAlign w:val="bottom"/>
            <w:tcBorders>
              <w:bottom w:val="single" w:sz="8" w:color="88888B"/>
            </w:tcBorders>
          </w:tcPr>
          <w:p>
            <w:pPr>
              <w:spacing w:after="0"/>
              <w:rPr>
                <w:sz w:val="4"/>
                <w:szCs w:val="4"/>
                <w:color w:val="auto"/>
              </w:rPr>
            </w:pPr>
          </w:p>
        </w:tc>
        <w:tc>
          <w:tcPr>
            <w:tcW w:w="3540" w:type="dxa"/>
            <w:vAlign w:val="bottom"/>
            <w:tcBorders>
              <w:bottom w:val="single" w:sz="8" w:color="88888B"/>
            </w:tcBorders>
          </w:tcPr>
          <w:p>
            <w:pPr>
              <w:spacing w:after="0"/>
              <w:rPr>
                <w:sz w:val="4"/>
                <w:szCs w:val="4"/>
                <w:color w:val="auto"/>
              </w:rPr>
            </w:pPr>
          </w:p>
        </w:tc>
        <w:tc>
          <w:tcPr>
            <w:tcW w:w="1660" w:type="dxa"/>
            <w:vAlign w:val="bottom"/>
            <w:tcBorders>
              <w:bottom w:val="single" w:sz="8" w:color="88888B"/>
            </w:tcBorders>
          </w:tcPr>
          <w:p>
            <w:pPr>
              <w:spacing w:after="0"/>
              <w:rPr>
                <w:sz w:val="4"/>
                <w:szCs w:val="4"/>
                <w:color w:val="auto"/>
              </w:rPr>
            </w:pPr>
          </w:p>
        </w:tc>
      </w:tr>
      <w:tr>
        <w:trPr>
          <w:trHeight w:val="207"/>
        </w:trPr>
        <w:tc>
          <w:tcPr>
            <w:tcW w:w="5720" w:type="dxa"/>
            <w:vAlign w:val="bottom"/>
            <w:tcBorders>
              <w:bottom w:val="single" w:sz="8" w:color="88888B"/>
            </w:tcBorders>
            <w:shd w:val="clear" w:color="auto" w:fill="CCEEFF"/>
          </w:tcPr>
          <w:p>
            <w:pPr>
              <w:spacing w:after="0" w:line="208" w:lineRule="exact"/>
              <w:rPr>
                <w:sz w:val="20"/>
                <w:szCs w:val="20"/>
                <w:color w:val="auto"/>
              </w:rPr>
            </w:pPr>
            <w:r>
              <w:rPr>
                <w:rFonts w:ascii="Arial" w:cs="Arial" w:eastAsia="Arial" w:hAnsi="Arial"/>
                <w:sz w:val="14"/>
                <w:szCs w:val="14"/>
                <w:b w:val="1"/>
                <w:bCs w:val="1"/>
                <w:color w:val="55565A"/>
              </w:rPr>
              <w:t>   Net debt</w:t>
            </w:r>
            <w:r>
              <w:rPr>
                <w:rFonts w:ascii="Arial" w:cs="Arial" w:eastAsia="Arial" w:hAnsi="Arial"/>
                <w:sz w:val="21"/>
                <w:szCs w:val="21"/>
                <w:b w:val="1"/>
                <w:bCs w:val="1"/>
                <w:color w:val="55565A"/>
                <w:vertAlign w:val="superscript"/>
              </w:rPr>
              <w:t>(1)</w:t>
            </w:r>
          </w:p>
        </w:tc>
        <w:tc>
          <w:tcPr>
            <w:tcW w:w="3540" w:type="dxa"/>
            <w:vAlign w:val="bottom"/>
            <w:tcBorders>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2,185</w:t>
            </w:r>
          </w:p>
        </w:tc>
        <w:tc>
          <w:tcPr>
            <w:tcW w:w="1660" w:type="dxa"/>
            <w:vAlign w:val="bottom"/>
            <w:tcBorders>
              <w:bottom w:val="single" w:sz="8" w:color="88888B"/>
            </w:tcBorders>
            <w:shd w:val="clear" w:color="auto" w:fill="CCEEFF"/>
          </w:tcPr>
          <w:p>
            <w:pPr>
              <w:jc w:val="right"/>
              <w:ind w:right="329"/>
              <w:spacing w:after="0"/>
              <w:rPr>
                <w:sz w:val="20"/>
                <w:szCs w:val="20"/>
                <w:color w:val="auto"/>
              </w:rPr>
            </w:pPr>
            <w:r>
              <w:rPr>
                <w:rFonts w:ascii="Arial" w:cs="Arial" w:eastAsia="Arial" w:hAnsi="Arial"/>
                <w:sz w:val="14"/>
                <w:szCs w:val="14"/>
                <w:color w:val="55565A"/>
              </w:rPr>
              <w:t>2,207</w:t>
            </w:r>
          </w:p>
        </w:tc>
      </w:tr>
      <w:tr>
        <w:trPr>
          <w:trHeight w:val="207"/>
        </w:trPr>
        <w:tc>
          <w:tcPr>
            <w:tcW w:w="5720" w:type="dxa"/>
            <w:vAlign w:val="bottom"/>
          </w:tcPr>
          <w:p>
            <w:pPr>
              <w:spacing w:after="0"/>
              <w:rPr>
                <w:sz w:val="20"/>
                <w:szCs w:val="20"/>
                <w:color w:val="auto"/>
              </w:rPr>
            </w:pPr>
            <w:r>
              <w:rPr>
                <w:rFonts w:ascii="Arial" w:cs="Arial" w:eastAsia="Arial" w:hAnsi="Arial"/>
                <w:sz w:val="14"/>
                <w:szCs w:val="14"/>
                <w:b w:val="1"/>
                <w:bCs w:val="1"/>
                <w:color w:val="55565A"/>
              </w:rPr>
              <w:t>   Leverage ratio of net debt to adjusted EBITDA</w:t>
            </w:r>
          </w:p>
        </w:tc>
        <w:tc>
          <w:tcPr>
            <w:tcW w:w="35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5"/>
        </w:trPr>
        <w:tc>
          <w:tcPr>
            <w:tcW w:w="5720" w:type="dxa"/>
            <w:vAlign w:val="bottom"/>
            <w:shd w:val="clear" w:color="auto" w:fill="CCEEFF"/>
          </w:tcPr>
          <w:p>
            <w:pPr>
              <w:spacing w:after="0" w:line="215" w:lineRule="exact"/>
              <w:rPr>
                <w:sz w:val="20"/>
                <w:szCs w:val="20"/>
                <w:color w:val="auto"/>
              </w:rPr>
            </w:pPr>
            <w:r>
              <w:rPr>
                <w:rFonts w:ascii="Arial" w:cs="Arial" w:eastAsia="Arial" w:hAnsi="Arial"/>
                <w:sz w:val="14"/>
                <w:szCs w:val="14"/>
                <w:b w:val="1"/>
                <w:bCs w:val="1"/>
                <w:color w:val="55565A"/>
              </w:rPr>
              <w:t>   Adjusted EBITDA</w:t>
            </w:r>
            <w:r>
              <w:rPr>
                <w:rFonts w:ascii="Arial" w:cs="Arial" w:eastAsia="Arial" w:hAnsi="Arial"/>
                <w:sz w:val="21"/>
                <w:szCs w:val="21"/>
                <w:b w:val="1"/>
                <w:bCs w:val="1"/>
                <w:color w:val="55565A"/>
                <w:vertAlign w:val="superscript"/>
              </w:rPr>
              <w:t>(1)</w:t>
            </w:r>
          </w:p>
        </w:tc>
        <w:tc>
          <w:tcPr>
            <w:tcW w:w="354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2,807</w:t>
            </w:r>
          </w:p>
        </w:tc>
        <w:tc>
          <w:tcPr>
            <w:tcW w:w="166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2,678</w:t>
            </w:r>
          </w:p>
        </w:tc>
      </w:tr>
      <w:tr>
        <w:trPr>
          <w:trHeight w:val="214"/>
        </w:trPr>
        <w:tc>
          <w:tcPr>
            <w:tcW w:w="5720" w:type="dxa"/>
            <w:vAlign w:val="bottom"/>
            <w:tcBorders>
              <w:bottom w:val="single" w:sz="8" w:color="55565A"/>
            </w:tcBorders>
          </w:tcPr>
          <w:p>
            <w:pPr>
              <w:spacing w:after="0" w:line="214" w:lineRule="exact"/>
              <w:rPr>
                <w:sz w:val="20"/>
                <w:szCs w:val="20"/>
                <w:color w:val="auto"/>
              </w:rPr>
            </w:pPr>
            <w:r>
              <w:rPr>
                <w:rFonts w:ascii="Arial" w:cs="Arial" w:eastAsia="Arial" w:hAnsi="Arial"/>
                <w:sz w:val="14"/>
                <w:szCs w:val="14"/>
                <w:b w:val="1"/>
                <w:bCs w:val="1"/>
                <w:color w:val="55565A"/>
              </w:rPr>
              <w:t>   Net debt / adjusted EBITDA</w:t>
            </w:r>
            <w:r>
              <w:rPr>
                <w:rFonts w:ascii="Arial" w:cs="Arial" w:eastAsia="Arial" w:hAnsi="Arial"/>
                <w:sz w:val="21"/>
                <w:szCs w:val="21"/>
                <w:b w:val="1"/>
                <w:bCs w:val="1"/>
                <w:color w:val="55565A"/>
                <w:vertAlign w:val="superscript"/>
              </w:rPr>
              <w:t>(1)</w:t>
            </w:r>
          </w:p>
        </w:tc>
        <w:tc>
          <w:tcPr>
            <w:tcW w:w="3540" w:type="dxa"/>
            <w:vAlign w:val="bottom"/>
            <w:tcBorders>
              <w:bottom w:val="single" w:sz="8" w:color="55565A"/>
            </w:tcBorders>
          </w:tcPr>
          <w:p>
            <w:pPr>
              <w:jc w:val="right"/>
              <w:ind w:right="289"/>
              <w:spacing w:after="0"/>
              <w:rPr>
                <w:sz w:val="20"/>
                <w:szCs w:val="20"/>
                <w:color w:val="auto"/>
              </w:rPr>
            </w:pPr>
            <w:r>
              <w:rPr>
                <w:rFonts w:ascii="Arial" w:cs="Arial" w:eastAsia="Arial" w:hAnsi="Arial"/>
                <w:sz w:val="14"/>
                <w:szCs w:val="14"/>
                <w:b w:val="1"/>
                <w:bCs w:val="1"/>
                <w:color w:val="55565A"/>
              </w:rPr>
              <w:t>0.8:1</w:t>
            </w:r>
          </w:p>
        </w:tc>
        <w:tc>
          <w:tcPr>
            <w:tcW w:w="1660" w:type="dxa"/>
            <w:vAlign w:val="bottom"/>
            <w:tcBorders>
              <w:bottom w:val="single" w:sz="8" w:color="55565A"/>
            </w:tcBorders>
          </w:tcPr>
          <w:p>
            <w:pPr>
              <w:jc w:val="right"/>
              <w:ind w:right="329"/>
              <w:spacing w:after="0"/>
              <w:rPr>
                <w:sz w:val="20"/>
                <w:szCs w:val="20"/>
                <w:color w:val="auto"/>
              </w:rPr>
            </w:pPr>
            <w:r>
              <w:rPr>
                <w:rFonts w:ascii="Arial" w:cs="Arial" w:eastAsia="Arial" w:hAnsi="Arial"/>
                <w:sz w:val="14"/>
                <w:szCs w:val="14"/>
                <w:color w:val="55565A"/>
              </w:rPr>
              <w:t>0.8:1</w:t>
            </w:r>
          </w:p>
        </w:tc>
      </w:tr>
    </w:tbl>
    <w:p>
      <w:pPr>
        <w:spacing w:after="0" w:line="102" w:lineRule="exact"/>
        <w:rPr>
          <w:sz w:val="20"/>
          <w:szCs w:val="20"/>
          <w:color w:val="auto"/>
        </w:rPr>
      </w:pPr>
    </w:p>
    <w:p>
      <w:pPr>
        <w:ind w:left="480" w:right="160" w:hanging="313"/>
        <w:spacing w:after="0" w:line="279" w:lineRule="auto"/>
        <w:tabs>
          <w:tab w:leader="none" w:pos="480" w:val="left"/>
        </w:tabs>
        <w:numPr>
          <w:ilvl w:val="0"/>
          <w:numId w:val="21"/>
        </w:numPr>
        <w:rPr>
          <w:rFonts w:ascii="Arial" w:cs="Arial" w:eastAsia="Arial" w:hAnsi="Arial"/>
          <w:sz w:val="12"/>
          <w:szCs w:val="12"/>
          <w:color w:val="55565A"/>
        </w:rPr>
      </w:pPr>
      <w:r>
        <w:rPr>
          <w:rFonts w:ascii="Arial" w:cs="Arial" w:eastAsia="Arial" w:hAnsi="Arial"/>
          <w:sz w:val="12"/>
          <w:szCs w:val="12"/>
          <w:color w:val="55565A"/>
        </w:rPr>
        <w:t>Amounts represent non-IFRS financial measures. For additional information about our liquidity, we provide our leverage ratio of net debt to adjusted EBITDA. Refer to Appendices A and B of this management’s discussion and analysis for additional information and reconciliations of our non-IFRS financial measures to the most directly comparable IFRS financial measures.</w:t>
      </w:r>
    </w:p>
    <w:p>
      <w:pPr>
        <w:spacing w:after="0" w:line="57" w:lineRule="exact"/>
        <w:rPr>
          <w:sz w:val="20"/>
          <w:szCs w:val="20"/>
          <w:color w:val="auto"/>
        </w:rPr>
      </w:pPr>
    </w:p>
    <w:p>
      <w:pPr>
        <w:ind w:left="160" w:right="380"/>
        <w:spacing w:after="0" w:line="256" w:lineRule="auto"/>
        <w:rPr>
          <w:sz w:val="20"/>
          <w:szCs w:val="20"/>
          <w:color w:val="auto"/>
        </w:rPr>
      </w:pPr>
      <w:r>
        <w:rPr>
          <w:rFonts w:ascii="Arial" w:cs="Arial" w:eastAsia="Arial" w:hAnsi="Arial"/>
          <w:sz w:val="16"/>
          <w:szCs w:val="16"/>
          <w:color w:val="55565A"/>
        </w:rPr>
        <w:t>Our leverage ratio of net debt to adjusted EBITDA was well below our target ratio of 2.5:1. Net debt was essentially unchanged as an increase in our commercial paper borrowings was offset by an increase in our cash and cash equivalents (refer to the “Cash Flow” section of this management’s discussion and analysis for additional information). As of March 31, 2024, our total debt position (after swaps) was $3.8 billion. Occasionally, we hold commercial paper and excess cash balances simultaneously due to timing of global cash operations.</w:t>
      </w:r>
    </w:p>
    <w:p>
      <w:pPr>
        <w:spacing w:after="0" w:line="71" w:lineRule="exact"/>
        <w:rPr>
          <w:sz w:val="20"/>
          <w:szCs w:val="20"/>
          <w:color w:val="auto"/>
        </w:rPr>
      </w:pPr>
    </w:p>
    <w:p>
      <w:pPr>
        <w:ind w:left="160" w:right="260"/>
        <w:spacing w:after="0" w:line="262" w:lineRule="auto"/>
        <w:rPr>
          <w:sz w:val="20"/>
          <w:szCs w:val="20"/>
          <w:color w:val="auto"/>
        </w:rPr>
      </w:pPr>
      <w:r>
        <w:rPr>
          <w:rFonts w:ascii="Arial" w:cs="Arial" w:eastAsia="Arial" w:hAnsi="Arial"/>
          <w:sz w:val="16"/>
          <w:szCs w:val="16"/>
          <w:color w:val="55565A"/>
        </w:rPr>
        <w:t>The maturity dates for our term debt are well balanced with no significant concentration in any one year. As of March 31, 2024, the average maturity of our term debt of $3.1 billion (total debt excluding $699 million of commercial paper) was approximately eight years at an average interest rate (after swaps) of slightly over 4%, all of which is fixed.</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Off-balance sheet arrangements, commitments and contractual obligations</w:t>
      </w:r>
    </w:p>
    <w:p>
      <w:pPr>
        <w:spacing w:after="0" w:line="110" w:lineRule="exact"/>
        <w:rPr>
          <w:sz w:val="20"/>
          <w:szCs w:val="20"/>
          <w:color w:val="auto"/>
        </w:rPr>
      </w:pPr>
    </w:p>
    <w:p>
      <w:pPr>
        <w:ind w:left="160" w:right="440"/>
        <w:spacing w:after="0" w:line="262" w:lineRule="auto"/>
        <w:rPr>
          <w:sz w:val="20"/>
          <w:szCs w:val="20"/>
          <w:color w:val="auto"/>
        </w:rPr>
      </w:pPr>
      <w:r>
        <w:rPr>
          <w:rFonts w:ascii="Arial" w:cs="Arial" w:eastAsia="Arial" w:hAnsi="Arial"/>
          <w:sz w:val="16"/>
          <w:szCs w:val="16"/>
          <w:color w:val="55565A"/>
        </w:rPr>
        <w:t>For a summary of our other off-balance sheet arrangements, commitments and contractual obligations please see our 2023 annual management’s discussion and analysis. There were no material changes to these arrangements, commitments and contractual obligations during the three months ended March 31, 2024.</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Contingencies</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Lawsuits and legal claims</w:t>
      </w:r>
    </w:p>
    <w:p>
      <w:pPr>
        <w:spacing w:after="0" w:line="108"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55565A"/>
        </w:rPr>
        <w:t>We are engaged in various legal proceedings, claims, audits and investigations that have arisen in the ordinary course of business. These matters include, but are not limited to, employment matters, commercial matters, privacy and data protection matters, defamation matters and intellectual property infringement matters. The outcome of all the matters against us is subject to future resolution, including uncertainties of litigation. Litigation outcomes are difficult to predict with certainty due to various factors, including but not limited to: the preliminary nature of some claims; uncertain damage theories and demands; an incomplete factual record; uncertainty concerning legal theories and procedures and their resolution by the courts, at both trial and appellate levels; and the unpredictable nature of opposing parties. Based on information currently known to us and after consultation with outside legal counsel, management believes that the ultimate resolution of any such matters, individually or in the aggregate, will not have a material adverse impact on our financial condition taken as a whole.</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Uncertain tax positions</w:t>
      </w:r>
    </w:p>
    <w:p>
      <w:pPr>
        <w:spacing w:after="0" w:line="108" w:lineRule="exact"/>
        <w:rPr>
          <w:sz w:val="20"/>
          <w:szCs w:val="20"/>
          <w:color w:val="auto"/>
        </w:rPr>
      </w:pPr>
    </w:p>
    <w:p>
      <w:pPr>
        <w:ind w:left="160" w:right="380"/>
        <w:spacing w:after="0" w:line="262" w:lineRule="auto"/>
        <w:rPr>
          <w:sz w:val="20"/>
          <w:szCs w:val="20"/>
          <w:color w:val="auto"/>
        </w:rPr>
      </w:pPr>
      <w:r>
        <w:rPr>
          <w:rFonts w:ascii="Arial" w:cs="Arial" w:eastAsia="Arial" w:hAnsi="Arial"/>
          <w:sz w:val="16"/>
          <w:szCs w:val="16"/>
          <w:color w:val="55565A"/>
        </w:rPr>
        <w:t>We are subject to taxation in numerous jurisdictions and we are routinely under audit by many different taxing authorities in the ordinary course of business. There are many transactions and calculations during the course of business for which the ultimate tax determination is uncertain, as taxing authorities may challenge some of our positions and propose adjustments or changes to our tax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16</w:t>
      </w:r>
    </w:p>
    <w:p>
      <w:pPr>
        <w:sectPr>
          <w:pgSz w:w="11900" w:h="16838" w:orient="portrait"/>
          <w:cols w:equalWidth="0" w:num="1">
            <w:col w:w="11080"/>
          </w:cols>
          <w:pgMar w:left="320" w:top="454"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color w:val="55565A"/>
        </w:rPr>
        <w:t>As a result, we maintain provisions for uncertain tax positions that we believe appropriately reflect our risk. These provisions are made using our best estimates of the amount expected to be paid based on a qualitative assessment of all relevant factors. When appropriate, we perform an expected value calculation to determine our provisions. We review the adequacy of these provisions at the end of each reporting period and adjust them based on changing facts and circumstances. Due to the uncertainty associated with tax audits, it is possible that at some future date, liabilities resulting from such audits or related litigation could vary significantly from our provisions. However, based on currently enacted legislation, information currently known to us and after consultation with outside tax advisors, management believes that the ultimate resolution of any such matters, individually or in the aggregate, will not have a material adverse impact on our financial condition taken as a whole.</w:t>
      </w:r>
    </w:p>
    <w:p>
      <w:pPr>
        <w:spacing w:after="0" w:line="76" w:lineRule="exact"/>
        <w:rPr>
          <w:sz w:val="20"/>
          <w:szCs w:val="20"/>
          <w:color w:val="auto"/>
        </w:rPr>
      </w:pPr>
    </w:p>
    <w:p>
      <w:pPr>
        <w:ind w:left="160" w:right="120"/>
        <w:spacing w:after="0" w:line="251" w:lineRule="auto"/>
        <w:rPr>
          <w:sz w:val="20"/>
          <w:szCs w:val="20"/>
          <w:color w:val="auto"/>
        </w:rPr>
      </w:pPr>
      <w:r>
        <w:rPr>
          <w:rFonts w:ascii="Arial" w:cs="Arial" w:eastAsia="Arial" w:hAnsi="Arial"/>
          <w:sz w:val="16"/>
          <w:szCs w:val="16"/>
          <w:color w:val="55565A"/>
        </w:rPr>
        <w:t>Prior to December 31, 2023, we paid $430 million of tax as required under notices of assessment issued by the U.K. tax authority, HM Revenue &amp; Customs (HMRC), under the Diverted Profits Tax (DPT) regime that collectively related to the 2015, 2016, 2017 and 2018 taxation years of certain of our current and former U.K. affiliates. We do not believe these current and former U.K. affiliates fall within the scope of the DPT regime. Because we believe our position is supported by the weight of law, we intend to vigorously defend our position and will continue contesting these assessments through all available administrative and judicial remedies. As the assessments largely relate to businesses that we have sold, the majority are subject to indemnity arrangements under which we have been required to pay additional taxes to HMRC or the indemnity counterparty.</w:t>
      </w:r>
    </w:p>
    <w:p>
      <w:pPr>
        <w:spacing w:after="0" w:line="76"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55565A"/>
        </w:rPr>
        <w:t>We do not believe that the resolution of these matters will have a material adverse effect on our financial condition taken as a whole. Payments made by us are not a reflection of our view on the merits of the case. As we expect to receive refunds of substantially all of the aggregate of amounts paid pursuant to these notices of assessment, we expect to continue recording substantially all of these payments as non-current receivables from HMRC or the indemnity counterparty, in our financial statements.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Guarantees</w:t>
      </w:r>
    </w:p>
    <w:p>
      <w:pPr>
        <w:spacing w:after="0" w:line="108" w:lineRule="exact"/>
        <w:rPr>
          <w:sz w:val="20"/>
          <w:szCs w:val="20"/>
          <w:color w:val="auto"/>
        </w:rPr>
      </w:pPr>
    </w:p>
    <w:p>
      <w:pPr>
        <w:jc w:val="both"/>
        <w:ind w:left="160" w:right="340"/>
        <w:spacing w:after="0" w:line="254" w:lineRule="auto"/>
        <w:rPr>
          <w:sz w:val="20"/>
          <w:szCs w:val="20"/>
          <w:color w:val="auto"/>
        </w:rPr>
      </w:pPr>
      <w:r>
        <w:rPr>
          <w:rFonts w:ascii="Arial" w:cs="Arial" w:eastAsia="Arial" w:hAnsi="Arial"/>
          <w:sz w:val="16"/>
          <w:szCs w:val="16"/>
          <w:color w:val="55565A"/>
        </w:rPr>
        <w:t>We have an investment in 3XSQ Associates, an entity jointly owned by one of our subsidiaries and Rudin Times Square Associates LLC (Rudin), that owns and operates the 3 Times Square office building (the building) in New York, New York. In June 2022, 3XSQ Associates obtained a $415 million,</w:t>
      </w:r>
    </w:p>
    <w:p>
      <w:pPr>
        <w:spacing w:after="0" w:line="1" w:lineRule="exact"/>
        <w:rPr>
          <w:sz w:val="20"/>
          <w:szCs w:val="20"/>
          <w:color w:val="auto"/>
        </w:rPr>
      </w:pPr>
    </w:p>
    <w:p>
      <w:pPr>
        <w:ind w:left="160" w:right="180"/>
        <w:spacing w:after="0" w:line="247" w:lineRule="auto"/>
        <w:rPr>
          <w:sz w:val="20"/>
          <w:szCs w:val="20"/>
          <w:color w:val="auto"/>
        </w:rPr>
      </w:pPr>
      <w:r>
        <w:rPr>
          <w:rFonts w:ascii="Arial" w:cs="Arial" w:eastAsia="Arial" w:hAnsi="Arial"/>
          <w:sz w:val="16"/>
          <w:szCs w:val="16"/>
          <w:color w:val="55565A"/>
        </w:rPr>
        <w:t>3-year term loan facility to refinance existing debt, fund the building’s redevelopment, and cover interest and operating costs during the redevelopment period. The building is pledged as loan collateral. We and Rudin each guarantee 50% of (i) certain principal loan amounts and (ii) interest and operating costs. We and Rudin also jointly and severally guarantee (i) completion of commenced works and (ii) lender losses arising from disallowed acts, environmental or otherwise. To minimize economic exposure to 50% for the joint and several obligations, we and a parent entity of Rudin entered into a cross-indemnification arrangement. We believe the value of the building is expected to be sufficient to cover obligations that could arise from the guarantees. The guarantees do not impact our ability to borrow funds under our $2.0 billion syndicated credit facility or the related covenant calculation.</w:t>
      </w:r>
    </w:p>
    <w:p>
      <w:pPr>
        <w:spacing w:after="0" w:line="80" w:lineRule="exact"/>
        <w:rPr>
          <w:sz w:val="20"/>
          <w:szCs w:val="20"/>
          <w:color w:val="auto"/>
        </w:rPr>
      </w:pPr>
    </w:p>
    <w:p>
      <w:pPr>
        <w:ind w:left="160" w:right="40"/>
        <w:spacing w:after="0" w:line="277" w:lineRule="auto"/>
        <w:rPr>
          <w:sz w:val="20"/>
          <w:szCs w:val="20"/>
          <w:color w:val="auto"/>
        </w:rPr>
      </w:pPr>
      <w:r>
        <w:rPr>
          <w:rFonts w:ascii="Arial" w:cs="Arial" w:eastAsia="Arial" w:hAnsi="Arial"/>
          <w:sz w:val="16"/>
          <w:szCs w:val="16"/>
          <w:i w:val="1"/>
          <w:iCs w:val="1"/>
          <w:color w:val="55565A"/>
        </w:rPr>
        <w:t>For additional information, please see the “Risk Factors” section of our 2023 annual report, which contains further information on risks related to legal and tax matters.</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Outlook</w:t>
      </w:r>
    </w:p>
    <w:p>
      <w:pPr>
        <w:spacing w:after="0" w:line="123" w:lineRule="exact"/>
        <w:rPr>
          <w:sz w:val="20"/>
          <w:szCs w:val="20"/>
          <w:color w:val="auto"/>
        </w:rPr>
      </w:pPr>
    </w:p>
    <w:p>
      <w:pPr>
        <w:ind w:left="160" w:right="360"/>
        <w:spacing w:after="0" w:line="277" w:lineRule="auto"/>
        <w:rPr>
          <w:sz w:val="20"/>
          <w:szCs w:val="20"/>
          <w:color w:val="auto"/>
        </w:rPr>
      </w:pPr>
      <w:r>
        <w:rPr>
          <w:rFonts w:ascii="Arial" w:cs="Arial" w:eastAsia="Arial" w:hAnsi="Arial"/>
          <w:sz w:val="16"/>
          <w:szCs w:val="16"/>
          <w:i w:val="1"/>
          <w:iCs w:val="1"/>
          <w:color w:val="55565A"/>
        </w:rPr>
        <w:t>The information in this section is forward-looking and should be read in conjunction with the section entitled “Additional Information—Cautionary Note Concerning Factors That May Affect Future Results”.</w:t>
      </w:r>
    </w:p>
    <w:p>
      <w:pPr>
        <w:spacing w:after="0" w:line="41"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55565A"/>
        </w:rPr>
        <w:t>In February 2024, we communicated our financial outlook for the year. In May 2024, we moderately raised our 2024 outlook for total and organic revenue growth for both our total company and our “Big 3” segments, reflecting the strong performance of our business in the first quarter of 2024. We maintained our outlook for all other guidance metrics. The following table sets forth our updated 2024 outlook and our full-year 2023 actual results, which includes non-IFRS financial measures. Our updated 2024 outlook:</w:t>
      </w:r>
    </w:p>
    <w:p>
      <w:pPr>
        <w:sectPr>
          <w:pgSz w:w="11900" w:h="16838" w:orient="portrait"/>
          <w:cols w:equalWidth="0" w:num="1">
            <w:col w:w="11080"/>
          </w:cols>
          <w:pgMar w:left="320" w:top="454" w:right="499" w:bottom="1440" w:gutter="0" w:footer="0" w:header="0"/>
        </w:sectPr>
      </w:pPr>
    </w:p>
    <w:p>
      <w:pPr>
        <w:spacing w:after="0" w:line="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55565A"/>
        </w:rPr>
        <w:t>Assumes constant currency rates relative to 2023;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55565A"/>
        </w:rPr>
        <w:t>Does not factor in the impact of any other acquisitions or divestitures that may occur in future periods.</w:t>
      </w:r>
    </w:p>
    <w:p>
      <w:pPr>
        <w:spacing w:after="0" w:line="94" w:lineRule="exact"/>
        <w:rPr>
          <w:sz w:val="20"/>
          <w:szCs w:val="20"/>
          <w:color w:val="auto"/>
        </w:rPr>
      </w:pPr>
    </w:p>
    <w:p>
      <w:pPr>
        <w:sectPr>
          <w:pgSz w:w="11900" w:h="16838" w:orient="portrait"/>
          <w:cols w:equalWidth="0" w:num="2">
            <w:col w:w="220" w:space="260"/>
            <w:col w:w="1060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55565A"/>
        </w:rPr>
        <w:t>We believe this type of guidance provides useful insight into the anticipated performance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113030</wp:posOffset>
            </wp:positionV>
            <wp:extent cx="69297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17</w:t>
      </w:r>
    </w:p>
    <w:p>
      <w:pPr>
        <w:sectPr>
          <w:pgSz w:w="11900" w:h="16838" w:orient="portrait"/>
          <w:cols w:equalWidth="0" w:num="1">
            <w:col w:w="11080"/>
          </w:cols>
          <w:pgMar w:left="320" w:top="454" w:right="4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220"/>
        <w:spacing w:after="0" w:line="262" w:lineRule="auto"/>
        <w:rPr>
          <w:sz w:val="20"/>
          <w:szCs w:val="20"/>
          <w:color w:val="auto"/>
        </w:rPr>
      </w:pPr>
      <w:r>
        <w:rPr>
          <w:rFonts w:ascii="Arial" w:cs="Arial" w:eastAsia="Arial" w:hAnsi="Arial"/>
          <w:sz w:val="16"/>
          <w:szCs w:val="16"/>
          <w:color w:val="55565A"/>
        </w:rPr>
        <w:t>We continue to operate in an uncertain macroeconomic environment, reflecting ongoing geopolitical risk, uneven economic growth and an evolving interest rate and inflationary backdrop. Any worsening of the global economic or business environment, among other factors, could impact our ability to achieve our outlook.</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6360" w:type="dxa"/>
            <w:vAlign w:val="bottom"/>
            <w:tcBorders>
              <w:top w:val="single" w:sz="8" w:color="88888B"/>
              <w:right w:val="single" w:sz="8" w:color="88888B"/>
            </w:tcBorders>
          </w:tcPr>
          <w:p>
            <w:pPr>
              <w:spacing w:after="0"/>
              <w:rPr>
                <w:sz w:val="15"/>
                <w:szCs w:val="15"/>
                <w:color w:val="auto"/>
              </w:rPr>
            </w:pPr>
          </w:p>
        </w:tc>
        <w:tc>
          <w:tcPr>
            <w:tcW w:w="1080" w:type="dxa"/>
            <w:vAlign w:val="bottom"/>
            <w:tcBorders>
              <w:top w:val="single" w:sz="8" w:color="88888B"/>
              <w:right w:val="single" w:sz="8" w:color="88888B"/>
            </w:tcBorders>
          </w:tcPr>
          <w:p>
            <w:pPr>
              <w:spacing w:after="0"/>
              <w:rPr>
                <w:sz w:val="15"/>
                <w:szCs w:val="15"/>
                <w:color w:val="auto"/>
              </w:rPr>
            </w:pPr>
          </w:p>
        </w:tc>
        <w:tc>
          <w:tcPr>
            <w:tcW w:w="1680" w:type="dxa"/>
            <w:vAlign w:val="bottom"/>
            <w:tcBorders>
              <w:top w:val="single" w:sz="8" w:color="88888B"/>
            </w:tcBorders>
          </w:tcPr>
          <w:p>
            <w:pPr>
              <w:jc w:val="center"/>
              <w:ind w:left="130"/>
              <w:spacing w:after="0"/>
              <w:rPr>
                <w:sz w:val="20"/>
                <w:szCs w:val="20"/>
                <w:color w:val="auto"/>
              </w:rPr>
            </w:pPr>
            <w:r>
              <w:rPr>
                <w:rFonts w:ascii="Arial" w:cs="Arial" w:eastAsia="Arial" w:hAnsi="Arial"/>
                <w:sz w:val="14"/>
                <w:szCs w:val="14"/>
                <w:b w:val="1"/>
                <w:bCs w:val="1"/>
                <w:color w:val="55565A"/>
              </w:rPr>
              <w:t>2024 Outlook</w:t>
            </w:r>
          </w:p>
        </w:tc>
        <w:tc>
          <w:tcPr>
            <w:tcW w:w="1800" w:type="dxa"/>
            <w:vAlign w:val="bottom"/>
            <w:tcBorders>
              <w:top w:val="single" w:sz="8" w:color="88888B"/>
            </w:tcBorders>
          </w:tcPr>
          <w:p>
            <w:pPr>
              <w:jc w:val="center"/>
              <w:ind w:left="149"/>
              <w:spacing w:after="0"/>
              <w:rPr>
                <w:sz w:val="20"/>
                <w:szCs w:val="20"/>
                <w:color w:val="auto"/>
              </w:rPr>
            </w:pPr>
            <w:r>
              <w:rPr>
                <w:rFonts w:ascii="Arial" w:cs="Arial" w:eastAsia="Arial" w:hAnsi="Arial"/>
                <w:sz w:val="14"/>
                <w:szCs w:val="14"/>
                <w:b w:val="1"/>
                <w:bCs w:val="1"/>
                <w:color w:val="55565A"/>
              </w:rPr>
              <w:t>2024 Outlook</w:t>
            </w:r>
          </w:p>
        </w:tc>
        <w:tc>
          <w:tcPr>
            <w:tcW w:w="0" w:type="dxa"/>
            <w:vAlign w:val="bottom"/>
          </w:tcPr>
          <w:p>
            <w:pPr>
              <w:spacing w:after="0"/>
              <w:rPr>
                <w:sz w:val="1"/>
                <w:szCs w:val="1"/>
                <w:color w:val="auto"/>
              </w:rPr>
            </w:pPr>
          </w:p>
        </w:tc>
      </w:tr>
      <w:tr>
        <w:trPr>
          <w:trHeight w:val="195"/>
        </w:trPr>
        <w:tc>
          <w:tcPr>
            <w:tcW w:w="6360" w:type="dxa"/>
            <w:vAlign w:val="bottom"/>
            <w:tcBorders>
              <w:right w:val="single" w:sz="8" w:color="88888B"/>
            </w:tcBorders>
          </w:tcPr>
          <w:p>
            <w:pPr>
              <w:spacing w:after="0"/>
              <w:rPr>
                <w:sz w:val="20"/>
                <w:szCs w:val="20"/>
                <w:color w:val="auto"/>
              </w:rPr>
            </w:pPr>
            <w:r>
              <w:rPr>
                <w:rFonts w:ascii="Arial" w:cs="Arial" w:eastAsia="Arial" w:hAnsi="Arial"/>
                <w:sz w:val="14"/>
                <w:szCs w:val="14"/>
                <w:b w:val="1"/>
                <w:bCs w:val="1"/>
                <w:color w:val="55565A"/>
              </w:rPr>
              <w:t>Total Thomson Reuters</w:t>
            </w:r>
          </w:p>
        </w:tc>
        <w:tc>
          <w:tcPr>
            <w:tcW w:w="1080" w:type="dxa"/>
            <w:vAlign w:val="bottom"/>
            <w:tcBorders>
              <w:right w:val="single" w:sz="8" w:color="88888B"/>
            </w:tcBorders>
          </w:tcPr>
          <w:p>
            <w:pPr>
              <w:jc w:val="center"/>
              <w:spacing w:after="0"/>
              <w:rPr>
                <w:sz w:val="20"/>
                <w:szCs w:val="20"/>
                <w:color w:val="auto"/>
              </w:rPr>
            </w:pPr>
            <w:r>
              <w:rPr>
                <w:rFonts w:ascii="Arial" w:cs="Arial" w:eastAsia="Arial" w:hAnsi="Arial"/>
                <w:sz w:val="14"/>
                <w:szCs w:val="14"/>
                <w:b w:val="1"/>
                <w:bCs w:val="1"/>
                <w:color w:val="55565A"/>
              </w:rPr>
              <w:t>2023 Actual</w:t>
            </w:r>
          </w:p>
        </w:tc>
        <w:tc>
          <w:tcPr>
            <w:tcW w:w="1680" w:type="dxa"/>
            <w:vAlign w:val="bottom"/>
          </w:tcPr>
          <w:p>
            <w:pPr>
              <w:jc w:val="center"/>
              <w:ind w:left="130"/>
              <w:spacing w:after="0"/>
              <w:rPr>
                <w:sz w:val="20"/>
                <w:szCs w:val="20"/>
                <w:color w:val="auto"/>
              </w:rPr>
            </w:pPr>
            <w:r>
              <w:rPr>
                <w:rFonts w:ascii="Arial" w:cs="Arial" w:eastAsia="Arial" w:hAnsi="Arial"/>
                <w:sz w:val="14"/>
                <w:szCs w:val="14"/>
                <w:b w:val="1"/>
                <w:bCs w:val="1"/>
                <w:color w:val="55565A"/>
              </w:rPr>
              <w:t>2/8/2024</w:t>
            </w:r>
          </w:p>
        </w:tc>
        <w:tc>
          <w:tcPr>
            <w:tcW w:w="1800" w:type="dxa"/>
            <w:vAlign w:val="bottom"/>
          </w:tcPr>
          <w:p>
            <w:pPr>
              <w:jc w:val="center"/>
              <w:ind w:left="149"/>
              <w:spacing w:after="0"/>
              <w:rPr>
                <w:sz w:val="20"/>
                <w:szCs w:val="20"/>
                <w:color w:val="auto"/>
              </w:rPr>
            </w:pPr>
            <w:r>
              <w:rPr>
                <w:rFonts w:ascii="Arial" w:cs="Arial" w:eastAsia="Arial" w:hAnsi="Arial"/>
                <w:sz w:val="14"/>
                <w:szCs w:val="14"/>
                <w:b w:val="1"/>
                <w:bCs w:val="1"/>
                <w:color w:val="55565A"/>
                <w:w w:val="99"/>
              </w:rPr>
              <w:t>5/2/2024</w:t>
            </w:r>
          </w:p>
        </w:tc>
        <w:tc>
          <w:tcPr>
            <w:tcW w:w="0" w:type="dxa"/>
            <w:vAlign w:val="bottom"/>
          </w:tcPr>
          <w:p>
            <w:pPr>
              <w:spacing w:after="0"/>
              <w:rPr>
                <w:sz w:val="1"/>
                <w:szCs w:val="1"/>
                <w:color w:val="auto"/>
              </w:rPr>
            </w:pPr>
          </w:p>
        </w:tc>
      </w:tr>
      <w:tr>
        <w:trPr>
          <w:trHeight w:val="55"/>
        </w:trPr>
        <w:tc>
          <w:tcPr>
            <w:tcW w:w="6360" w:type="dxa"/>
            <w:vAlign w:val="bottom"/>
            <w:tcBorders>
              <w:bottom w:val="single" w:sz="8" w:color="88888B"/>
              <w:right w:val="single" w:sz="8" w:color="88888B"/>
            </w:tcBorders>
          </w:tcPr>
          <w:p>
            <w:pPr>
              <w:spacing w:after="0"/>
              <w:rPr>
                <w:sz w:val="4"/>
                <w:szCs w:val="4"/>
                <w:color w:val="auto"/>
              </w:rPr>
            </w:pPr>
          </w:p>
        </w:tc>
        <w:tc>
          <w:tcPr>
            <w:tcW w:w="1080" w:type="dxa"/>
            <w:vAlign w:val="bottom"/>
            <w:tcBorders>
              <w:bottom w:val="single" w:sz="8" w:color="88888B"/>
              <w:right w:val="single" w:sz="8" w:color="88888B"/>
            </w:tcBorders>
          </w:tcPr>
          <w:p>
            <w:pPr>
              <w:spacing w:after="0"/>
              <w:rPr>
                <w:sz w:val="4"/>
                <w:szCs w:val="4"/>
                <w:color w:val="auto"/>
              </w:rPr>
            </w:pPr>
          </w:p>
        </w:tc>
        <w:tc>
          <w:tcPr>
            <w:tcW w:w="1680" w:type="dxa"/>
            <w:vAlign w:val="bottom"/>
            <w:tcBorders>
              <w:bottom w:val="single" w:sz="8" w:color="88888B"/>
            </w:tcBorders>
          </w:tcPr>
          <w:p>
            <w:pPr>
              <w:spacing w:after="0"/>
              <w:rPr>
                <w:sz w:val="4"/>
                <w:szCs w:val="4"/>
                <w:color w:val="auto"/>
              </w:rPr>
            </w:pPr>
          </w:p>
        </w:tc>
        <w:tc>
          <w:tcPr>
            <w:tcW w:w="1800" w:type="dxa"/>
            <w:vAlign w:val="bottom"/>
            <w:tcBorders>
              <w:bottom w:val="single" w:sz="8" w:color="88888B"/>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360" w:type="dxa"/>
            <w:vAlign w:val="bottom"/>
            <w:tcBorders>
              <w:right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Revenue growth</w:t>
            </w:r>
          </w:p>
        </w:tc>
        <w:tc>
          <w:tcPr>
            <w:tcW w:w="1080" w:type="dxa"/>
            <w:vAlign w:val="bottom"/>
            <w:tcBorders>
              <w:right w:val="single" w:sz="8" w:color="88888B"/>
            </w:tcBorders>
            <w:shd w:val="clear" w:color="auto" w:fill="CCEEFF"/>
          </w:tcPr>
          <w:p>
            <w:pPr>
              <w:jc w:val="center"/>
              <w:ind w:left="10"/>
              <w:spacing w:after="0"/>
              <w:rPr>
                <w:sz w:val="20"/>
                <w:szCs w:val="20"/>
                <w:color w:val="auto"/>
              </w:rPr>
            </w:pPr>
            <w:r>
              <w:rPr>
                <w:rFonts w:ascii="Arial" w:cs="Arial" w:eastAsia="Arial" w:hAnsi="Arial"/>
                <w:sz w:val="14"/>
                <w:szCs w:val="14"/>
                <w:color w:val="55565A"/>
                <w:w w:val="98"/>
              </w:rPr>
              <w:t>3%</w:t>
            </w:r>
          </w:p>
        </w:tc>
        <w:tc>
          <w:tcPr>
            <w:tcW w:w="1680" w:type="dxa"/>
            <w:vAlign w:val="bottom"/>
            <w:shd w:val="clear" w:color="auto" w:fill="CCEEFF"/>
          </w:tcPr>
          <w:p>
            <w:pPr>
              <w:jc w:val="center"/>
              <w:ind w:left="130"/>
              <w:spacing w:after="0"/>
              <w:rPr>
                <w:sz w:val="20"/>
                <w:szCs w:val="20"/>
                <w:color w:val="auto"/>
              </w:rPr>
            </w:pPr>
            <w:r>
              <w:rPr>
                <w:rFonts w:ascii="Arial" w:cs="Arial" w:eastAsia="Arial" w:hAnsi="Arial"/>
                <w:sz w:val="14"/>
                <w:szCs w:val="14"/>
                <w:color w:val="55565A"/>
                <w:w w:val="99"/>
              </w:rPr>
              <w:t>Approx. 6.5%</w:t>
            </w:r>
          </w:p>
        </w:tc>
        <w:tc>
          <w:tcPr>
            <w:tcW w:w="1800" w:type="dxa"/>
            <w:vAlign w:val="bottom"/>
            <w:shd w:val="clear" w:color="auto" w:fill="CCEEFF"/>
          </w:tcPr>
          <w:p>
            <w:pPr>
              <w:jc w:val="center"/>
              <w:ind w:left="149"/>
              <w:spacing w:after="0"/>
              <w:rPr>
                <w:sz w:val="20"/>
                <w:szCs w:val="20"/>
                <w:color w:val="auto"/>
              </w:rPr>
            </w:pPr>
            <w:r>
              <w:rPr>
                <w:rFonts w:ascii="Arial" w:cs="Arial" w:eastAsia="Arial" w:hAnsi="Arial"/>
                <w:sz w:val="14"/>
                <w:szCs w:val="14"/>
                <w:color w:val="55565A"/>
              </w:rPr>
              <w:t>Approx 6.5% - 7.0%</w:t>
            </w:r>
          </w:p>
        </w:tc>
        <w:tc>
          <w:tcPr>
            <w:tcW w:w="0" w:type="dxa"/>
            <w:vAlign w:val="bottom"/>
          </w:tcPr>
          <w:p>
            <w:pPr>
              <w:spacing w:after="0"/>
              <w:rPr>
                <w:sz w:val="1"/>
                <w:szCs w:val="1"/>
                <w:color w:val="auto"/>
              </w:rPr>
            </w:pPr>
          </w:p>
        </w:tc>
      </w:tr>
      <w:tr>
        <w:trPr>
          <w:trHeight w:val="214"/>
        </w:trPr>
        <w:tc>
          <w:tcPr>
            <w:tcW w:w="6360" w:type="dxa"/>
            <w:vAlign w:val="bottom"/>
            <w:tcBorders>
              <w:bottom w:val="single" w:sz="8" w:color="88888B"/>
              <w:right w:val="single" w:sz="8" w:color="88888B"/>
            </w:tcBorders>
          </w:tcPr>
          <w:p>
            <w:pPr>
              <w:ind w:left="160"/>
              <w:spacing w:after="0" w:line="214" w:lineRule="exact"/>
              <w:rPr>
                <w:sz w:val="20"/>
                <w:szCs w:val="20"/>
                <w:color w:val="auto"/>
              </w:rPr>
            </w:pPr>
            <w:r>
              <w:rPr>
                <w:rFonts w:ascii="Arial" w:cs="Arial" w:eastAsia="Arial" w:hAnsi="Arial"/>
                <w:sz w:val="14"/>
                <w:szCs w:val="14"/>
                <w:b w:val="1"/>
                <w:bCs w:val="1"/>
                <w:i w:val="1"/>
                <w:iCs w:val="1"/>
                <w:color w:val="55565A"/>
              </w:rPr>
              <w:t>Organic revenue growth</w:t>
            </w:r>
            <w:r>
              <w:rPr>
                <w:rFonts w:ascii="Arial" w:cs="Arial" w:eastAsia="Arial" w:hAnsi="Arial"/>
                <w:sz w:val="21"/>
                <w:szCs w:val="21"/>
                <w:b w:val="1"/>
                <w:bCs w:val="1"/>
                <w:i w:val="1"/>
                <w:iCs w:val="1"/>
                <w:color w:val="55565A"/>
                <w:vertAlign w:val="superscript"/>
              </w:rPr>
              <w:t>(1)</w:t>
            </w:r>
          </w:p>
        </w:tc>
        <w:tc>
          <w:tcPr>
            <w:tcW w:w="1080" w:type="dxa"/>
            <w:vAlign w:val="bottom"/>
            <w:tcBorders>
              <w:bottom w:val="single" w:sz="8" w:color="88888B"/>
              <w:right w:val="single" w:sz="8" w:color="88888B"/>
            </w:tcBorders>
          </w:tcPr>
          <w:p>
            <w:pPr>
              <w:jc w:val="center"/>
              <w:ind w:left="10"/>
              <w:spacing w:after="0"/>
              <w:rPr>
                <w:sz w:val="20"/>
                <w:szCs w:val="20"/>
                <w:color w:val="auto"/>
              </w:rPr>
            </w:pPr>
            <w:r>
              <w:rPr>
                <w:rFonts w:ascii="Arial" w:cs="Arial" w:eastAsia="Arial" w:hAnsi="Arial"/>
                <w:sz w:val="14"/>
                <w:szCs w:val="14"/>
                <w:i w:val="1"/>
                <w:iCs w:val="1"/>
                <w:color w:val="55565A"/>
                <w:w w:val="98"/>
              </w:rPr>
              <w:t>6%</w:t>
            </w:r>
          </w:p>
        </w:tc>
        <w:tc>
          <w:tcPr>
            <w:tcW w:w="1680" w:type="dxa"/>
            <w:vAlign w:val="bottom"/>
            <w:tcBorders>
              <w:bottom w:val="single" w:sz="8" w:color="88888B"/>
            </w:tcBorders>
          </w:tcPr>
          <w:p>
            <w:pPr>
              <w:jc w:val="center"/>
              <w:ind w:left="130"/>
              <w:spacing w:after="0"/>
              <w:rPr>
                <w:sz w:val="20"/>
                <w:szCs w:val="20"/>
                <w:color w:val="auto"/>
              </w:rPr>
            </w:pPr>
            <w:r>
              <w:rPr>
                <w:rFonts w:ascii="Arial" w:cs="Arial" w:eastAsia="Arial" w:hAnsi="Arial"/>
                <w:sz w:val="14"/>
                <w:szCs w:val="14"/>
                <w:i w:val="1"/>
                <w:iCs w:val="1"/>
                <w:color w:val="55565A"/>
                <w:w w:val="99"/>
              </w:rPr>
              <w:t>Approx. 6.0%</w:t>
            </w:r>
          </w:p>
        </w:tc>
        <w:tc>
          <w:tcPr>
            <w:tcW w:w="1800" w:type="dxa"/>
            <w:vAlign w:val="bottom"/>
            <w:tcBorders>
              <w:bottom w:val="single" w:sz="8" w:color="88888B"/>
            </w:tcBorders>
          </w:tcPr>
          <w:p>
            <w:pPr>
              <w:jc w:val="center"/>
              <w:ind w:left="149"/>
              <w:spacing w:after="0"/>
              <w:rPr>
                <w:sz w:val="20"/>
                <w:szCs w:val="20"/>
                <w:color w:val="auto"/>
              </w:rPr>
            </w:pPr>
            <w:r>
              <w:rPr>
                <w:rFonts w:ascii="Arial" w:cs="Arial" w:eastAsia="Arial" w:hAnsi="Arial"/>
                <w:sz w:val="14"/>
                <w:szCs w:val="14"/>
                <w:i w:val="1"/>
                <w:iCs w:val="1"/>
                <w:color w:val="55565A"/>
              </w:rPr>
              <w:t>Approx. 6.0%- 6.5%</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88888B"/>
              <w:right w:val="single" w:sz="8" w:color="88888B"/>
            </w:tcBorders>
            <w:shd w:val="clear" w:color="auto" w:fill="CCEEFF"/>
          </w:tcPr>
          <w:p>
            <w:pPr>
              <w:spacing w:after="0" w:line="208" w:lineRule="exact"/>
              <w:rPr>
                <w:sz w:val="20"/>
                <w:szCs w:val="20"/>
                <w:color w:val="auto"/>
              </w:rPr>
            </w:pPr>
            <w:r>
              <w:rPr>
                <w:rFonts w:ascii="Arial" w:cs="Arial" w:eastAsia="Arial" w:hAnsi="Arial"/>
                <w:sz w:val="14"/>
                <w:szCs w:val="14"/>
                <w:b w:val="1"/>
                <w:bCs w:val="1"/>
                <w:color w:val="55565A"/>
              </w:rPr>
              <w:t>Adjusted EBITDA margin</w:t>
            </w:r>
            <w:r>
              <w:rPr>
                <w:rFonts w:ascii="Arial" w:cs="Arial" w:eastAsia="Arial" w:hAnsi="Arial"/>
                <w:sz w:val="21"/>
                <w:szCs w:val="21"/>
                <w:b w:val="1"/>
                <w:bCs w:val="1"/>
                <w:color w:val="55565A"/>
                <w:vertAlign w:val="superscript"/>
              </w:rPr>
              <w:t>(1)</w:t>
            </w:r>
          </w:p>
        </w:tc>
        <w:tc>
          <w:tcPr>
            <w:tcW w:w="1080" w:type="dxa"/>
            <w:vAlign w:val="bottom"/>
            <w:tcBorders>
              <w:bottom w:val="single" w:sz="8" w:color="88888B"/>
              <w:right w:val="single" w:sz="8" w:color="88888B"/>
            </w:tcBorders>
            <w:shd w:val="clear" w:color="auto" w:fill="CCEEFF"/>
          </w:tcPr>
          <w:p>
            <w:pPr>
              <w:jc w:val="center"/>
              <w:ind w:left="10"/>
              <w:spacing w:after="0"/>
              <w:rPr>
                <w:sz w:val="20"/>
                <w:szCs w:val="20"/>
                <w:color w:val="auto"/>
              </w:rPr>
            </w:pPr>
            <w:r>
              <w:rPr>
                <w:rFonts w:ascii="Arial" w:cs="Arial" w:eastAsia="Arial" w:hAnsi="Arial"/>
                <w:sz w:val="14"/>
                <w:szCs w:val="14"/>
                <w:color w:val="55565A"/>
              </w:rPr>
              <w:t>39.3%</w:t>
            </w:r>
          </w:p>
        </w:tc>
        <w:tc>
          <w:tcPr>
            <w:tcW w:w="1680" w:type="dxa"/>
            <w:vAlign w:val="bottom"/>
            <w:tcBorders>
              <w:bottom w:val="single" w:sz="8" w:color="88888B"/>
            </w:tcBorders>
            <w:shd w:val="clear" w:color="auto" w:fill="CCEEFF"/>
          </w:tcPr>
          <w:p>
            <w:pPr>
              <w:jc w:val="center"/>
              <w:ind w:left="130"/>
              <w:spacing w:after="0"/>
              <w:rPr>
                <w:sz w:val="20"/>
                <w:szCs w:val="20"/>
                <w:color w:val="auto"/>
              </w:rPr>
            </w:pPr>
            <w:r>
              <w:rPr>
                <w:rFonts w:ascii="Arial" w:cs="Arial" w:eastAsia="Arial" w:hAnsi="Arial"/>
                <w:sz w:val="14"/>
                <w:szCs w:val="14"/>
                <w:color w:val="55565A"/>
                <w:w w:val="99"/>
              </w:rPr>
              <w:t>Approx. 38%</w:t>
            </w:r>
          </w:p>
        </w:tc>
        <w:tc>
          <w:tcPr>
            <w:tcW w:w="1800" w:type="dxa"/>
            <w:vAlign w:val="bottom"/>
            <w:tcBorders>
              <w:bottom w:val="single" w:sz="8" w:color="88888B"/>
            </w:tcBorders>
            <w:shd w:val="clear" w:color="auto" w:fill="CCEEFF"/>
          </w:tcPr>
          <w:p>
            <w:pPr>
              <w:jc w:val="center"/>
              <w:ind w:left="149"/>
              <w:spacing w:after="0"/>
              <w:rPr>
                <w:sz w:val="20"/>
                <w:szCs w:val="20"/>
                <w:color w:val="auto"/>
              </w:rPr>
            </w:pPr>
            <w:r>
              <w:rPr>
                <w:rFonts w:ascii="Arial" w:cs="Arial" w:eastAsia="Arial" w:hAnsi="Arial"/>
                <w:sz w:val="14"/>
                <w:szCs w:val="14"/>
                <w:color w:val="55565A"/>
              </w:rPr>
              <w:t>Unchanged</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88888B"/>
              <w:right w:val="single" w:sz="8" w:color="88888B"/>
            </w:tcBorders>
          </w:tcPr>
          <w:p>
            <w:pPr>
              <w:spacing w:after="0"/>
              <w:rPr>
                <w:sz w:val="20"/>
                <w:szCs w:val="20"/>
                <w:color w:val="auto"/>
              </w:rPr>
            </w:pPr>
            <w:r>
              <w:rPr>
                <w:rFonts w:ascii="Arial" w:cs="Arial" w:eastAsia="Arial" w:hAnsi="Arial"/>
                <w:sz w:val="14"/>
                <w:szCs w:val="14"/>
                <w:b w:val="1"/>
                <w:bCs w:val="1"/>
                <w:color w:val="55565A"/>
              </w:rPr>
              <w:t>Corporate costs</w:t>
            </w:r>
          </w:p>
        </w:tc>
        <w:tc>
          <w:tcPr>
            <w:tcW w:w="1080" w:type="dxa"/>
            <w:vAlign w:val="bottom"/>
            <w:tcBorders>
              <w:bottom w:val="single" w:sz="8" w:color="88888B"/>
              <w:right w:val="single" w:sz="8" w:color="88888B"/>
            </w:tcBorders>
          </w:tcPr>
          <w:p>
            <w:pPr>
              <w:jc w:val="center"/>
              <w:ind w:left="10"/>
              <w:spacing w:after="0"/>
              <w:rPr>
                <w:sz w:val="20"/>
                <w:szCs w:val="20"/>
                <w:color w:val="auto"/>
              </w:rPr>
            </w:pPr>
            <w:r>
              <w:rPr>
                <w:rFonts w:ascii="Arial" w:cs="Arial" w:eastAsia="Arial" w:hAnsi="Arial"/>
                <w:sz w:val="14"/>
                <w:szCs w:val="14"/>
                <w:color w:val="55565A"/>
              </w:rPr>
              <w:t>$115 million</w:t>
            </w:r>
          </w:p>
        </w:tc>
        <w:tc>
          <w:tcPr>
            <w:tcW w:w="1680" w:type="dxa"/>
            <w:vAlign w:val="bottom"/>
            <w:tcBorders>
              <w:bottom w:val="single" w:sz="8" w:color="88888B"/>
            </w:tcBorders>
          </w:tcPr>
          <w:p>
            <w:pPr>
              <w:jc w:val="center"/>
              <w:ind w:left="130"/>
              <w:spacing w:after="0"/>
              <w:rPr>
                <w:sz w:val="20"/>
                <w:szCs w:val="20"/>
                <w:color w:val="auto"/>
              </w:rPr>
            </w:pPr>
            <w:r>
              <w:rPr>
                <w:rFonts w:ascii="Arial" w:cs="Arial" w:eastAsia="Arial" w:hAnsi="Arial"/>
                <w:sz w:val="14"/>
                <w:szCs w:val="14"/>
                <w:color w:val="55565A"/>
              </w:rPr>
              <w:t>$120 - $130 million</w:t>
            </w:r>
          </w:p>
        </w:tc>
        <w:tc>
          <w:tcPr>
            <w:tcW w:w="1800" w:type="dxa"/>
            <w:vAlign w:val="bottom"/>
            <w:tcBorders>
              <w:bottom w:val="single" w:sz="8" w:color="88888B"/>
            </w:tcBorders>
          </w:tcPr>
          <w:p>
            <w:pPr>
              <w:jc w:val="center"/>
              <w:ind w:left="149"/>
              <w:spacing w:after="0"/>
              <w:rPr>
                <w:sz w:val="20"/>
                <w:szCs w:val="20"/>
                <w:color w:val="auto"/>
              </w:rPr>
            </w:pPr>
            <w:r>
              <w:rPr>
                <w:rFonts w:ascii="Arial" w:cs="Arial" w:eastAsia="Arial" w:hAnsi="Arial"/>
                <w:sz w:val="14"/>
                <w:szCs w:val="14"/>
                <w:color w:val="55565A"/>
              </w:rPr>
              <w:t>Unchanged</w:t>
            </w:r>
          </w:p>
        </w:tc>
        <w:tc>
          <w:tcPr>
            <w:tcW w:w="0" w:type="dxa"/>
            <w:vAlign w:val="bottom"/>
          </w:tcPr>
          <w:p>
            <w:pPr>
              <w:spacing w:after="0"/>
              <w:rPr>
                <w:sz w:val="1"/>
                <w:szCs w:val="1"/>
                <w:color w:val="auto"/>
              </w:rPr>
            </w:pPr>
          </w:p>
        </w:tc>
      </w:tr>
      <w:tr>
        <w:trPr>
          <w:trHeight w:val="208"/>
        </w:trPr>
        <w:tc>
          <w:tcPr>
            <w:tcW w:w="6360" w:type="dxa"/>
            <w:vAlign w:val="bottom"/>
            <w:tcBorders>
              <w:bottom w:val="single" w:sz="8" w:color="88888B"/>
              <w:right w:val="single" w:sz="8" w:color="88888B"/>
            </w:tcBorders>
            <w:shd w:val="clear" w:color="auto" w:fill="CCEEFF"/>
          </w:tcPr>
          <w:p>
            <w:pPr>
              <w:spacing w:after="0" w:line="208" w:lineRule="exact"/>
              <w:rPr>
                <w:sz w:val="20"/>
                <w:szCs w:val="20"/>
                <w:color w:val="auto"/>
              </w:rPr>
            </w:pPr>
            <w:r>
              <w:rPr>
                <w:rFonts w:ascii="Arial" w:cs="Arial" w:eastAsia="Arial" w:hAnsi="Arial"/>
                <w:sz w:val="14"/>
                <w:szCs w:val="14"/>
                <w:b w:val="1"/>
                <w:bCs w:val="1"/>
                <w:color w:val="55565A"/>
              </w:rPr>
              <w:t>Free cash flow</w:t>
            </w:r>
            <w:r>
              <w:rPr>
                <w:rFonts w:ascii="Arial" w:cs="Arial" w:eastAsia="Arial" w:hAnsi="Arial"/>
                <w:sz w:val="21"/>
                <w:szCs w:val="21"/>
                <w:b w:val="1"/>
                <w:bCs w:val="1"/>
                <w:color w:val="55565A"/>
                <w:vertAlign w:val="superscript"/>
              </w:rPr>
              <w:t>(1)</w:t>
            </w:r>
          </w:p>
        </w:tc>
        <w:tc>
          <w:tcPr>
            <w:tcW w:w="1080" w:type="dxa"/>
            <w:vAlign w:val="bottom"/>
            <w:tcBorders>
              <w:bottom w:val="single" w:sz="8" w:color="88888B"/>
              <w:right w:val="single" w:sz="8" w:color="88888B"/>
            </w:tcBorders>
            <w:shd w:val="clear" w:color="auto" w:fill="CCEEFF"/>
          </w:tcPr>
          <w:p>
            <w:pPr>
              <w:jc w:val="center"/>
              <w:ind w:left="10"/>
              <w:spacing w:after="0"/>
              <w:rPr>
                <w:sz w:val="20"/>
                <w:szCs w:val="20"/>
                <w:color w:val="auto"/>
              </w:rPr>
            </w:pPr>
            <w:r>
              <w:rPr>
                <w:rFonts w:ascii="Arial" w:cs="Arial" w:eastAsia="Arial" w:hAnsi="Arial"/>
                <w:sz w:val="14"/>
                <w:szCs w:val="14"/>
                <w:color w:val="55565A"/>
              </w:rPr>
              <w:t>$1.9 billion</w:t>
            </w:r>
          </w:p>
        </w:tc>
        <w:tc>
          <w:tcPr>
            <w:tcW w:w="1680" w:type="dxa"/>
            <w:vAlign w:val="bottom"/>
            <w:tcBorders>
              <w:bottom w:val="single" w:sz="8" w:color="88888B"/>
            </w:tcBorders>
            <w:shd w:val="clear" w:color="auto" w:fill="CCEEFF"/>
          </w:tcPr>
          <w:p>
            <w:pPr>
              <w:jc w:val="center"/>
              <w:ind w:left="130"/>
              <w:spacing w:after="0"/>
              <w:rPr>
                <w:sz w:val="20"/>
                <w:szCs w:val="20"/>
                <w:color w:val="auto"/>
              </w:rPr>
            </w:pPr>
            <w:r>
              <w:rPr>
                <w:rFonts w:ascii="Arial" w:cs="Arial" w:eastAsia="Arial" w:hAnsi="Arial"/>
                <w:sz w:val="14"/>
                <w:szCs w:val="14"/>
                <w:color w:val="55565A"/>
              </w:rPr>
              <w:t>Approx. $1.8 billion</w:t>
            </w:r>
          </w:p>
        </w:tc>
        <w:tc>
          <w:tcPr>
            <w:tcW w:w="1800" w:type="dxa"/>
            <w:vAlign w:val="bottom"/>
            <w:tcBorders>
              <w:bottom w:val="single" w:sz="8" w:color="88888B"/>
            </w:tcBorders>
            <w:shd w:val="clear" w:color="auto" w:fill="CCEEFF"/>
          </w:tcPr>
          <w:p>
            <w:pPr>
              <w:jc w:val="center"/>
              <w:ind w:left="149"/>
              <w:spacing w:after="0"/>
              <w:rPr>
                <w:sz w:val="20"/>
                <w:szCs w:val="20"/>
                <w:color w:val="auto"/>
              </w:rPr>
            </w:pPr>
            <w:r>
              <w:rPr>
                <w:rFonts w:ascii="Arial" w:cs="Arial" w:eastAsia="Arial" w:hAnsi="Arial"/>
                <w:sz w:val="14"/>
                <w:szCs w:val="14"/>
                <w:color w:val="55565A"/>
              </w:rPr>
              <w:t>Unchanged</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88888B"/>
              <w:right w:val="single" w:sz="8" w:color="88888B"/>
            </w:tcBorders>
          </w:tcPr>
          <w:p>
            <w:pPr>
              <w:spacing w:after="0" w:line="208" w:lineRule="exact"/>
              <w:rPr>
                <w:sz w:val="20"/>
                <w:szCs w:val="20"/>
                <w:color w:val="auto"/>
              </w:rPr>
            </w:pPr>
            <w:r>
              <w:rPr>
                <w:rFonts w:ascii="Arial" w:cs="Arial" w:eastAsia="Arial" w:hAnsi="Arial"/>
                <w:sz w:val="14"/>
                <w:szCs w:val="14"/>
                <w:b w:val="1"/>
                <w:bCs w:val="1"/>
                <w:color w:val="55565A"/>
              </w:rPr>
              <w:t>Accrued capital expenditures as a percentage of revenues</w:t>
            </w:r>
            <w:r>
              <w:rPr>
                <w:rFonts w:ascii="Arial" w:cs="Arial" w:eastAsia="Arial" w:hAnsi="Arial"/>
                <w:sz w:val="21"/>
                <w:szCs w:val="21"/>
                <w:b w:val="1"/>
                <w:bCs w:val="1"/>
                <w:color w:val="55565A"/>
                <w:vertAlign w:val="superscript"/>
              </w:rPr>
              <w:t>(1)</w:t>
            </w:r>
          </w:p>
        </w:tc>
        <w:tc>
          <w:tcPr>
            <w:tcW w:w="1080" w:type="dxa"/>
            <w:vAlign w:val="bottom"/>
            <w:tcBorders>
              <w:bottom w:val="single" w:sz="8" w:color="88888B"/>
              <w:right w:val="single" w:sz="8" w:color="88888B"/>
            </w:tcBorders>
          </w:tcPr>
          <w:p>
            <w:pPr>
              <w:jc w:val="center"/>
              <w:ind w:left="10"/>
              <w:spacing w:after="0"/>
              <w:rPr>
                <w:sz w:val="20"/>
                <w:szCs w:val="20"/>
                <w:color w:val="auto"/>
              </w:rPr>
            </w:pPr>
            <w:r>
              <w:rPr>
                <w:rFonts w:ascii="Arial" w:cs="Arial" w:eastAsia="Arial" w:hAnsi="Arial"/>
                <w:sz w:val="14"/>
                <w:szCs w:val="14"/>
                <w:color w:val="55565A"/>
              </w:rPr>
              <w:t>7.8%</w:t>
            </w:r>
          </w:p>
        </w:tc>
        <w:tc>
          <w:tcPr>
            <w:tcW w:w="1680" w:type="dxa"/>
            <w:vAlign w:val="bottom"/>
            <w:tcBorders>
              <w:bottom w:val="single" w:sz="8" w:color="88888B"/>
            </w:tcBorders>
          </w:tcPr>
          <w:p>
            <w:pPr>
              <w:jc w:val="center"/>
              <w:ind w:left="130"/>
              <w:spacing w:after="0"/>
              <w:rPr>
                <w:sz w:val="20"/>
                <w:szCs w:val="20"/>
                <w:color w:val="auto"/>
              </w:rPr>
            </w:pPr>
            <w:r>
              <w:rPr>
                <w:rFonts w:ascii="Arial" w:cs="Arial" w:eastAsia="Arial" w:hAnsi="Arial"/>
                <w:sz w:val="14"/>
                <w:szCs w:val="14"/>
                <w:color w:val="55565A"/>
                <w:w w:val="99"/>
              </w:rPr>
              <w:t>Approx. 8.5%</w:t>
            </w:r>
          </w:p>
        </w:tc>
        <w:tc>
          <w:tcPr>
            <w:tcW w:w="1800" w:type="dxa"/>
            <w:vAlign w:val="bottom"/>
            <w:tcBorders>
              <w:bottom w:val="single" w:sz="8" w:color="88888B"/>
            </w:tcBorders>
          </w:tcPr>
          <w:p>
            <w:pPr>
              <w:jc w:val="center"/>
              <w:ind w:left="149"/>
              <w:spacing w:after="0"/>
              <w:rPr>
                <w:sz w:val="20"/>
                <w:szCs w:val="20"/>
                <w:color w:val="auto"/>
              </w:rPr>
            </w:pPr>
            <w:r>
              <w:rPr>
                <w:rFonts w:ascii="Arial" w:cs="Arial" w:eastAsia="Arial" w:hAnsi="Arial"/>
                <w:sz w:val="14"/>
                <w:szCs w:val="14"/>
                <w:color w:val="55565A"/>
              </w:rPr>
              <w:t>Unchanged</w:t>
            </w:r>
          </w:p>
        </w:tc>
        <w:tc>
          <w:tcPr>
            <w:tcW w:w="0" w:type="dxa"/>
            <w:vAlign w:val="bottom"/>
          </w:tcPr>
          <w:p>
            <w:pPr>
              <w:spacing w:after="0"/>
              <w:rPr>
                <w:sz w:val="1"/>
                <w:szCs w:val="1"/>
                <w:color w:val="auto"/>
              </w:rPr>
            </w:pPr>
          </w:p>
        </w:tc>
      </w:tr>
      <w:tr>
        <w:trPr>
          <w:trHeight w:val="207"/>
        </w:trPr>
        <w:tc>
          <w:tcPr>
            <w:tcW w:w="6360" w:type="dxa"/>
            <w:vAlign w:val="bottom"/>
            <w:tcBorders>
              <w:right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Depreciation and amortization of computer software</w:t>
            </w:r>
          </w:p>
        </w:tc>
        <w:tc>
          <w:tcPr>
            <w:tcW w:w="1080" w:type="dxa"/>
            <w:vAlign w:val="bottom"/>
            <w:tcBorders>
              <w:right w:val="single" w:sz="8" w:color="88888B"/>
            </w:tcBorders>
            <w:shd w:val="clear" w:color="auto" w:fill="CCEEFF"/>
          </w:tcPr>
          <w:p>
            <w:pPr>
              <w:jc w:val="center"/>
              <w:ind w:left="10"/>
              <w:spacing w:after="0"/>
              <w:rPr>
                <w:sz w:val="20"/>
                <w:szCs w:val="20"/>
                <w:color w:val="auto"/>
              </w:rPr>
            </w:pPr>
            <w:r>
              <w:rPr>
                <w:rFonts w:ascii="Arial" w:cs="Arial" w:eastAsia="Arial" w:hAnsi="Arial"/>
                <w:sz w:val="14"/>
                <w:szCs w:val="14"/>
                <w:color w:val="55565A"/>
              </w:rPr>
              <w:t>$628 million</w:t>
            </w:r>
          </w:p>
        </w:tc>
        <w:tc>
          <w:tcPr>
            <w:tcW w:w="1680" w:type="dxa"/>
            <w:vAlign w:val="bottom"/>
            <w:shd w:val="clear" w:color="auto" w:fill="CCEEFF"/>
          </w:tcPr>
          <w:p>
            <w:pPr>
              <w:jc w:val="center"/>
              <w:ind w:left="130"/>
              <w:spacing w:after="0"/>
              <w:rPr>
                <w:sz w:val="20"/>
                <w:szCs w:val="20"/>
                <w:color w:val="auto"/>
              </w:rPr>
            </w:pPr>
            <w:r>
              <w:rPr>
                <w:rFonts w:ascii="Arial" w:cs="Arial" w:eastAsia="Arial" w:hAnsi="Arial"/>
                <w:sz w:val="14"/>
                <w:szCs w:val="14"/>
                <w:color w:val="55565A"/>
              </w:rPr>
              <w:t>$730 - $750 million</w:t>
            </w: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right w:val="single" w:sz="8" w:color="88888B"/>
            </w:tcBorders>
          </w:tcPr>
          <w:p>
            <w:pPr>
              <w:ind w:left="140"/>
              <w:spacing w:after="0"/>
              <w:rPr>
                <w:sz w:val="20"/>
                <w:szCs w:val="20"/>
                <w:color w:val="auto"/>
              </w:rPr>
            </w:pPr>
            <w:r>
              <w:rPr>
                <w:rFonts w:ascii="Arial" w:cs="Arial" w:eastAsia="Arial" w:hAnsi="Arial"/>
                <w:sz w:val="12"/>
                <w:szCs w:val="12"/>
                <w:b w:val="1"/>
                <w:bCs w:val="1"/>
                <w:color w:val="55565A"/>
              </w:rPr>
              <w:t>Depreciation and amortization of internally developed software</w:t>
            </w:r>
          </w:p>
        </w:tc>
        <w:tc>
          <w:tcPr>
            <w:tcW w:w="1080" w:type="dxa"/>
            <w:vAlign w:val="bottom"/>
            <w:tcBorders>
              <w:right w:val="single" w:sz="8" w:color="88888B"/>
            </w:tcBorders>
          </w:tcPr>
          <w:p>
            <w:pPr>
              <w:jc w:val="center"/>
              <w:spacing w:after="0"/>
              <w:rPr>
                <w:sz w:val="20"/>
                <w:szCs w:val="20"/>
                <w:color w:val="auto"/>
              </w:rPr>
            </w:pPr>
            <w:r>
              <w:rPr>
                <w:rFonts w:ascii="Arial" w:cs="Arial" w:eastAsia="Arial" w:hAnsi="Arial"/>
                <w:sz w:val="12"/>
                <w:szCs w:val="12"/>
                <w:color w:val="55565A"/>
              </w:rPr>
              <w:t>$556 million</w:t>
            </w:r>
          </w:p>
        </w:tc>
        <w:tc>
          <w:tcPr>
            <w:tcW w:w="1680" w:type="dxa"/>
            <w:vAlign w:val="bottom"/>
          </w:tcPr>
          <w:p>
            <w:pPr>
              <w:jc w:val="center"/>
              <w:ind w:left="130"/>
              <w:spacing w:after="0"/>
              <w:rPr>
                <w:sz w:val="20"/>
                <w:szCs w:val="20"/>
                <w:color w:val="auto"/>
              </w:rPr>
            </w:pPr>
            <w:r>
              <w:rPr>
                <w:rFonts w:ascii="Arial" w:cs="Arial" w:eastAsia="Arial" w:hAnsi="Arial"/>
                <w:sz w:val="12"/>
                <w:szCs w:val="12"/>
                <w:color w:val="55565A"/>
              </w:rPr>
              <w:t>$595 - $615 million</w:t>
            </w:r>
          </w:p>
        </w:tc>
        <w:tc>
          <w:tcPr>
            <w:tcW w:w="1800" w:type="dxa"/>
            <w:vAlign w:val="bottom"/>
            <w:shd w:val="clear" w:color="auto" w:fill="CCEEFF"/>
          </w:tcPr>
          <w:p>
            <w:pPr>
              <w:jc w:val="center"/>
              <w:ind w:left="149"/>
              <w:spacing w:after="0"/>
              <w:rPr>
                <w:sz w:val="20"/>
                <w:szCs w:val="20"/>
                <w:color w:val="auto"/>
              </w:rPr>
            </w:pPr>
            <w:r>
              <w:rPr>
                <w:rFonts w:ascii="Arial" w:cs="Arial" w:eastAsia="Arial" w:hAnsi="Arial"/>
                <w:sz w:val="14"/>
                <w:szCs w:val="14"/>
                <w:color w:val="55565A"/>
              </w:rPr>
              <w:t>Unchanged</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88888B"/>
              <w:right w:val="single" w:sz="8" w:color="88888B"/>
            </w:tcBorders>
            <w:shd w:val="clear" w:color="auto" w:fill="CCEEFF"/>
          </w:tcPr>
          <w:p>
            <w:pPr>
              <w:ind w:left="140"/>
              <w:spacing w:after="0"/>
              <w:rPr>
                <w:sz w:val="20"/>
                <w:szCs w:val="20"/>
                <w:color w:val="auto"/>
              </w:rPr>
            </w:pPr>
            <w:r>
              <w:rPr>
                <w:rFonts w:ascii="Arial" w:cs="Arial" w:eastAsia="Arial" w:hAnsi="Arial"/>
                <w:sz w:val="12"/>
                <w:szCs w:val="12"/>
                <w:b w:val="1"/>
                <w:bCs w:val="1"/>
                <w:color w:val="55565A"/>
              </w:rPr>
              <w:t>Amortization of acquired software</w:t>
            </w:r>
          </w:p>
        </w:tc>
        <w:tc>
          <w:tcPr>
            <w:tcW w:w="1080" w:type="dxa"/>
            <w:vAlign w:val="bottom"/>
            <w:tcBorders>
              <w:bottom w:val="single" w:sz="8" w:color="88888B"/>
              <w:right w:val="single" w:sz="8" w:color="88888B"/>
            </w:tcBorders>
            <w:shd w:val="clear" w:color="auto" w:fill="CCEEFF"/>
          </w:tcPr>
          <w:p>
            <w:pPr>
              <w:jc w:val="center"/>
              <w:ind w:left="10"/>
              <w:spacing w:after="0"/>
              <w:rPr>
                <w:sz w:val="20"/>
                <w:szCs w:val="20"/>
                <w:color w:val="auto"/>
              </w:rPr>
            </w:pPr>
            <w:r>
              <w:rPr>
                <w:rFonts w:ascii="Arial" w:cs="Arial" w:eastAsia="Arial" w:hAnsi="Arial"/>
                <w:sz w:val="12"/>
                <w:szCs w:val="12"/>
                <w:color w:val="55565A"/>
              </w:rPr>
              <w:t>$72 million</w:t>
            </w:r>
          </w:p>
        </w:tc>
        <w:tc>
          <w:tcPr>
            <w:tcW w:w="1680" w:type="dxa"/>
            <w:vAlign w:val="bottom"/>
            <w:tcBorders>
              <w:bottom w:val="single" w:sz="8" w:color="88888B"/>
            </w:tcBorders>
            <w:shd w:val="clear" w:color="auto" w:fill="CCEEFF"/>
          </w:tcPr>
          <w:p>
            <w:pPr>
              <w:jc w:val="center"/>
              <w:ind w:left="130"/>
              <w:spacing w:after="0"/>
              <w:rPr>
                <w:sz w:val="20"/>
                <w:szCs w:val="20"/>
                <w:color w:val="auto"/>
              </w:rPr>
            </w:pPr>
            <w:r>
              <w:rPr>
                <w:rFonts w:ascii="Arial" w:cs="Arial" w:eastAsia="Arial" w:hAnsi="Arial"/>
                <w:sz w:val="12"/>
                <w:szCs w:val="12"/>
                <w:color w:val="55565A"/>
              </w:rPr>
              <w:t>Approx. $135 million</w:t>
            </w:r>
          </w:p>
        </w:tc>
        <w:tc>
          <w:tcPr>
            <w:tcW w:w="1800" w:type="dxa"/>
            <w:vAlign w:val="bottom"/>
            <w:tcBorders>
              <w:bottom w:val="single" w:sz="8" w:color="88888B"/>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60" w:type="dxa"/>
            <w:vAlign w:val="bottom"/>
            <w:tcBorders>
              <w:bottom w:val="single" w:sz="8" w:color="88888B"/>
              <w:right w:val="single" w:sz="8" w:color="88888B"/>
            </w:tcBorders>
          </w:tcPr>
          <w:p>
            <w:pPr>
              <w:spacing w:after="0" w:line="208" w:lineRule="exact"/>
              <w:rPr>
                <w:sz w:val="20"/>
                <w:szCs w:val="20"/>
                <w:color w:val="auto"/>
              </w:rPr>
            </w:pPr>
            <w:r>
              <w:rPr>
                <w:rFonts w:ascii="Arial" w:cs="Arial" w:eastAsia="Arial" w:hAnsi="Arial"/>
                <w:sz w:val="14"/>
                <w:szCs w:val="14"/>
                <w:b w:val="1"/>
                <w:bCs w:val="1"/>
                <w:color w:val="55565A"/>
              </w:rPr>
              <w:t>Interest expense</w:t>
            </w:r>
            <w:r>
              <w:rPr>
                <w:rFonts w:ascii="Arial" w:cs="Arial" w:eastAsia="Arial" w:hAnsi="Arial"/>
                <w:sz w:val="21"/>
                <w:szCs w:val="21"/>
                <w:b w:val="1"/>
                <w:bCs w:val="1"/>
                <w:color w:val="55565A"/>
                <w:vertAlign w:val="superscript"/>
              </w:rPr>
              <w:t>(2)</w:t>
            </w:r>
          </w:p>
        </w:tc>
        <w:tc>
          <w:tcPr>
            <w:tcW w:w="1080" w:type="dxa"/>
            <w:vAlign w:val="bottom"/>
            <w:tcBorders>
              <w:bottom w:val="single" w:sz="8" w:color="88888B"/>
              <w:right w:val="single" w:sz="8" w:color="88888B"/>
            </w:tcBorders>
          </w:tcPr>
          <w:p>
            <w:pPr>
              <w:jc w:val="center"/>
              <w:ind w:left="10"/>
              <w:spacing w:after="0"/>
              <w:rPr>
                <w:sz w:val="20"/>
                <w:szCs w:val="20"/>
                <w:color w:val="auto"/>
              </w:rPr>
            </w:pPr>
            <w:r>
              <w:rPr>
                <w:rFonts w:ascii="Arial" w:cs="Arial" w:eastAsia="Arial" w:hAnsi="Arial"/>
                <w:sz w:val="14"/>
                <w:szCs w:val="14"/>
                <w:color w:val="55565A"/>
              </w:rPr>
              <w:t>$164 million</w:t>
            </w:r>
          </w:p>
        </w:tc>
        <w:tc>
          <w:tcPr>
            <w:tcW w:w="1680" w:type="dxa"/>
            <w:vAlign w:val="bottom"/>
            <w:tcBorders>
              <w:bottom w:val="single" w:sz="8" w:color="88888B"/>
            </w:tcBorders>
          </w:tcPr>
          <w:p>
            <w:pPr>
              <w:jc w:val="center"/>
              <w:ind w:left="130"/>
              <w:spacing w:after="0"/>
              <w:rPr>
                <w:sz w:val="20"/>
                <w:szCs w:val="20"/>
                <w:color w:val="auto"/>
              </w:rPr>
            </w:pPr>
            <w:r>
              <w:rPr>
                <w:rFonts w:ascii="Arial" w:cs="Arial" w:eastAsia="Arial" w:hAnsi="Arial"/>
                <w:sz w:val="14"/>
                <w:szCs w:val="14"/>
                <w:color w:val="55565A"/>
              </w:rPr>
              <w:t>$150 - $170 million</w:t>
            </w:r>
          </w:p>
        </w:tc>
        <w:tc>
          <w:tcPr>
            <w:tcW w:w="1800" w:type="dxa"/>
            <w:vAlign w:val="bottom"/>
            <w:tcBorders>
              <w:bottom w:val="single" w:sz="8" w:color="88888B"/>
            </w:tcBorders>
          </w:tcPr>
          <w:p>
            <w:pPr>
              <w:jc w:val="center"/>
              <w:ind w:left="149"/>
              <w:spacing w:after="0"/>
              <w:rPr>
                <w:sz w:val="20"/>
                <w:szCs w:val="20"/>
                <w:color w:val="auto"/>
              </w:rPr>
            </w:pPr>
            <w:r>
              <w:rPr>
                <w:rFonts w:ascii="Arial" w:cs="Arial" w:eastAsia="Arial" w:hAnsi="Arial"/>
                <w:sz w:val="14"/>
                <w:szCs w:val="14"/>
                <w:color w:val="55565A"/>
              </w:rPr>
              <w:t>Unchanged</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88888B"/>
              <w:right w:val="single" w:sz="8" w:color="88888B"/>
            </w:tcBorders>
            <w:shd w:val="clear" w:color="auto" w:fill="CCEEFF"/>
          </w:tcPr>
          <w:p>
            <w:pPr>
              <w:spacing w:after="0" w:line="208" w:lineRule="exact"/>
              <w:rPr>
                <w:sz w:val="20"/>
                <w:szCs w:val="20"/>
                <w:color w:val="auto"/>
              </w:rPr>
            </w:pPr>
            <w:r>
              <w:rPr>
                <w:rFonts w:ascii="Arial" w:cs="Arial" w:eastAsia="Arial" w:hAnsi="Arial"/>
                <w:sz w:val="14"/>
                <w:szCs w:val="14"/>
                <w:b w:val="1"/>
                <w:bCs w:val="1"/>
                <w:color w:val="55565A"/>
              </w:rPr>
              <w:t>Effective tax rate on adjusted earnings</w:t>
            </w:r>
            <w:r>
              <w:rPr>
                <w:rFonts w:ascii="Arial" w:cs="Arial" w:eastAsia="Arial" w:hAnsi="Arial"/>
                <w:sz w:val="21"/>
                <w:szCs w:val="21"/>
                <w:b w:val="1"/>
                <w:bCs w:val="1"/>
                <w:color w:val="55565A"/>
                <w:vertAlign w:val="superscript"/>
              </w:rPr>
              <w:t>(1)</w:t>
            </w:r>
          </w:p>
        </w:tc>
        <w:tc>
          <w:tcPr>
            <w:tcW w:w="1080" w:type="dxa"/>
            <w:vAlign w:val="bottom"/>
            <w:tcBorders>
              <w:bottom w:val="single" w:sz="8" w:color="88888B"/>
              <w:right w:val="single" w:sz="8" w:color="88888B"/>
            </w:tcBorders>
            <w:shd w:val="clear" w:color="auto" w:fill="CCEEFF"/>
          </w:tcPr>
          <w:p>
            <w:pPr>
              <w:jc w:val="center"/>
              <w:ind w:left="10"/>
              <w:spacing w:after="0"/>
              <w:rPr>
                <w:sz w:val="20"/>
                <w:szCs w:val="20"/>
                <w:color w:val="auto"/>
              </w:rPr>
            </w:pPr>
            <w:r>
              <w:rPr>
                <w:rFonts w:ascii="Arial" w:cs="Arial" w:eastAsia="Arial" w:hAnsi="Arial"/>
                <w:sz w:val="14"/>
                <w:szCs w:val="14"/>
                <w:color w:val="55565A"/>
              </w:rPr>
              <w:t>16.5%</w:t>
            </w:r>
          </w:p>
        </w:tc>
        <w:tc>
          <w:tcPr>
            <w:tcW w:w="1680" w:type="dxa"/>
            <w:vAlign w:val="bottom"/>
            <w:tcBorders>
              <w:bottom w:val="single" w:sz="8" w:color="88888B"/>
            </w:tcBorders>
            <w:shd w:val="clear" w:color="auto" w:fill="CCEEFF"/>
          </w:tcPr>
          <w:p>
            <w:pPr>
              <w:jc w:val="center"/>
              <w:ind w:left="130"/>
              <w:spacing w:after="0"/>
              <w:rPr>
                <w:sz w:val="20"/>
                <w:szCs w:val="20"/>
                <w:color w:val="auto"/>
              </w:rPr>
            </w:pPr>
            <w:r>
              <w:rPr>
                <w:rFonts w:ascii="Arial" w:cs="Arial" w:eastAsia="Arial" w:hAnsi="Arial"/>
                <w:sz w:val="14"/>
                <w:szCs w:val="14"/>
                <w:color w:val="55565A"/>
                <w:w w:val="99"/>
              </w:rPr>
              <w:t>Approx. 18%</w:t>
            </w:r>
          </w:p>
        </w:tc>
        <w:tc>
          <w:tcPr>
            <w:tcW w:w="1800" w:type="dxa"/>
            <w:vAlign w:val="bottom"/>
            <w:tcBorders>
              <w:bottom w:val="single" w:sz="8" w:color="88888B"/>
            </w:tcBorders>
            <w:shd w:val="clear" w:color="auto" w:fill="CCEEFF"/>
          </w:tcPr>
          <w:p>
            <w:pPr>
              <w:jc w:val="center"/>
              <w:ind w:left="149"/>
              <w:spacing w:after="0"/>
              <w:rPr>
                <w:sz w:val="20"/>
                <w:szCs w:val="20"/>
                <w:color w:val="auto"/>
              </w:rPr>
            </w:pPr>
            <w:r>
              <w:rPr>
                <w:rFonts w:ascii="Arial" w:cs="Arial" w:eastAsia="Arial" w:hAnsi="Arial"/>
                <w:sz w:val="14"/>
                <w:szCs w:val="14"/>
                <w:color w:val="55565A"/>
              </w:rPr>
              <w:t>Unchanged</w:t>
            </w:r>
          </w:p>
        </w:tc>
        <w:tc>
          <w:tcPr>
            <w:tcW w:w="0" w:type="dxa"/>
            <w:vAlign w:val="bottom"/>
          </w:tcPr>
          <w:p>
            <w:pPr>
              <w:spacing w:after="0"/>
              <w:rPr>
                <w:sz w:val="1"/>
                <w:szCs w:val="1"/>
                <w:color w:val="auto"/>
              </w:rPr>
            </w:pPr>
          </w:p>
        </w:tc>
      </w:tr>
      <w:tr>
        <w:trPr>
          <w:trHeight w:val="158"/>
        </w:trPr>
        <w:tc>
          <w:tcPr>
            <w:tcW w:w="6360" w:type="dxa"/>
            <w:vAlign w:val="bottom"/>
            <w:tcBorders>
              <w:right w:val="single" w:sz="8" w:color="88888B"/>
            </w:tcBorders>
            <w:vMerge w:val="restart"/>
          </w:tcPr>
          <w:p>
            <w:pPr>
              <w:spacing w:after="0"/>
              <w:rPr>
                <w:sz w:val="20"/>
                <w:szCs w:val="20"/>
                <w:color w:val="auto"/>
              </w:rPr>
            </w:pPr>
            <w:r>
              <w:rPr>
                <w:rFonts w:ascii="Arial" w:cs="Arial" w:eastAsia="Arial" w:hAnsi="Arial"/>
                <w:sz w:val="14"/>
                <w:szCs w:val="14"/>
                <w:b w:val="1"/>
                <w:bCs w:val="1"/>
                <w:color w:val="55565A"/>
              </w:rPr>
              <w:t>“Big 3” Segments</w:t>
            </w:r>
            <w:r>
              <w:rPr>
                <w:rFonts w:ascii="Arial" w:cs="Arial" w:eastAsia="Arial" w:hAnsi="Arial"/>
                <w:sz w:val="21"/>
                <w:szCs w:val="21"/>
                <w:b w:val="1"/>
                <w:bCs w:val="1"/>
                <w:color w:val="55565A"/>
                <w:vertAlign w:val="superscript"/>
              </w:rPr>
              <w:t>(1)</w:t>
            </w:r>
          </w:p>
        </w:tc>
        <w:tc>
          <w:tcPr>
            <w:tcW w:w="1080" w:type="dxa"/>
            <w:vAlign w:val="bottom"/>
            <w:tcBorders>
              <w:right w:val="single" w:sz="8" w:color="88888B"/>
            </w:tcBorders>
          </w:tcPr>
          <w:p>
            <w:pPr>
              <w:spacing w:after="0"/>
              <w:rPr>
                <w:sz w:val="13"/>
                <w:szCs w:val="13"/>
                <w:color w:val="auto"/>
              </w:rPr>
            </w:pPr>
          </w:p>
        </w:tc>
        <w:tc>
          <w:tcPr>
            <w:tcW w:w="1680" w:type="dxa"/>
            <w:vAlign w:val="bottom"/>
          </w:tcPr>
          <w:p>
            <w:pPr>
              <w:jc w:val="center"/>
              <w:ind w:left="130"/>
              <w:spacing w:after="0" w:line="158" w:lineRule="exact"/>
              <w:rPr>
                <w:sz w:val="20"/>
                <w:szCs w:val="20"/>
                <w:color w:val="auto"/>
              </w:rPr>
            </w:pPr>
            <w:r>
              <w:rPr>
                <w:rFonts w:ascii="Arial" w:cs="Arial" w:eastAsia="Arial" w:hAnsi="Arial"/>
                <w:sz w:val="14"/>
                <w:szCs w:val="14"/>
                <w:b w:val="1"/>
                <w:bCs w:val="1"/>
                <w:color w:val="55565A"/>
              </w:rPr>
              <w:t>2024 Outlook</w:t>
            </w:r>
          </w:p>
        </w:tc>
        <w:tc>
          <w:tcPr>
            <w:tcW w:w="1800" w:type="dxa"/>
            <w:vAlign w:val="bottom"/>
          </w:tcPr>
          <w:p>
            <w:pPr>
              <w:jc w:val="center"/>
              <w:ind w:left="149"/>
              <w:spacing w:after="0" w:line="158" w:lineRule="exact"/>
              <w:rPr>
                <w:sz w:val="20"/>
                <w:szCs w:val="20"/>
                <w:color w:val="auto"/>
              </w:rPr>
            </w:pPr>
            <w:r>
              <w:rPr>
                <w:rFonts w:ascii="Arial" w:cs="Arial" w:eastAsia="Arial" w:hAnsi="Arial"/>
                <w:sz w:val="14"/>
                <w:szCs w:val="14"/>
                <w:b w:val="1"/>
                <w:bCs w:val="1"/>
                <w:color w:val="55565A"/>
              </w:rPr>
              <w:t>2024 Outlook</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88888B"/>
              <w:right w:val="single" w:sz="8" w:color="88888B"/>
            </w:tcBorders>
            <w:vMerge w:val="continue"/>
          </w:tcPr>
          <w:p>
            <w:pPr>
              <w:spacing w:after="0"/>
              <w:rPr>
                <w:sz w:val="21"/>
                <w:szCs w:val="21"/>
                <w:color w:val="auto"/>
              </w:rPr>
            </w:pPr>
          </w:p>
        </w:tc>
        <w:tc>
          <w:tcPr>
            <w:tcW w:w="1080" w:type="dxa"/>
            <w:vAlign w:val="bottom"/>
            <w:tcBorders>
              <w:bottom w:val="single" w:sz="8" w:color="88888B"/>
              <w:right w:val="single" w:sz="8" w:color="88888B"/>
            </w:tcBorders>
          </w:tcPr>
          <w:p>
            <w:pPr>
              <w:jc w:val="center"/>
              <w:spacing w:after="0"/>
              <w:rPr>
                <w:sz w:val="20"/>
                <w:szCs w:val="20"/>
                <w:color w:val="auto"/>
              </w:rPr>
            </w:pPr>
            <w:r>
              <w:rPr>
                <w:rFonts w:ascii="Arial" w:cs="Arial" w:eastAsia="Arial" w:hAnsi="Arial"/>
                <w:sz w:val="14"/>
                <w:szCs w:val="14"/>
                <w:b w:val="1"/>
                <w:bCs w:val="1"/>
                <w:color w:val="55565A"/>
              </w:rPr>
              <w:t>2023 Actual</w:t>
            </w:r>
          </w:p>
        </w:tc>
        <w:tc>
          <w:tcPr>
            <w:tcW w:w="1680" w:type="dxa"/>
            <w:vAlign w:val="bottom"/>
            <w:tcBorders>
              <w:bottom w:val="single" w:sz="8" w:color="88888B"/>
            </w:tcBorders>
          </w:tcPr>
          <w:p>
            <w:pPr>
              <w:jc w:val="center"/>
              <w:ind w:left="130"/>
              <w:spacing w:after="0"/>
              <w:rPr>
                <w:sz w:val="20"/>
                <w:szCs w:val="20"/>
                <w:color w:val="auto"/>
              </w:rPr>
            </w:pPr>
            <w:r>
              <w:rPr>
                <w:rFonts w:ascii="Arial" w:cs="Arial" w:eastAsia="Arial" w:hAnsi="Arial"/>
                <w:sz w:val="14"/>
                <w:szCs w:val="14"/>
                <w:b w:val="1"/>
                <w:bCs w:val="1"/>
                <w:color w:val="55565A"/>
              </w:rPr>
              <w:t>2/8/2024</w:t>
            </w:r>
          </w:p>
        </w:tc>
        <w:tc>
          <w:tcPr>
            <w:tcW w:w="1800" w:type="dxa"/>
            <w:vAlign w:val="bottom"/>
            <w:tcBorders>
              <w:bottom w:val="single" w:sz="8" w:color="88888B"/>
            </w:tcBorders>
          </w:tcPr>
          <w:p>
            <w:pPr>
              <w:jc w:val="center"/>
              <w:ind w:left="149"/>
              <w:spacing w:after="0"/>
              <w:rPr>
                <w:sz w:val="20"/>
                <w:szCs w:val="20"/>
                <w:color w:val="auto"/>
              </w:rPr>
            </w:pPr>
            <w:r>
              <w:rPr>
                <w:rFonts w:ascii="Arial" w:cs="Arial" w:eastAsia="Arial" w:hAnsi="Arial"/>
                <w:sz w:val="14"/>
                <w:szCs w:val="14"/>
                <w:b w:val="1"/>
                <w:bCs w:val="1"/>
                <w:color w:val="55565A"/>
                <w:w w:val="99"/>
              </w:rPr>
              <w:t>5/2/2024</w:t>
            </w:r>
          </w:p>
        </w:tc>
        <w:tc>
          <w:tcPr>
            <w:tcW w:w="0" w:type="dxa"/>
            <w:vAlign w:val="bottom"/>
          </w:tcPr>
          <w:p>
            <w:pPr>
              <w:spacing w:after="0"/>
              <w:rPr>
                <w:sz w:val="1"/>
                <w:szCs w:val="1"/>
                <w:color w:val="auto"/>
              </w:rPr>
            </w:pPr>
          </w:p>
        </w:tc>
      </w:tr>
      <w:tr>
        <w:trPr>
          <w:trHeight w:val="207"/>
        </w:trPr>
        <w:tc>
          <w:tcPr>
            <w:tcW w:w="6360" w:type="dxa"/>
            <w:vAlign w:val="bottom"/>
            <w:tcBorders>
              <w:right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Revenue growth</w:t>
            </w:r>
          </w:p>
        </w:tc>
        <w:tc>
          <w:tcPr>
            <w:tcW w:w="1080" w:type="dxa"/>
            <w:vAlign w:val="bottom"/>
            <w:tcBorders>
              <w:right w:val="single" w:sz="8" w:color="88888B"/>
            </w:tcBorders>
            <w:shd w:val="clear" w:color="auto" w:fill="CCEEFF"/>
          </w:tcPr>
          <w:p>
            <w:pPr>
              <w:jc w:val="center"/>
              <w:ind w:left="10"/>
              <w:spacing w:after="0"/>
              <w:rPr>
                <w:sz w:val="20"/>
                <w:szCs w:val="20"/>
                <w:color w:val="auto"/>
              </w:rPr>
            </w:pPr>
            <w:r>
              <w:rPr>
                <w:rFonts w:ascii="Arial" w:cs="Arial" w:eastAsia="Arial" w:hAnsi="Arial"/>
                <w:sz w:val="14"/>
                <w:szCs w:val="14"/>
                <w:color w:val="55565A"/>
                <w:w w:val="98"/>
              </w:rPr>
              <w:t>3%</w:t>
            </w:r>
          </w:p>
        </w:tc>
        <w:tc>
          <w:tcPr>
            <w:tcW w:w="1680" w:type="dxa"/>
            <w:vAlign w:val="bottom"/>
            <w:shd w:val="clear" w:color="auto" w:fill="CCEEFF"/>
          </w:tcPr>
          <w:p>
            <w:pPr>
              <w:jc w:val="center"/>
              <w:ind w:left="130"/>
              <w:spacing w:after="0"/>
              <w:rPr>
                <w:sz w:val="20"/>
                <w:szCs w:val="20"/>
                <w:color w:val="auto"/>
              </w:rPr>
            </w:pPr>
            <w:r>
              <w:rPr>
                <w:rFonts w:ascii="Arial" w:cs="Arial" w:eastAsia="Arial" w:hAnsi="Arial"/>
                <w:sz w:val="14"/>
                <w:szCs w:val="14"/>
                <w:color w:val="55565A"/>
                <w:w w:val="99"/>
              </w:rPr>
              <w:t>Approx. 8.0%</w:t>
            </w:r>
          </w:p>
        </w:tc>
        <w:tc>
          <w:tcPr>
            <w:tcW w:w="1800" w:type="dxa"/>
            <w:vAlign w:val="bottom"/>
            <w:shd w:val="clear" w:color="auto" w:fill="CCEEFF"/>
          </w:tcPr>
          <w:p>
            <w:pPr>
              <w:jc w:val="center"/>
              <w:ind w:left="149"/>
              <w:spacing w:after="0"/>
              <w:rPr>
                <w:sz w:val="20"/>
                <w:szCs w:val="20"/>
                <w:color w:val="auto"/>
              </w:rPr>
            </w:pPr>
            <w:r>
              <w:rPr>
                <w:rFonts w:ascii="Arial" w:cs="Arial" w:eastAsia="Arial" w:hAnsi="Arial"/>
                <w:sz w:val="14"/>
                <w:szCs w:val="14"/>
                <w:color w:val="55565A"/>
              </w:rPr>
              <w:t>Approx 8.0% - 8.5%</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88888B"/>
              <w:right w:val="single" w:sz="8" w:color="88888B"/>
            </w:tcBorders>
          </w:tcPr>
          <w:p>
            <w:pPr>
              <w:ind w:left="160"/>
              <w:spacing w:after="0"/>
              <w:rPr>
                <w:sz w:val="20"/>
                <w:szCs w:val="20"/>
                <w:color w:val="auto"/>
              </w:rPr>
            </w:pPr>
            <w:r>
              <w:rPr>
                <w:rFonts w:ascii="Arial" w:cs="Arial" w:eastAsia="Arial" w:hAnsi="Arial"/>
                <w:sz w:val="14"/>
                <w:szCs w:val="14"/>
                <w:b w:val="1"/>
                <w:bCs w:val="1"/>
                <w:i w:val="1"/>
                <w:iCs w:val="1"/>
                <w:color w:val="55565A"/>
              </w:rPr>
              <w:t>Organic revenue growth</w:t>
            </w:r>
          </w:p>
        </w:tc>
        <w:tc>
          <w:tcPr>
            <w:tcW w:w="1080" w:type="dxa"/>
            <w:vAlign w:val="bottom"/>
            <w:tcBorders>
              <w:bottom w:val="single" w:sz="8" w:color="88888B"/>
              <w:right w:val="single" w:sz="8" w:color="88888B"/>
            </w:tcBorders>
          </w:tcPr>
          <w:p>
            <w:pPr>
              <w:jc w:val="center"/>
              <w:ind w:left="10"/>
              <w:spacing w:after="0"/>
              <w:rPr>
                <w:sz w:val="20"/>
                <w:szCs w:val="20"/>
                <w:color w:val="auto"/>
              </w:rPr>
            </w:pPr>
            <w:r>
              <w:rPr>
                <w:rFonts w:ascii="Arial" w:cs="Arial" w:eastAsia="Arial" w:hAnsi="Arial"/>
                <w:sz w:val="14"/>
                <w:szCs w:val="14"/>
                <w:i w:val="1"/>
                <w:iCs w:val="1"/>
                <w:color w:val="55565A"/>
                <w:w w:val="98"/>
              </w:rPr>
              <w:t>7%</w:t>
            </w:r>
          </w:p>
        </w:tc>
        <w:tc>
          <w:tcPr>
            <w:tcW w:w="1680" w:type="dxa"/>
            <w:vAlign w:val="bottom"/>
            <w:tcBorders>
              <w:bottom w:val="single" w:sz="8" w:color="88888B"/>
            </w:tcBorders>
          </w:tcPr>
          <w:p>
            <w:pPr>
              <w:jc w:val="center"/>
              <w:ind w:left="130"/>
              <w:spacing w:after="0"/>
              <w:rPr>
                <w:sz w:val="20"/>
                <w:szCs w:val="20"/>
                <w:color w:val="auto"/>
              </w:rPr>
            </w:pPr>
            <w:r>
              <w:rPr>
                <w:rFonts w:ascii="Arial" w:cs="Arial" w:eastAsia="Arial" w:hAnsi="Arial"/>
                <w:sz w:val="14"/>
                <w:szCs w:val="14"/>
                <w:i w:val="1"/>
                <w:iCs w:val="1"/>
                <w:color w:val="55565A"/>
                <w:w w:val="99"/>
              </w:rPr>
              <w:t>Approx. 7.5%</w:t>
            </w:r>
          </w:p>
        </w:tc>
        <w:tc>
          <w:tcPr>
            <w:tcW w:w="1800" w:type="dxa"/>
            <w:vAlign w:val="bottom"/>
            <w:tcBorders>
              <w:bottom w:val="single" w:sz="8" w:color="88888B"/>
            </w:tcBorders>
          </w:tcPr>
          <w:p>
            <w:pPr>
              <w:jc w:val="center"/>
              <w:ind w:left="149"/>
              <w:spacing w:after="0"/>
              <w:rPr>
                <w:sz w:val="20"/>
                <w:szCs w:val="20"/>
                <w:color w:val="auto"/>
              </w:rPr>
            </w:pPr>
            <w:r>
              <w:rPr>
                <w:rFonts w:ascii="Arial" w:cs="Arial" w:eastAsia="Arial" w:hAnsi="Arial"/>
                <w:sz w:val="14"/>
                <w:szCs w:val="14"/>
                <w:i w:val="1"/>
                <w:iCs w:val="1"/>
                <w:color w:val="55565A"/>
              </w:rPr>
              <w:t>Approx 7.5% - 8.0%</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88888B"/>
              <w:right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Adjusted EBITDA margin</w:t>
            </w:r>
          </w:p>
        </w:tc>
        <w:tc>
          <w:tcPr>
            <w:tcW w:w="1080" w:type="dxa"/>
            <w:vAlign w:val="bottom"/>
            <w:tcBorders>
              <w:bottom w:val="single" w:sz="8" w:color="88888B"/>
              <w:right w:val="single" w:sz="8" w:color="88888B"/>
            </w:tcBorders>
            <w:shd w:val="clear" w:color="auto" w:fill="CCEEFF"/>
          </w:tcPr>
          <w:p>
            <w:pPr>
              <w:jc w:val="center"/>
              <w:ind w:left="10"/>
              <w:spacing w:after="0"/>
              <w:rPr>
                <w:sz w:val="20"/>
                <w:szCs w:val="20"/>
                <w:color w:val="auto"/>
              </w:rPr>
            </w:pPr>
            <w:r>
              <w:rPr>
                <w:rFonts w:ascii="Arial" w:cs="Arial" w:eastAsia="Arial" w:hAnsi="Arial"/>
                <w:sz w:val="14"/>
                <w:szCs w:val="14"/>
                <w:color w:val="55565A"/>
              </w:rPr>
              <w:t>43.8%</w:t>
            </w:r>
          </w:p>
        </w:tc>
        <w:tc>
          <w:tcPr>
            <w:tcW w:w="1680" w:type="dxa"/>
            <w:vAlign w:val="bottom"/>
            <w:tcBorders>
              <w:bottom w:val="single" w:sz="8" w:color="88888B"/>
            </w:tcBorders>
            <w:shd w:val="clear" w:color="auto" w:fill="CCEEFF"/>
          </w:tcPr>
          <w:p>
            <w:pPr>
              <w:jc w:val="center"/>
              <w:ind w:left="130"/>
              <w:spacing w:after="0"/>
              <w:rPr>
                <w:sz w:val="20"/>
                <w:szCs w:val="20"/>
                <w:color w:val="auto"/>
              </w:rPr>
            </w:pPr>
            <w:r>
              <w:rPr>
                <w:rFonts w:ascii="Arial" w:cs="Arial" w:eastAsia="Arial" w:hAnsi="Arial"/>
                <w:sz w:val="14"/>
                <w:szCs w:val="14"/>
                <w:color w:val="55565A"/>
                <w:w w:val="99"/>
              </w:rPr>
              <w:t>Approx. 43%</w:t>
            </w:r>
          </w:p>
        </w:tc>
        <w:tc>
          <w:tcPr>
            <w:tcW w:w="1800" w:type="dxa"/>
            <w:vAlign w:val="bottom"/>
            <w:tcBorders>
              <w:bottom w:val="single" w:sz="8" w:color="88888B"/>
            </w:tcBorders>
            <w:shd w:val="clear" w:color="auto" w:fill="CCEEFF"/>
          </w:tcPr>
          <w:p>
            <w:pPr>
              <w:jc w:val="center"/>
              <w:ind w:left="149"/>
              <w:spacing w:after="0"/>
              <w:rPr>
                <w:sz w:val="20"/>
                <w:szCs w:val="20"/>
                <w:color w:val="auto"/>
              </w:rPr>
            </w:pPr>
            <w:r>
              <w:rPr>
                <w:rFonts w:ascii="Arial" w:cs="Arial" w:eastAsia="Arial" w:hAnsi="Arial"/>
                <w:sz w:val="14"/>
                <w:szCs w:val="14"/>
                <w:color w:val="55565A"/>
              </w:rPr>
              <w:t>Unchanged</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80" w:right="120" w:hanging="313"/>
        <w:spacing w:after="0" w:line="243" w:lineRule="auto"/>
        <w:tabs>
          <w:tab w:leader="none" w:pos="480" w:val="left"/>
        </w:tabs>
        <w:numPr>
          <w:ilvl w:val="0"/>
          <w:numId w:val="22"/>
        </w:numPr>
        <w:rPr>
          <w:rFonts w:ascii="Arial" w:cs="Arial" w:eastAsia="Arial" w:hAnsi="Arial"/>
          <w:sz w:val="12"/>
          <w:szCs w:val="12"/>
          <w:color w:val="55565A"/>
        </w:rPr>
      </w:pPr>
      <w:r>
        <w:rPr>
          <w:rFonts w:ascii="Arial" w:cs="Arial" w:eastAsia="Arial" w:hAnsi="Arial"/>
          <w:sz w:val="12"/>
          <w:szCs w:val="12"/>
          <w:color w:val="55565A"/>
        </w:rPr>
        <w:t>Non-IFRS financial measures. Refer to Appendices A and B of this management’s discussion and analysis for additional information and reconciliations of our non-IFRS financial measures to the most directly comparable IFRS financial measures.</w:t>
      </w:r>
    </w:p>
    <w:p>
      <w:pPr>
        <w:ind w:left="480" w:hanging="313"/>
        <w:spacing w:after="0"/>
        <w:tabs>
          <w:tab w:leader="none" w:pos="480" w:val="left"/>
        </w:tabs>
        <w:numPr>
          <w:ilvl w:val="0"/>
          <w:numId w:val="22"/>
        </w:numPr>
        <w:rPr>
          <w:rFonts w:ascii="Arial" w:cs="Arial" w:eastAsia="Arial" w:hAnsi="Arial"/>
          <w:sz w:val="12"/>
          <w:szCs w:val="12"/>
          <w:color w:val="55565A"/>
        </w:rPr>
      </w:pPr>
      <w:r>
        <w:rPr>
          <w:rFonts w:ascii="Arial" w:cs="Arial" w:eastAsia="Arial" w:hAnsi="Arial"/>
          <w:sz w:val="12"/>
          <w:szCs w:val="12"/>
          <w:color w:val="55565A"/>
        </w:rPr>
        <w:t>2023 actual excludes a $12 million interest benefit associated with the release of tax reserves that is removed from adjusted earnings.</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We expect our second-quarter 2024 organic revenue growth rate to be approximately 6% and our adjusted EBITDA margin to be approximately 36%.</w:t>
      </w:r>
    </w:p>
    <w:p>
      <w:pPr>
        <w:spacing w:after="0" w:line="97" w:lineRule="exact"/>
        <w:rPr>
          <w:sz w:val="20"/>
          <w:szCs w:val="20"/>
          <w:color w:val="auto"/>
        </w:rPr>
      </w:pPr>
    </w:p>
    <w:p>
      <w:pPr>
        <w:ind w:left="160" w:right="360"/>
        <w:spacing w:after="0" w:line="279" w:lineRule="auto"/>
        <w:rPr>
          <w:sz w:val="20"/>
          <w:szCs w:val="20"/>
          <w:color w:val="auto"/>
        </w:rPr>
      </w:pPr>
      <w:r>
        <w:rPr>
          <w:rFonts w:ascii="Arial" w:cs="Arial" w:eastAsia="Arial" w:hAnsi="Arial"/>
          <w:sz w:val="16"/>
          <w:szCs w:val="16"/>
          <w:color w:val="55565A"/>
        </w:rPr>
        <w:t>The following table summarizes our material assumptions and risks that may cause actual performance to differ from our expectations underlying our financial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6929755" cy="135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55565A"/>
        </w:rPr>
        <w: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22860</wp:posOffset>
            </wp:positionV>
            <wp:extent cx="6929755" cy="1276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20" w:lineRule="exact"/>
        <w:rPr>
          <w:sz w:val="20"/>
          <w:szCs w:val="20"/>
          <w:color w:val="auto"/>
        </w:rPr>
      </w:pPr>
    </w:p>
    <w:p>
      <w:pPr>
        <w:ind w:left="160"/>
        <w:spacing w:after="0"/>
        <w:tabs>
          <w:tab w:leader="none" w:pos="5840" w:val="left"/>
        </w:tabs>
        <w:rPr>
          <w:sz w:val="20"/>
          <w:szCs w:val="20"/>
          <w:color w:val="auto"/>
        </w:rPr>
      </w:pPr>
      <w:r>
        <w:rPr>
          <w:rFonts w:ascii="Arial" w:cs="Arial" w:eastAsia="Arial" w:hAnsi="Arial"/>
          <w:sz w:val="14"/>
          <w:szCs w:val="14"/>
          <w:b w:val="1"/>
          <w:bCs w:val="1"/>
          <w:color w:val="FFFFFF"/>
        </w:rPr>
        <w:t>   Material assumptions</w:t>
      </w:r>
      <w:r>
        <w:rPr>
          <w:sz w:val="20"/>
          <w:szCs w:val="20"/>
          <w:color w:val="auto"/>
        </w:rPr>
        <w:tab/>
      </w:r>
      <w:r>
        <w:rPr>
          <w:rFonts w:ascii="Arial" w:cs="Arial" w:eastAsia="Arial" w:hAnsi="Arial"/>
          <w:sz w:val="13"/>
          <w:szCs w:val="13"/>
          <w:b w:val="1"/>
          <w:bCs w:val="1"/>
          <w:color w:val="FFFFFF"/>
        </w:rPr>
        <w:t>   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22860</wp:posOffset>
            </wp:positionV>
            <wp:extent cx="69297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6" w:lineRule="exact"/>
        <w:rPr>
          <w:sz w:val="20"/>
          <w:szCs w:val="20"/>
          <w:color w:val="auto"/>
        </w:rPr>
      </w:pPr>
    </w:p>
    <w:p>
      <w:pPr>
        <w:ind w:left="700" w:right="20" w:hanging="213"/>
        <w:spacing w:after="0" w:line="250"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Uncertain macroeconomic and geopolitical conditions will continue to disrupt the economy and cause periods of volatility</w:t>
      </w:r>
    </w:p>
    <w:p>
      <w:pPr>
        <w:spacing w:after="0" w:line="1" w:lineRule="exact"/>
        <w:rPr>
          <w:sz w:val="20"/>
          <w:szCs w:val="20"/>
          <w:color w:val="auto"/>
        </w:rPr>
      </w:pPr>
    </w:p>
    <w:p>
      <w:pPr>
        <w:ind w:left="700" w:right="80" w:hanging="213"/>
        <w:spacing w:after="0" w:line="242"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Continued need for trusted products and services that help customers navigate evolving and complex legal, tax, accounting, regulatory, geopolitical and commercial changes, developments and environments, and for cloud-based digital tools that drive productivity</w:t>
      </w:r>
    </w:p>
    <w:p>
      <w:pPr>
        <w:spacing w:after="0" w:line="9" w:lineRule="exact"/>
        <w:rPr>
          <w:sz w:val="20"/>
          <w:szCs w:val="20"/>
          <w:color w:val="auto"/>
        </w:rPr>
      </w:pPr>
    </w:p>
    <w:p>
      <w:pPr>
        <w:ind w:left="700" w:right="300" w:hanging="213"/>
        <w:spacing w:after="0" w:line="250"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Continued ability to deliver innovative products that meet evolving customer demands</w:t>
      </w:r>
    </w:p>
    <w:p>
      <w:pPr>
        <w:spacing w:after="0" w:line="1" w:lineRule="exact"/>
        <w:rPr>
          <w:sz w:val="20"/>
          <w:szCs w:val="20"/>
          <w:color w:val="auto"/>
        </w:rPr>
      </w:pPr>
    </w:p>
    <w:p>
      <w:pPr>
        <w:ind w:left="700" w:right="60" w:hanging="213"/>
        <w:spacing w:after="0" w:line="250"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Acquisition of new customers through expanded and improved digital platforms, simplification of the product portfolio and through other sales initiatives</w:t>
      </w:r>
    </w:p>
    <w:p>
      <w:pPr>
        <w:spacing w:after="0" w:line="1" w:lineRule="exact"/>
        <w:rPr>
          <w:sz w:val="20"/>
          <w:szCs w:val="20"/>
          <w:color w:val="auto"/>
        </w:rPr>
      </w:pPr>
    </w:p>
    <w:p>
      <w:pPr>
        <w:ind w:left="700" w:hanging="213"/>
        <w:spacing w:after="0" w:line="250"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Improvement in customer retention through commercial simplification efforts and customer service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552450</wp:posOffset>
            </wp:positionV>
            <wp:extent cx="69297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00" w:hanging="213"/>
        <w:spacing w:after="0" w:line="242"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Ongoing geopolitical instability and uncertainty regarding interest rates and inflation, continue to impact the global economy. The severity and duration of any one, or a combination, of these conditions could impact the global economy and lead to lower demand for our products and services (beyond our assumption that these disruptions will cause periods of volatility)</w:t>
      </w:r>
    </w:p>
    <w:p>
      <w:pPr>
        <w:spacing w:after="0" w:line="7" w:lineRule="exact"/>
        <w:rPr>
          <w:sz w:val="20"/>
          <w:szCs w:val="20"/>
          <w:color w:val="auto"/>
        </w:rPr>
      </w:pPr>
    </w:p>
    <w:p>
      <w:pPr>
        <w:ind w:left="200" w:right="40" w:hanging="213"/>
        <w:spacing w:after="0" w:line="242"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Uncertainty in the legal regulatory regime relating to AI. Potential future legislation may make it harder for us to conduct business using AI, lead to regulatory fines or penalties, require us to change product offerings or business practices, or prevent or limit our use of AI</w:t>
      </w:r>
    </w:p>
    <w:p>
      <w:pPr>
        <w:spacing w:after="0" w:line="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Demand for our products and services could be reduced by changes in</w:t>
      </w:r>
    </w:p>
    <w:p>
      <w:pPr>
        <w:ind w:left="200" w:right="460"/>
        <w:spacing w:after="0" w:line="256" w:lineRule="auto"/>
        <w:rPr>
          <w:sz w:val="20"/>
          <w:szCs w:val="20"/>
          <w:color w:val="auto"/>
        </w:rPr>
      </w:pPr>
      <w:r>
        <w:rPr>
          <w:rFonts w:ascii="Arial" w:cs="Arial" w:eastAsia="Arial" w:hAnsi="Arial"/>
          <w:sz w:val="14"/>
          <w:szCs w:val="14"/>
          <w:color w:val="55565A"/>
        </w:rPr>
        <w:t>customer buying patterns, or our inability to execute on key product design or customer support initiatives</w:t>
      </w:r>
    </w:p>
    <w:p>
      <w:pPr>
        <w:ind w:left="200" w:right="440" w:hanging="213"/>
        <w:spacing w:after="0" w:line="250"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Competitive pricing actions and product innovation could impact our revenues</w:t>
      </w:r>
    </w:p>
    <w:p>
      <w:pPr>
        <w:spacing w:after="0" w:line="1" w:lineRule="exact"/>
        <w:rPr>
          <w:sz w:val="20"/>
          <w:szCs w:val="20"/>
          <w:color w:val="auto"/>
        </w:rPr>
      </w:pPr>
    </w:p>
    <w:p>
      <w:pPr>
        <w:ind w:left="200" w:right="60" w:hanging="213"/>
        <w:spacing w:after="0" w:line="250"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Our sales, commercial simplification and product design initiatives may be insufficient to retain customers or generate new sales</w:t>
      </w:r>
    </w:p>
    <w:p>
      <w:pPr>
        <w:spacing w:after="0" w:line="200" w:lineRule="exact"/>
        <w:rPr>
          <w:sz w:val="20"/>
          <w:szCs w:val="20"/>
          <w:color w:val="auto"/>
        </w:rPr>
      </w:pPr>
    </w:p>
    <w:p>
      <w:pPr>
        <w:sectPr>
          <w:pgSz w:w="11900" w:h="16838" w:orient="portrait"/>
          <w:cols w:equalWidth="0" w:num="2">
            <w:col w:w="5740" w:space="440"/>
            <w:col w:w="4900"/>
          </w:cols>
          <w:pgMar w:left="320" w:top="454" w:right="499" w:bottom="1440" w:gutter="0" w:footer="0" w:header="0"/>
          <w:type w:val="continuous"/>
        </w:sectPr>
      </w:pPr>
    </w:p>
    <w:p>
      <w:pPr>
        <w:spacing w:after="0" w:line="149"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18</w:t>
      </w:r>
    </w:p>
    <w:p>
      <w:pPr>
        <w:sectPr>
          <w:pgSz w:w="11900" w:h="16838" w:orient="portrait"/>
          <w:cols w:equalWidth="0" w:num="1">
            <w:col w:w="11080"/>
          </w:cols>
          <w:pgMar w:left="320" w:top="454" w:right="4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1273810</wp:posOffset>
            </wp:positionV>
            <wp:extent cx="6929755" cy="144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9755" cy="144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55565A"/>
        </w:rPr>
        <w:t>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22860</wp:posOffset>
            </wp:positionV>
            <wp:extent cx="6929755" cy="1276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20" w:lineRule="exact"/>
        <w:rPr>
          <w:sz w:val="20"/>
          <w:szCs w:val="20"/>
          <w:color w:val="auto"/>
        </w:rPr>
      </w:pPr>
    </w:p>
    <w:p>
      <w:pPr>
        <w:ind w:left="160"/>
        <w:spacing w:after="0"/>
        <w:tabs>
          <w:tab w:leader="none" w:pos="5840" w:val="left"/>
        </w:tabs>
        <w:rPr>
          <w:sz w:val="20"/>
          <w:szCs w:val="20"/>
          <w:color w:val="auto"/>
        </w:rPr>
      </w:pPr>
      <w:r>
        <w:rPr>
          <w:rFonts w:ascii="Arial" w:cs="Arial" w:eastAsia="Arial" w:hAnsi="Arial"/>
          <w:sz w:val="14"/>
          <w:szCs w:val="14"/>
          <w:b w:val="1"/>
          <w:bCs w:val="1"/>
          <w:color w:val="FFFFFF"/>
        </w:rPr>
        <w:t>   Material assumptions</w:t>
      </w:r>
      <w:r>
        <w:rPr>
          <w:sz w:val="20"/>
          <w:szCs w:val="20"/>
          <w:color w:val="auto"/>
        </w:rPr>
        <w:tab/>
      </w:r>
      <w:r>
        <w:rPr>
          <w:rFonts w:ascii="Arial" w:cs="Arial" w:eastAsia="Arial" w:hAnsi="Arial"/>
          <w:sz w:val="13"/>
          <w:szCs w:val="13"/>
          <w:b w:val="1"/>
          <w:bCs w:val="1"/>
          <w:color w:val="FFFFFF"/>
        </w:rPr>
        <w:t>   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22860</wp:posOffset>
            </wp:positionV>
            <wp:extent cx="69297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Our ability to achieve revenue growth targets</w:t>
      </w:r>
    </w:p>
    <w:p>
      <w:pPr>
        <w:spacing w:after="0" w:line="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Business mix continues to shift to higher-growth product offerings</w:t>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Integration expenses associated with recent acquisitions will reduce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250825</wp:posOffset>
            </wp:positionV>
            <wp:extent cx="6929755" cy="135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Same as the risks above related to the revenue outlook</w:t>
      </w:r>
    </w:p>
    <w:p>
      <w:pPr>
        <w:spacing w:after="0" w:line="24" w:lineRule="exact"/>
        <w:rPr>
          <w:sz w:val="20"/>
          <w:szCs w:val="20"/>
          <w:color w:val="auto"/>
        </w:rPr>
      </w:pPr>
    </w:p>
    <w:p>
      <w:pPr>
        <w:jc w:val="both"/>
        <w:ind w:left="200" w:right="520" w:hanging="213"/>
        <w:spacing w:after="0" w:line="239"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Higher than expected inflation may lead to greater than anticipated increase in labor costs, third-party supplier costs and costs of print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Acquisition and disposal activity may dilute adjusted EBITDA margin</w:t>
      </w:r>
    </w:p>
    <w:p>
      <w:pPr>
        <w:spacing w:after="0" w:line="100" w:lineRule="exact"/>
        <w:rPr>
          <w:sz w:val="20"/>
          <w:szCs w:val="20"/>
          <w:color w:val="auto"/>
        </w:rPr>
      </w:pPr>
    </w:p>
    <w:p>
      <w:pPr>
        <w:sectPr>
          <w:pgSz w:w="11900" w:h="16838" w:orient="portrait"/>
          <w:cols w:equalWidth="0" w:num="2">
            <w:col w:w="5500" w:space="680"/>
            <w:col w:w="490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14"/>
          <w:szCs w:val="14"/>
          <w:b w:val="1"/>
          <w:bCs w:val="1"/>
          <w:color w:val="55565A"/>
        </w:rPr>
        <w:t>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22860</wp:posOffset>
            </wp:positionV>
            <wp:extent cx="6929755" cy="1276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20" w:lineRule="exact"/>
        <w:rPr>
          <w:sz w:val="20"/>
          <w:szCs w:val="20"/>
          <w:color w:val="auto"/>
        </w:rPr>
      </w:pPr>
    </w:p>
    <w:p>
      <w:pPr>
        <w:ind w:left="160"/>
        <w:spacing w:after="0"/>
        <w:tabs>
          <w:tab w:leader="none" w:pos="5840" w:val="left"/>
        </w:tabs>
        <w:rPr>
          <w:sz w:val="20"/>
          <w:szCs w:val="20"/>
          <w:color w:val="auto"/>
        </w:rPr>
      </w:pPr>
      <w:r>
        <w:rPr>
          <w:rFonts w:ascii="Arial" w:cs="Arial" w:eastAsia="Arial" w:hAnsi="Arial"/>
          <w:sz w:val="14"/>
          <w:szCs w:val="14"/>
          <w:b w:val="1"/>
          <w:bCs w:val="1"/>
          <w:color w:val="FFFFFF"/>
        </w:rPr>
        <w:t>   Material assumptions</w:t>
      </w:r>
      <w:r>
        <w:rPr>
          <w:sz w:val="20"/>
          <w:szCs w:val="20"/>
          <w:color w:val="auto"/>
        </w:rPr>
        <w:tab/>
      </w:r>
      <w:r>
        <w:rPr>
          <w:rFonts w:ascii="Arial" w:cs="Arial" w:eastAsia="Arial" w:hAnsi="Arial"/>
          <w:sz w:val="13"/>
          <w:szCs w:val="13"/>
          <w:b w:val="1"/>
          <w:bCs w:val="1"/>
          <w:color w:val="FFFFFF"/>
        </w:rPr>
        <w:t>   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22860</wp:posOffset>
            </wp:positionV>
            <wp:extent cx="69297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Our ability to achieve our revenue and adjusted EBITDA margin targets</w:t>
      </w:r>
    </w:p>
    <w:p>
      <w:pPr>
        <w:spacing w:after="0" w:line="24" w:lineRule="exact"/>
        <w:rPr>
          <w:sz w:val="20"/>
          <w:szCs w:val="20"/>
          <w:color w:val="auto"/>
        </w:rPr>
      </w:pPr>
    </w:p>
    <w:p>
      <w:pPr>
        <w:ind w:left="700" w:right="60" w:hanging="213"/>
        <w:spacing w:after="0" w:line="239"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Accrued capital expenditures expected to approximate 8.5% of revenues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659130</wp:posOffset>
            </wp:positionV>
            <wp:extent cx="6929755" cy="144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00" w:right="320" w:hanging="213"/>
        <w:spacing w:after="0" w:line="250"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Same as the risks above related to the revenue and adjusted EBITDA margin outlook</w:t>
      </w:r>
    </w:p>
    <w:p>
      <w:pPr>
        <w:spacing w:after="0" w:line="1" w:lineRule="exact"/>
        <w:rPr>
          <w:sz w:val="20"/>
          <w:szCs w:val="20"/>
          <w:color w:val="auto"/>
        </w:rPr>
      </w:pPr>
    </w:p>
    <w:p>
      <w:pPr>
        <w:jc w:val="center"/>
        <w:ind w:right="200"/>
        <w:spacing w:after="0" w:line="250"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A weaker macroeconomic environment could negatively impact working capital performance, including the ability of our customers to pay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Accrued capital expenditures may be higher than currently expected</w:t>
      </w:r>
    </w:p>
    <w:p>
      <w:pPr>
        <w:spacing w:after="0" w:line="24" w:lineRule="exact"/>
        <w:rPr>
          <w:sz w:val="20"/>
          <w:szCs w:val="20"/>
          <w:color w:val="auto"/>
        </w:rPr>
      </w:pPr>
    </w:p>
    <w:p>
      <w:pPr>
        <w:ind w:left="200" w:right="200" w:hanging="213"/>
        <w:spacing w:after="0" w:line="239"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The timing and amount of tax payments to governments may differ from our expectations</w:t>
      </w:r>
    </w:p>
    <w:p>
      <w:pPr>
        <w:spacing w:after="0" w:line="200" w:lineRule="exact"/>
        <w:rPr>
          <w:sz w:val="20"/>
          <w:szCs w:val="20"/>
          <w:color w:val="auto"/>
        </w:rPr>
      </w:pPr>
    </w:p>
    <w:p>
      <w:pPr>
        <w:sectPr>
          <w:pgSz w:w="11900" w:h="16838" w:orient="portrait"/>
          <w:cols w:equalWidth="0" w:num="2">
            <w:col w:w="5460" w:space="720"/>
            <w:col w:w="4900"/>
          </w:cols>
          <w:pgMar w:left="320" w:top="454" w:right="499" w:bottom="1440" w:gutter="0" w:footer="0" w:header="0"/>
          <w:type w:val="continuous"/>
        </w:sectPr>
      </w:pPr>
    </w:p>
    <w:p>
      <w:pPr>
        <w:spacing w:after="0" w:line="14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55565A"/>
        </w:rPr>
        <w:t>   Effective tax rate on adjusted earnings</w:t>
      </w:r>
    </w:p>
    <w:p>
      <w:pPr>
        <w:spacing w:after="0" w:line="48"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540" w:type="dxa"/>
            <w:vAlign w:val="bottom"/>
            <w:shd w:val="clear" w:color="auto" w:fill="77777A"/>
          </w:tcPr>
          <w:p>
            <w:pPr>
              <w:spacing w:after="0"/>
              <w:rPr>
                <w:sz w:val="20"/>
                <w:szCs w:val="20"/>
                <w:color w:val="auto"/>
              </w:rPr>
            </w:pPr>
            <w:r>
              <w:rPr>
                <w:rFonts w:ascii="Arial" w:cs="Arial" w:eastAsia="Arial" w:hAnsi="Arial"/>
                <w:sz w:val="14"/>
                <w:szCs w:val="14"/>
                <w:b w:val="1"/>
                <w:bCs w:val="1"/>
                <w:color w:val="FFFFFF"/>
              </w:rPr>
              <w:t>   Material assumptions</w:t>
            </w:r>
          </w:p>
        </w:tc>
        <w:tc>
          <w:tcPr>
            <w:tcW w:w="5380" w:type="dxa"/>
            <w:vAlign w:val="bottom"/>
            <w:shd w:val="clear" w:color="auto" w:fill="77777A"/>
          </w:tcPr>
          <w:p>
            <w:pPr>
              <w:ind w:left="160"/>
              <w:spacing w:after="0"/>
              <w:rPr>
                <w:sz w:val="20"/>
                <w:szCs w:val="20"/>
                <w:color w:val="auto"/>
              </w:rPr>
            </w:pPr>
            <w:r>
              <w:rPr>
                <w:rFonts w:ascii="Arial" w:cs="Arial" w:eastAsia="Arial" w:hAnsi="Arial"/>
                <w:sz w:val="14"/>
                <w:szCs w:val="14"/>
                <w:b w:val="1"/>
                <w:bCs w:val="1"/>
                <w:color w:val="FFFFFF"/>
              </w:rPr>
              <w:t>   Material risks</w:t>
            </w:r>
          </w:p>
        </w:tc>
      </w:tr>
      <w:tr>
        <w:trPr>
          <w:trHeight w:val="188"/>
        </w:trPr>
        <w:tc>
          <w:tcPr>
            <w:tcW w:w="5540" w:type="dxa"/>
            <w:vAlign w:val="bottom"/>
          </w:tcPr>
          <w:p>
            <w:pPr>
              <w:ind w:left="320"/>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Our ability to achieve our adjusted EBITDA target</w:t>
            </w:r>
          </w:p>
        </w:tc>
        <w:tc>
          <w:tcPr>
            <w:tcW w:w="5380" w:type="dxa"/>
            <w:vAlign w:val="bottom"/>
          </w:tcPr>
          <w:p>
            <w:pPr>
              <w:ind w:left="480"/>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Same as the risks above related to adjusted EBITDA</w:t>
            </w:r>
          </w:p>
        </w:tc>
      </w:tr>
      <w:tr>
        <w:trPr>
          <w:trHeight w:val="164"/>
        </w:trPr>
        <w:tc>
          <w:tcPr>
            <w:tcW w:w="5540" w:type="dxa"/>
            <w:vAlign w:val="bottom"/>
          </w:tcPr>
          <w:p>
            <w:pPr>
              <w:ind w:left="320"/>
              <w:spacing w:after="0" w:line="164" w:lineRule="exact"/>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The mix of taxing jurisdictions where we recognized pre-tax profit or losses in</w:t>
            </w:r>
          </w:p>
        </w:tc>
        <w:tc>
          <w:tcPr>
            <w:tcW w:w="5380" w:type="dxa"/>
            <w:vAlign w:val="bottom"/>
          </w:tcPr>
          <w:p>
            <w:pPr>
              <w:ind w:left="480"/>
              <w:spacing w:after="0" w:line="164" w:lineRule="exact"/>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A material change in the geographical mix of our pre-tax profits and losses</w:t>
            </w:r>
          </w:p>
        </w:tc>
      </w:tr>
      <w:tr>
        <w:trPr>
          <w:trHeight w:val="197"/>
        </w:trPr>
        <w:tc>
          <w:tcPr>
            <w:tcW w:w="5540" w:type="dxa"/>
            <w:vAlign w:val="bottom"/>
          </w:tcPr>
          <w:p>
            <w:pPr>
              <w:ind w:left="540"/>
              <w:spacing w:after="0"/>
              <w:rPr>
                <w:sz w:val="20"/>
                <w:szCs w:val="20"/>
                <w:color w:val="auto"/>
              </w:rPr>
            </w:pPr>
            <w:r>
              <w:rPr>
                <w:rFonts w:ascii="Arial" w:cs="Arial" w:eastAsia="Arial" w:hAnsi="Arial"/>
                <w:sz w:val="14"/>
                <w:szCs w:val="14"/>
                <w:color w:val="55565A"/>
              </w:rPr>
              <w:t>2023 does not significantly change in 2024</w:t>
            </w:r>
          </w:p>
        </w:tc>
        <w:tc>
          <w:tcPr>
            <w:tcW w:w="5380" w:type="dxa"/>
            <w:vAlign w:val="bottom"/>
          </w:tcPr>
          <w:p>
            <w:pPr>
              <w:ind w:left="480"/>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A material change in current tax laws or treaties to which we are subject,</w:t>
            </w:r>
          </w:p>
        </w:tc>
      </w:tr>
      <w:tr>
        <w:trPr>
          <w:trHeight w:val="164"/>
        </w:trPr>
        <w:tc>
          <w:tcPr>
            <w:tcW w:w="5540" w:type="dxa"/>
            <w:vAlign w:val="bottom"/>
          </w:tcPr>
          <w:p>
            <w:pPr>
              <w:ind w:left="320"/>
              <w:spacing w:after="0" w:line="164" w:lineRule="exact"/>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Minimal changes in currently enacted tax laws and treaties within the</w:t>
            </w:r>
          </w:p>
        </w:tc>
        <w:tc>
          <w:tcPr>
            <w:tcW w:w="5380" w:type="dxa"/>
            <w:vAlign w:val="bottom"/>
          </w:tcPr>
          <w:p>
            <w:pPr>
              <w:ind w:left="680"/>
              <w:spacing w:after="0"/>
              <w:rPr>
                <w:sz w:val="20"/>
                <w:szCs w:val="20"/>
                <w:color w:val="auto"/>
              </w:rPr>
            </w:pPr>
            <w:r>
              <w:rPr>
                <w:rFonts w:ascii="Arial" w:cs="Arial" w:eastAsia="Arial" w:hAnsi="Arial"/>
                <w:sz w:val="14"/>
                <w:szCs w:val="14"/>
                <w:color w:val="55565A"/>
              </w:rPr>
              <w:t>and did not expect</w:t>
            </w:r>
          </w:p>
        </w:tc>
      </w:tr>
      <w:tr>
        <w:trPr>
          <w:trHeight w:val="183"/>
        </w:trPr>
        <w:tc>
          <w:tcPr>
            <w:tcW w:w="5540" w:type="dxa"/>
            <w:vAlign w:val="bottom"/>
          </w:tcPr>
          <w:p>
            <w:pPr>
              <w:ind w:left="540"/>
              <w:spacing w:after="0"/>
              <w:rPr>
                <w:sz w:val="20"/>
                <w:szCs w:val="20"/>
                <w:color w:val="auto"/>
              </w:rPr>
            </w:pPr>
            <w:r>
              <w:rPr>
                <w:rFonts w:ascii="Arial" w:cs="Arial" w:eastAsia="Arial" w:hAnsi="Arial"/>
                <w:sz w:val="14"/>
                <w:szCs w:val="14"/>
                <w:color w:val="55565A"/>
              </w:rPr>
              <w:t>jurisdictions where we operate (except for the enactment of proposed tax</w:t>
            </w:r>
          </w:p>
        </w:tc>
        <w:tc>
          <w:tcPr>
            <w:tcW w:w="5380" w:type="dxa"/>
            <w:vAlign w:val="bottom"/>
          </w:tcPr>
          <w:p>
            <w:pPr>
              <w:ind w:left="480"/>
              <w:spacing w:after="0" w:line="183" w:lineRule="exact"/>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Depreciation and amortization of internally developed computer software</w:t>
            </w:r>
          </w:p>
        </w:tc>
      </w:tr>
      <w:tr>
        <w:trPr>
          <w:trHeight w:val="160"/>
        </w:trPr>
        <w:tc>
          <w:tcPr>
            <w:tcW w:w="5540" w:type="dxa"/>
            <w:vAlign w:val="bottom"/>
          </w:tcPr>
          <w:p>
            <w:pPr>
              <w:ind w:left="540"/>
              <w:spacing w:after="0"/>
              <w:rPr>
                <w:sz w:val="20"/>
                <w:szCs w:val="20"/>
                <w:color w:val="auto"/>
              </w:rPr>
            </w:pPr>
            <w:r>
              <w:rPr>
                <w:rFonts w:ascii="Arial" w:cs="Arial" w:eastAsia="Arial" w:hAnsi="Arial"/>
                <w:sz w:val="14"/>
                <w:szCs w:val="14"/>
                <w:color w:val="55565A"/>
              </w:rPr>
              <w:t>legislation having retroactive effect to January 1, 2024 that is currently under</w:t>
            </w:r>
          </w:p>
        </w:tc>
        <w:tc>
          <w:tcPr>
            <w:tcW w:w="5380" w:type="dxa"/>
            <w:vAlign w:val="bottom"/>
          </w:tcPr>
          <w:p>
            <w:pPr>
              <w:ind w:left="680"/>
              <w:spacing w:after="0"/>
              <w:rPr>
                <w:sz w:val="20"/>
                <w:szCs w:val="20"/>
                <w:color w:val="auto"/>
              </w:rPr>
            </w:pPr>
            <w:r>
              <w:rPr>
                <w:rFonts w:ascii="Arial" w:cs="Arial" w:eastAsia="Arial" w:hAnsi="Arial"/>
                <w:sz w:val="14"/>
                <w:szCs w:val="14"/>
                <w:color w:val="55565A"/>
              </w:rPr>
              <w:t>as well as interest expense may be significantly higher or lower than</w:t>
            </w:r>
          </w:p>
        </w:tc>
      </w:tr>
      <w:tr>
        <w:trPr>
          <w:trHeight w:val="175"/>
        </w:trPr>
        <w:tc>
          <w:tcPr>
            <w:tcW w:w="5540" w:type="dxa"/>
            <w:vAlign w:val="bottom"/>
          </w:tcPr>
          <w:p>
            <w:pPr>
              <w:ind w:left="540"/>
              <w:spacing w:after="0"/>
              <w:rPr>
                <w:sz w:val="20"/>
                <w:szCs w:val="20"/>
                <w:color w:val="auto"/>
              </w:rPr>
            </w:pPr>
            <w:r>
              <w:rPr>
                <w:rFonts w:ascii="Arial" w:cs="Arial" w:eastAsia="Arial" w:hAnsi="Arial"/>
                <w:sz w:val="14"/>
                <w:szCs w:val="14"/>
                <w:color w:val="55565A"/>
              </w:rPr>
              <w:t>consideration by Canada’s Parliament)</w:t>
            </w:r>
          </w:p>
        </w:tc>
        <w:tc>
          <w:tcPr>
            <w:tcW w:w="5380" w:type="dxa"/>
            <w:vAlign w:val="bottom"/>
          </w:tcPr>
          <w:p>
            <w:pPr>
              <w:ind w:left="680"/>
              <w:spacing w:after="0"/>
              <w:rPr>
                <w:sz w:val="20"/>
                <w:szCs w:val="20"/>
                <w:color w:val="auto"/>
              </w:rPr>
            </w:pPr>
            <w:r>
              <w:rPr>
                <w:rFonts w:ascii="Arial" w:cs="Arial" w:eastAsia="Arial" w:hAnsi="Arial"/>
                <w:sz w:val="14"/>
                <w:szCs w:val="14"/>
                <w:color w:val="55565A"/>
              </w:rPr>
              <w:t>expected</w:t>
            </w:r>
          </w:p>
        </w:tc>
      </w:tr>
      <w:tr>
        <w:trPr>
          <w:trHeight w:val="201"/>
        </w:trPr>
        <w:tc>
          <w:tcPr>
            <w:tcW w:w="5540" w:type="dxa"/>
            <w:vAlign w:val="bottom"/>
          </w:tcPr>
          <w:p>
            <w:pPr>
              <w:ind w:left="320"/>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Significant gains that will prevent the imposition of certain minimum taxes</w:t>
            </w:r>
          </w:p>
        </w:tc>
        <w:tc>
          <w:tcPr>
            <w:tcW w:w="5380" w:type="dxa"/>
            <w:vAlign w:val="bottom"/>
          </w:tcPr>
          <w:p>
            <w:pPr>
              <w:spacing w:after="0"/>
              <w:rPr>
                <w:sz w:val="17"/>
                <w:szCs w:val="17"/>
                <w:color w:val="auto"/>
              </w:rPr>
            </w:pPr>
          </w:p>
        </w:tc>
      </w:tr>
      <w:tr>
        <w:trPr>
          <w:trHeight w:val="201"/>
        </w:trPr>
        <w:tc>
          <w:tcPr>
            <w:tcW w:w="5540" w:type="dxa"/>
            <w:vAlign w:val="bottom"/>
          </w:tcPr>
          <w:p>
            <w:pPr>
              <w:ind w:left="320"/>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No significant charges or benefits from the finalization of prior tax years</w:t>
            </w:r>
          </w:p>
        </w:tc>
        <w:tc>
          <w:tcPr>
            <w:tcW w:w="5380" w:type="dxa"/>
            <w:vAlign w:val="bottom"/>
          </w:tcPr>
          <w:p>
            <w:pPr>
              <w:spacing w:after="0"/>
              <w:rPr>
                <w:sz w:val="17"/>
                <w:szCs w:val="17"/>
                <w:color w:val="auto"/>
              </w:rPr>
            </w:pPr>
          </w:p>
        </w:tc>
      </w:tr>
      <w:tr>
        <w:trPr>
          <w:trHeight w:val="164"/>
        </w:trPr>
        <w:tc>
          <w:tcPr>
            <w:tcW w:w="5540" w:type="dxa"/>
            <w:vAlign w:val="bottom"/>
          </w:tcPr>
          <w:p>
            <w:pPr>
              <w:ind w:left="320"/>
              <w:spacing w:after="0" w:line="164" w:lineRule="exact"/>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Depreciation and amortization of internally developed computer software of</w:t>
            </w:r>
          </w:p>
        </w:tc>
        <w:tc>
          <w:tcPr>
            <w:tcW w:w="5380" w:type="dxa"/>
            <w:vAlign w:val="bottom"/>
          </w:tcPr>
          <w:p>
            <w:pPr>
              <w:spacing w:after="0"/>
              <w:rPr>
                <w:sz w:val="14"/>
                <w:szCs w:val="14"/>
                <w:color w:val="auto"/>
              </w:rPr>
            </w:pPr>
          </w:p>
        </w:tc>
      </w:tr>
      <w:tr>
        <w:trPr>
          <w:trHeight w:val="189"/>
        </w:trPr>
        <w:tc>
          <w:tcPr>
            <w:tcW w:w="5540" w:type="dxa"/>
            <w:vAlign w:val="bottom"/>
          </w:tcPr>
          <w:p>
            <w:pPr>
              <w:ind w:left="540"/>
              <w:spacing w:after="0"/>
              <w:rPr>
                <w:sz w:val="20"/>
                <w:szCs w:val="20"/>
                <w:color w:val="auto"/>
              </w:rPr>
            </w:pPr>
            <w:r>
              <w:rPr>
                <w:rFonts w:ascii="Arial" w:cs="Arial" w:eastAsia="Arial" w:hAnsi="Arial"/>
                <w:sz w:val="14"/>
                <w:szCs w:val="14"/>
                <w:color w:val="55565A"/>
              </w:rPr>
              <w:t>$595 - $615 million in 2024</w:t>
            </w:r>
          </w:p>
        </w:tc>
        <w:tc>
          <w:tcPr>
            <w:tcW w:w="5380" w:type="dxa"/>
            <w:vAlign w:val="bottom"/>
          </w:tcPr>
          <w:p>
            <w:pPr>
              <w:spacing w:after="0"/>
              <w:rPr>
                <w:sz w:val="16"/>
                <w:szCs w:val="16"/>
                <w:color w:val="auto"/>
              </w:rPr>
            </w:pPr>
          </w:p>
        </w:tc>
      </w:tr>
      <w:tr>
        <w:trPr>
          <w:trHeight w:val="219"/>
        </w:trPr>
        <w:tc>
          <w:tcPr>
            <w:tcW w:w="5540" w:type="dxa"/>
            <w:vAlign w:val="bottom"/>
          </w:tcPr>
          <w:p>
            <w:pPr>
              <w:ind w:left="320"/>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Interest expense of $150 - $170 million in 2024</w:t>
            </w:r>
          </w:p>
        </w:tc>
        <w:tc>
          <w:tcPr>
            <w:tcW w:w="53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60" w:right="60"/>
        <w:spacing w:after="0" w:line="249" w:lineRule="auto"/>
        <w:rPr>
          <w:sz w:val="20"/>
          <w:szCs w:val="20"/>
          <w:color w:val="auto"/>
        </w:rPr>
      </w:pPr>
      <w:r>
        <w:rPr>
          <w:rFonts w:ascii="Arial" w:cs="Arial" w:eastAsia="Arial" w:hAnsi="Arial"/>
          <w:sz w:val="16"/>
          <w:szCs w:val="16"/>
          <w:color w:val="55565A"/>
        </w:rPr>
        <w:t>Our outlook contains various non-IFRS financial measures. We believe that providing reconciliations of forward-looking non-IFRS financial measures in our outlook would be potentially misleading and not practical due to the difficulty of projecting items that are not reflective of ongoing operations in any future period. The magnitude of these items may be significant. Consequently, for outlook purposes only, we are unable to reconcile these measures to the most comparable IFRS measures because we cannot predict, with reasonable certainty, the impact of changes in foreign exchange rates which impact (i) the translation of our results reported at average foreign currency rates for the year and (ii) other finance income or expense related to intercompany financing arrangements and foreign exchange contracts. Additionally, we cannot reasonably predict (i) our share of post-tax earnings or losses in equity method investments, which is subject to changes in the stock price of LSEG or (ii) the occurrence or amount of other operating gains and losses, which generally arise from business transactions we do not currently anticipate.</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Related Party Transactions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As of May 1, 2024, our principal shareholder, Woodbridge, beneficially owned approximately 70% of our common shares.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Transactions with YPL</w:t>
      </w:r>
    </w:p>
    <w:p>
      <w:pPr>
        <w:spacing w:after="0" w:line="110" w:lineRule="exact"/>
        <w:rPr>
          <w:sz w:val="20"/>
          <w:szCs w:val="20"/>
          <w:color w:val="auto"/>
        </w:rPr>
      </w:pPr>
    </w:p>
    <w:p>
      <w:pPr>
        <w:ind w:left="160" w:right="460"/>
        <w:spacing w:after="0" w:line="279" w:lineRule="auto"/>
        <w:rPr>
          <w:sz w:val="20"/>
          <w:szCs w:val="20"/>
          <w:color w:val="auto"/>
        </w:rPr>
      </w:pPr>
      <w:r>
        <w:rPr>
          <w:rFonts w:ascii="Arial" w:cs="Arial" w:eastAsia="Arial" w:hAnsi="Arial"/>
          <w:sz w:val="16"/>
          <w:szCs w:val="16"/>
          <w:color w:val="55565A"/>
        </w:rPr>
        <w:t>In the first quarter of 2024, we received $1.2 billion of dividends from YPL related to sale of LSEG shares indirectly owned by our company. See the “Investment in LSEG” section of this management’s discussion and analysis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19</w:t>
      </w:r>
    </w:p>
    <w:p>
      <w:pPr>
        <w:sectPr>
          <w:pgSz w:w="11900" w:h="16838" w:orient="portrait"/>
          <w:cols w:equalWidth="0" w:num="1">
            <w:col w:w="11080"/>
          </w:cols>
          <w:pgMar w:left="320" w:top="454" w:right="4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55565A"/>
        </w:rPr>
        <w:t>Except for the above transactions, there were no new significant related party transactions during the first quarter of 2024. Refer to the “Related Party Transactions” section of our 2023 annual management’s discussion and analysis, which is contained in our 2023 annual report, as well as note 32 of our 2023 annual consolidated financial statements for information regarding related party transactions.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Subsequent Events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Sale of LSEG Shares</w:t>
      </w:r>
    </w:p>
    <w:p>
      <w:pPr>
        <w:spacing w:after="0" w:line="108"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55565A"/>
        </w:rPr>
        <w:t>On May 1, 2024, we agreed to sell to LSEG approximately 1.6 million LSEG shares that we indirectly owned for approximately $175 million in an off-market purchase pursuant to the terms of a buyback contract that was approved by LSEG’s shareholders on April 25, 2024. In order to enable the off-market purchase, LSEG agreed to a limited variation of the contractual lock-up provisions previously agreed between LSEG and the Blackstone consortium/Thomson Reuters entities that hold the LSEG shares.</w:t>
      </w:r>
    </w:p>
    <w:p>
      <w:pPr>
        <w:spacing w:after="0" w:line="71"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55565A"/>
        </w:rPr>
        <w:t>As of May 1, 2024, after the completion of the above transaction, we indirectly owned approximately 4.3 million LSEG shares and the market value was approximately $0.5 billion, based on LSEG’s closing share price on that date. These shares are subject to amended lock-up provisions that allow our company to sell all of the remaining shares after January 29, 2025. Relative to our remaining shares as of May 1, 2024, we expect to pay 25% capital gains tax on proceeds above our tax basis of approximately $100 million.</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Share Repurchases</w:t>
      </w:r>
    </w:p>
    <w:p>
      <w:pPr>
        <w:spacing w:after="0" w:line="108" w:lineRule="exact"/>
        <w:rPr>
          <w:sz w:val="20"/>
          <w:szCs w:val="20"/>
          <w:color w:val="auto"/>
        </w:rPr>
      </w:pPr>
    </w:p>
    <w:p>
      <w:pPr>
        <w:ind w:left="160" w:right="520"/>
        <w:spacing w:after="0" w:line="279" w:lineRule="auto"/>
        <w:rPr>
          <w:sz w:val="20"/>
          <w:szCs w:val="20"/>
          <w:color w:val="auto"/>
        </w:rPr>
      </w:pPr>
      <w:r>
        <w:rPr>
          <w:rFonts w:ascii="Arial" w:cs="Arial" w:eastAsia="Arial" w:hAnsi="Arial"/>
          <w:sz w:val="16"/>
          <w:szCs w:val="16"/>
          <w:color w:val="55565A"/>
        </w:rPr>
        <w:t>From April 1, 2024 through April 30, 2024, we repurchased 0.7 million of our common shares for $106 million under the $1.0 billion share buyback program announced in November 2023. Under this program, we have cumulatively repurchased $819 million of our common shares.</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Changes in Accounting Policies</w:t>
      </w:r>
    </w:p>
    <w:p>
      <w:pPr>
        <w:spacing w:after="0" w:line="121"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55565A"/>
        </w:rPr>
        <w:t>Please refer to the “Changes in Accounting Policies” section of our 2023 annual management’s discussion and analysis, which is contained in our 2023 annual report, for information regarding changes in accounting policies. Since the date of our 2023 annual management’s discussion and analysis, there have not been any significant changes to our accounting policies. Refer to note 1 of our consolidated interim financial statements for the three months ended March 31, 2024 for information regarding recent accounting pronouncements.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Critical Accounting Estimates and Judgments</w:t>
      </w:r>
    </w:p>
    <w:p>
      <w:pPr>
        <w:spacing w:after="0" w:line="121"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55565A"/>
        </w:rPr>
        <w:t>The preparation of financial statements requires management to make estimates and judgments about the future. Estimates and judgments are continually evaluated and are based on historical experience and other factors, including expectations of future events that are believed to be reasonable under the circumstances. Please refer to the “Critical Accounting Estimates and Judgments” section of our 2023 annual management’s discussion and analysis, which is contained in our 2023 annual report, for additional information. Since the date of our 2023 annual management’s discussion and analysis, there have not been any significant changes to our critical accounting estimates and judgments.</w:t>
      </w:r>
    </w:p>
    <w:p>
      <w:pPr>
        <w:spacing w:after="0" w:line="73" w:lineRule="exact"/>
        <w:rPr>
          <w:sz w:val="20"/>
          <w:szCs w:val="20"/>
          <w:color w:val="auto"/>
        </w:rPr>
      </w:pPr>
    </w:p>
    <w:p>
      <w:pPr>
        <w:ind w:left="160" w:right="460"/>
        <w:spacing w:after="0" w:line="256" w:lineRule="auto"/>
        <w:rPr>
          <w:sz w:val="20"/>
          <w:szCs w:val="20"/>
          <w:color w:val="auto"/>
        </w:rPr>
      </w:pPr>
      <w:r>
        <w:rPr>
          <w:rFonts w:ascii="Arial" w:cs="Arial" w:eastAsia="Arial" w:hAnsi="Arial"/>
          <w:sz w:val="16"/>
          <w:szCs w:val="16"/>
          <w:color w:val="55565A"/>
        </w:rPr>
        <w:t>We continue to operate in an uncertain macroeconomic environment, reflecting ongoing geopolitical risk, uneven economic growth and an evolving interest rate and inflationary backdrop, among other factors. While we are closely monitoring these conditions to assess potential impacts on our businesses, some of management’s estimates and judgments may be more variable and may change materially in the future due to the significant uncertainty created by these circumstances.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Additional Information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Disclosure controls and procedures</w:t>
      </w:r>
    </w:p>
    <w:p>
      <w:pPr>
        <w:spacing w:after="0" w:line="108"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55565A"/>
        </w:rPr>
        <w:t>Our Chief Executive Officer and Chief Financial Officer, after evaluating the effectiveness of our disclosure controls and procedures (as defined in applicable U.S. and Canadian securities law) as of the end of the period covered by this management’s discussion and analysis, have concluded that our disclosure controls and procedures were effective to ensure that all information that we are required to disclose in reports that we file or furnish under the U.S. Securities Exchange Act and applicable Canadian securities law is (i) recorded, processed, summarized and reported within the time periods specified in the rules and forms of the SEC and Canadian securities regulatory authorities; and (ii) accumulated and communicated to our management, including our Chief Executive Officer and Chief Financial Officer, to allow timely decisions regarding required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99695</wp:posOffset>
            </wp:positionV>
            <wp:extent cx="69297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20</w:t>
      </w:r>
    </w:p>
    <w:p>
      <w:pPr>
        <w:sectPr>
          <w:pgSz w:w="11900" w:h="16838" w:orient="portrait"/>
          <w:cols w:equalWidth="0" w:num="1">
            <w:col w:w="11020"/>
          </w:cols>
          <w:pgMar w:left="320" w:top="454" w:right="5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Internal control over financial reporting</w:t>
      </w:r>
    </w:p>
    <w:p>
      <w:pPr>
        <w:spacing w:after="0" w:line="108" w:lineRule="exact"/>
        <w:rPr>
          <w:sz w:val="20"/>
          <w:szCs w:val="20"/>
          <w:color w:val="auto"/>
        </w:rPr>
      </w:pPr>
    </w:p>
    <w:p>
      <w:pPr>
        <w:ind w:left="160" w:right="480"/>
        <w:spacing w:after="0" w:line="279" w:lineRule="auto"/>
        <w:rPr>
          <w:sz w:val="20"/>
          <w:szCs w:val="20"/>
          <w:color w:val="auto"/>
        </w:rPr>
      </w:pPr>
      <w:r>
        <w:rPr>
          <w:rFonts w:ascii="Arial" w:cs="Arial" w:eastAsia="Arial" w:hAnsi="Arial"/>
          <w:sz w:val="16"/>
          <w:szCs w:val="16"/>
          <w:color w:val="55565A"/>
        </w:rPr>
        <w:t>Our management is responsible for establishing and maintaining adequate internal control over financial reporting to provide reasonable assurance regarding the reliability of financial reporting and the preparation of financial statements for external purposes in accordance with IFRS.</w:t>
      </w:r>
    </w:p>
    <w:p>
      <w:pPr>
        <w:spacing w:after="0" w:line="54" w:lineRule="exact"/>
        <w:rPr>
          <w:sz w:val="20"/>
          <w:szCs w:val="20"/>
          <w:color w:val="auto"/>
        </w:rPr>
      </w:pPr>
    </w:p>
    <w:p>
      <w:pPr>
        <w:ind w:left="160" w:right="500"/>
        <w:spacing w:after="0" w:line="279" w:lineRule="auto"/>
        <w:rPr>
          <w:sz w:val="20"/>
          <w:szCs w:val="20"/>
          <w:color w:val="auto"/>
        </w:rPr>
      </w:pPr>
      <w:r>
        <w:rPr>
          <w:rFonts w:ascii="Arial" w:cs="Arial" w:eastAsia="Arial" w:hAnsi="Arial"/>
          <w:sz w:val="16"/>
          <w:szCs w:val="16"/>
          <w:color w:val="55565A"/>
        </w:rPr>
        <w:t>There was no change in our internal control over financial reporting during the first quarter of 2024 that materially affected, or is reasonably likely to materially affect, our internal control over financial reporting.</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Share capital</w:t>
      </w:r>
    </w:p>
    <w:p>
      <w:pPr>
        <w:spacing w:after="0" w:line="108"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55565A"/>
        </w:rPr>
        <w:t>As of May 1, 2024, we had outstanding 450,530,559 common shares, 6,000,000 Series II preference shares, 1,326,681 stock options and a total of 1,392,679 time-based restricted share units and performance restricted share units. We have also issued a Thomson Reuters Founders Share which enables Thomson Reuters Founders Share Company to exercise extraordinary voting power to safeguard the Thomson Reuters Trust Principles.</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Public securities filings and regulatory announcements</w:t>
      </w:r>
    </w:p>
    <w:p>
      <w:pPr>
        <w:spacing w:after="0" w:line="108" w:lineRule="exact"/>
        <w:rPr>
          <w:sz w:val="20"/>
          <w:szCs w:val="20"/>
          <w:color w:val="auto"/>
        </w:rPr>
      </w:pPr>
    </w:p>
    <w:p>
      <w:pPr>
        <w:ind w:left="160" w:right="40"/>
        <w:spacing w:after="0" w:line="268" w:lineRule="auto"/>
        <w:rPr>
          <w:sz w:val="20"/>
          <w:szCs w:val="20"/>
          <w:color w:val="auto"/>
        </w:rPr>
      </w:pPr>
      <w:r>
        <w:rPr>
          <w:rFonts w:ascii="Arial" w:cs="Arial" w:eastAsia="Arial" w:hAnsi="Arial"/>
          <w:sz w:val="16"/>
          <w:szCs w:val="16"/>
          <w:color w:val="55565A"/>
        </w:rPr>
        <w:t xml:space="preserve">You may access other information about our company, including our 2023 annual report (which contains information required in an annual information form) and our other disclosure documents, reports, statements or other information that we file with the Canadian securities regulatory authorities through SEDAR at </w:t>
      </w:r>
      <w:r>
        <w:rPr>
          <w:rFonts w:ascii="Arial" w:cs="Arial" w:eastAsia="Arial" w:hAnsi="Arial"/>
          <w:sz w:val="16"/>
          <w:szCs w:val="16"/>
          <w:b w:val="1"/>
          <w:bCs w:val="1"/>
          <w:i w:val="1"/>
          <w:iCs w:val="1"/>
          <w:color w:val="55565A"/>
        </w:rPr>
        <w:t>sedarplus.ca</w:t>
      </w:r>
      <w:r>
        <w:rPr>
          <w:rFonts w:ascii="Arial" w:cs="Arial" w:eastAsia="Arial" w:hAnsi="Arial"/>
          <w:sz w:val="16"/>
          <w:szCs w:val="16"/>
          <w:color w:val="55565A"/>
        </w:rPr>
        <w:t xml:space="preserve"> and in the United States with the Securities and Exchange Commission (SEC) at </w:t>
      </w:r>
      <w:r>
        <w:rPr>
          <w:rFonts w:ascii="Arial" w:cs="Arial" w:eastAsia="Arial" w:hAnsi="Arial"/>
          <w:sz w:val="16"/>
          <w:szCs w:val="16"/>
          <w:b w:val="1"/>
          <w:bCs w:val="1"/>
          <w:i w:val="1"/>
          <w:iCs w:val="1"/>
          <w:color w:val="55565A"/>
        </w:rPr>
        <w:t>sec.gov</w:t>
      </w:r>
      <w:r>
        <w:rPr>
          <w:rFonts w:ascii="Arial" w:cs="Arial" w:eastAsia="Arial" w:hAnsi="Arial"/>
          <w:sz w:val="16"/>
          <w:szCs w:val="16"/>
          <w:color w:val="55565A"/>
        </w:rPr>
        <w:t>.</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Cautionary note concerning factors that may affect future results</w:t>
      </w:r>
    </w:p>
    <w:p>
      <w:pPr>
        <w:spacing w:after="0" w:line="110"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i w:val="1"/>
          <w:iCs w:val="1"/>
          <w:color w:val="55565A"/>
        </w:rPr>
        <w:t>Certain statements in this management’s discussion and analysis are forward-looking, including, but not limited to, our business outlook, as well as statements regarding the Company’s intention to sell a portion of its shares in LSEG, the Company’s intentions to target a maximum leverage ratio of 2.5x net debt to adjusted EBITDA, a dividend payout ratio of between 50% to 60% of its free cash flow, its target to return at least 75% of free cash flow annually in the form of dividends and share repurchases, as well as its target to earn a return on invested capital (ROIC) that is double or more of its weighted-average cost of capital over time, the Company’s expectations regarding share repurchases, its expectations regarding refunds on amounts paid to HMRC, and other expectations regarding the Company’s strategic priorities, initiatives and opportunities, expectations regarding its liquidity and capital resources, and our intention to file a base shelf prospectus, and expectations regarding the impact of tax legislation to be enacted. The words “will”, “expect”, “believe”, “target”, “estimate”, “could”, “should”, “intend”, “predict”, “project” and similar expressions identify forward-looking statements. While we believe that we have a reasonable basis for making forward-looking statements in this management’s discussion and analysis, they are not a guarantee of future performance or outcomes or that any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our company’s control and the effects of them can be difficult to predict. In particular, the full extent of the impact of macroeconomic and geopolitical environment on the Company’s business, operations and financial results will depend on numerous evolving factors that we may not be able to accurately predict.</w:t>
      </w:r>
    </w:p>
    <w:p>
      <w:pPr>
        <w:spacing w:after="0" w:line="88" w:lineRule="exact"/>
        <w:rPr>
          <w:sz w:val="20"/>
          <w:szCs w:val="20"/>
          <w:color w:val="auto"/>
        </w:rPr>
      </w:pPr>
    </w:p>
    <w:p>
      <w:pPr>
        <w:ind w:left="160" w:right="60"/>
        <w:spacing w:after="0" w:line="255" w:lineRule="auto"/>
        <w:rPr>
          <w:sz w:val="20"/>
          <w:szCs w:val="20"/>
          <w:color w:val="auto"/>
        </w:rPr>
      </w:pPr>
      <w:r>
        <w:rPr>
          <w:rFonts w:ascii="Arial" w:cs="Arial" w:eastAsia="Arial" w:hAnsi="Arial"/>
          <w:sz w:val="16"/>
          <w:szCs w:val="16"/>
          <w:i w:val="1"/>
          <w:iCs w:val="1"/>
          <w:color w:val="55565A"/>
        </w:rPr>
        <w:t>Certain factors that could cause actual results or events to differ materially from current expectations are discussed in the “Outlook” section above. Additional factors are discussed in the “Risk Factors” section of our 2023 annual report and in materials that we from time to time file with, or furnish to, the Canadian securities regulatory authorities and the U.S. Securities and Exchange Commission. Many of those risks are, and could be, exacerbated by a worsening of the global geopolitical, business and economic environments. There is no assurance that any forward-looking statement will materialize.</w:t>
      </w:r>
    </w:p>
    <w:p>
      <w:pPr>
        <w:spacing w:after="0" w:line="74" w:lineRule="exact"/>
        <w:rPr>
          <w:sz w:val="20"/>
          <w:szCs w:val="20"/>
          <w:color w:val="auto"/>
        </w:rPr>
      </w:pPr>
    </w:p>
    <w:p>
      <w:pPr>
        <w:ind w:left="160" w:right="60"/>
        <w:spacing w:after="0" w:line="260" w:lineRule="auto"/>
        <w:rPr>
          <w:sz w:val="20"/>
          <w:szCs w:val="20"/>
          <w:color w:val="auto"/>
        </w:rPr>
      </w:pPr>
      <w:r>
        <w:rPr>
          <w:rFonts w:ascii="Arial" w:cs="Arial" w:eastAsia="Arial" w:hAnsi="Arial"/>
          <w:sz w:val="16"/>
          <w:szCs w:val="16"/>
          <w:i w:val="1"/>
          <w:iCs w:val="1"/>
          <w:color w:val="55565A"/>
        </w:rPr>
        <w:t>The Company’s business outlook is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w:t>
      </w:r>
    </w:p>
    <w:p>
      <w:pPr>
        <w:spacing w:after="0" w:line="71" w:lineRule="exact"/>
        <w:rPr>
          <w:sz w:val="20"/>
          <w:szCs w:val="20"/>
          <w:color w:val="auto"/>
        </w:rPr>
      </w:pPr>
    </w:p>
    <w:p>
      <w:pPr>
        <w:ind w:left="160" w:right="40"/>
        <w:spacing w:after="0" w:line="255" w:lineRule="auto"/>
        <w:rPr>
          <w:sz w:val="20"/>
          <w:szCs w:val="20"/>
          <w:color w:val="auto"/>
        </w:rPr>
      </w:pPr>
      <w:r>
        <w:rPr>
          <w:rFonts w:ascii="Arial" w:cs="Arial" w:eastAsia="Arial" w:hAnsi="Arial"/>
          <w:sz w:val="16"/>
          <w:szCs w:val="16"/>
          <w:i w:val="1"/>
          <w:iCs w:val="1"/>
          <w:color w:val="55565A"/>
        </w:rPr>
        <w:t>The Company has provided a business outlook for the purpose of presenting information about current expectations for the periods presented. This information may not be appropriate for other purposes. You are cautioned not to place undue reliance on forward-looking statements which reflect expectations only as of the date of this management’s discussion and analysis. Except as may be required by applicable law, Thomson Reuters disclaims any obligation to update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97155</wp:posOffset>
            </wp:positionV>
            <wp:extent cx="69297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21</w:t>
      </w:r>
    </w:p>
    <w:p>
      <w:pPr>
        <w:sectPr>
          <w:pgSz w:w="11900" w:h="16838" w:orient="portrait"/>
          <w:cols w:equalWidth="0" w:num="1">
            <w:col w:w="11080"/>
          </w:cols>
          <w:pgMar w:left="320" w:top="454"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Appendix A</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5565A"/>
        </w:rPr>
        <w:t>Non-IFRS Financial Measures</w:t>
      </w:r>
    </w:p>
    <w:p>
      <w:pPr>
        <w:spacing w:after="0" w:line="103"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55565A"/>
        </w:rPr>
        <w:t>We use non-IFRS financial measures, which include ratios that incorporate one or more non-IFRS financial measures, as supplemental indicators of our operating performance and financial position as well as for internal planning purposes, our management incentive programs and our business outlook. These measures do not have any standardized meaning prescribed by IFRS and therefore are unlikely to be comparable to the calculation of similar measures used by other companies.</w:t>
      </w:r>
    </w:p>
    <w:p>
      <w:pPr>
        <w:spacing w:after="0" w:line="71" w:lineRule="exact"/>
        <w:rPr>
          <w:sz w:val="20"/>
          <w:szCs w:val="20"/>
          <w:color w:val="auto"/>
        </w:rPr>
      </w:pPr>
    </w:p>
    <w:p>
      <w:pPr>
        <w:ind w:left="160" w:right="100"/>
        <w:spacing w:after="0" w:line="253" w:lineRule="auto"/>
        <w:rPr>
          <w:sz w:val="20"/>
          <w:szCs w:val="20"/>
          <w:color w:val="auto"/>
        </w:rPr>
      </w:pPr>
      <w:r>
        <w:rPr>
          <w:rFonts w:ascii="Arial" w:cs="Arial" w:eastAsia="Arial" w:hAnsi="Arial"/>
          <w:sz w:val="16"/>
          <w:szCs w:val="16"/>
          <w:color w:val="55565A"/>
        </w:rPr>
        <w:t>In the third quarter of 2023, we amended our definition of adjusted earnings and adjusted EPS to exclude amortization from acquired computer software. While we have always excluded amortization from acquired identifiable intangible assets other than computer software from adjusted earnings and adjusted EPS, this change aligns our treatment of amortization for all acquired intangible assets. Prior period amounts were revised for comparability. Acquired intangible assets contribute to the generation of revenues from acquired companies, which are included in our computation of adjusted earnings.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The following table sets forth our non-IFRS financial measures including an explanation of why we believe they are useful measures of our performance.</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Reconciliations to the most directly comparable IFRS measure are reflected in Appendix B of this management’s discussion and analysis.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3760" w:type="dxa"/>
            <w:vAlign w:val="bottom"/>
            <w:tcBorders>
              <w:top w:val="single" w:sz="8" w:color="88888B"/>
            </w:tcBorders>
            <w:shd w:val="clear" w:color="auto" w:fill="D2D0CD"/>
          </w:tcPr>
          <w:p>
            <w:pPr>
              <w:spacing w:after="0"/>
              <w:rPr>
                <w:sz w:val="20"/>
                <w:szCs w:val="20"/>
                <w:color w:val="auto"/>
              </w:rPr>
            </w:pPr>
            <w:r>
              <w:rPr>
                <w:rFonts w:ascii="Arial" w:cs="Arial" w:eastAsia="Arial" w:hAnsi="Arial"/>
                <w:sz w:val="16"/>
                <w:szCs w:val="16"/>
                <w:b w:val="1"/>
                <w:bCs w:val="1"/>
                <w:color w:val="55565A"/>
              </w:rPr>
              <w:t>How We Define It</w:t>
            </w:r>
          </w:p>
        </w:tc>
        <w:tc>
          <w:tcPr>
            <w:tcW w:w="3460" w:type="dxa"/>
            <w:vAlign w:val="bottom"/>
            <w:tcBorders>
              <w:top w:val="single" w:sz="8" w:color="D2D0CD"/>
            </w:tcBorders>
            <w:shd w:val="clear" w:color="auto" w:fill="D2D0CD"/>
          </w:tcPr>
          <w:p>
            <w:pPr>
              <w:ind w:left="200"/>
              <w:spacing w:after="0"/>
              <w:rPr>
                <w:sz w:val="20"/>
                <w:szCs w:val="20"/>
                <w:color w:val="auto"/>
              </w:rPr>
            </w:pPr>
            <w:r>
              <w:rPr>
                <w:rFonts w:ascii="Arial" w:cs="Arial" w:eastAsia="Arial" w:hAnsi="Arial"/>
                <w:sz w:val="16"/>
                <w:szCs w:val="16"/>
                <w:b w:val="1"/>
                <w:bCs w:val="1"/>
                <w:color w:val="55565A"/>
              </w:rPr>
              <w:t>Why We Use It and Why It Is Useful to</w:t>
            </w:r>
          </w:p>
        </w:tc>
        <w:tc>
          <w:tcPr>
            <w:tcW w:w="3700" w:type="dxa"/>
            <w:vAlign w:val="bottom"/>
            <w:tcBorders>
              <w:top w:val="single" w:sz="8" w:color="D2D0CD"/>
            </w:tcBorders>
            <w:shd w:val="clear" w:color="auto" w:fill="D2D0CD"/>
          </w:tcPr>
          <w:p>
            <w:pPr>
              <w:ind w:left="380"/>
              <w:spacing w:after="0"/>
              <w:rPr>
                <w:sz w:val="20"/>
                <w:szCs w:val="20"/>
                <w:color w:val="auto"/>
              </w:rPr>
            </w:pPr>
            <w:r>
              <w:rPr>
                <w:rFonts w:ascii="Arial" w:cs="Arial" w:eastAsia="Arial" w:hAnsi="Arial"/>
                <w:sz w:val="16"/>
                <w:szCs w:val="16"/>
                <w:b w:val="1"/>
                <w:bCs w:val="1"/>
                <w:color w:val="55565A"/>
              </w:rPr>
              <w:t>Most Directly Comparable</w:t>
            </w:r>
          </w:p>
        </w:tc>
      </w:tr>
      <w:tr>
        <w:trPr>
          <w:trHeight w:val="235"/>
        </w:trPr>
        <w:tc>
          <w:tcPr>
            <w:tcW w:w="3760" w:type="dxa"/>
            <w:vAlign w:val="bottom"/>
            <w:tcBorders>
              <w:bottom w:val="single" w:sz="8" w:color="D2D0CD"/>
            </w:tcBorders>
            <w:shd w:val="clear" w:color="auto" w:fill="D2D0CD"/>
          </w:tcPr>
          <w:p>
            <w:pPr>
              <w:spacing w:after="0"/>
              <w:rPr>
                <w:sz w:val="20"/>
                <w:szCs w:val="20"/>
                <w:color w:val="auto"/>
              </w:rPr>
            </w:pPr>
          </w:p>
        </w:tc>
        <w:tc>
          <w:tcPr>
            <w:tcW w:w="3460" w:type="dxa"/>
            <w:vAlign w:val="bottom"/>
            <w:tcBorders>
              <w:bottom w:val="single" w:sz="8" w:color="D2D0CD"/>
            </w:tcBorders>
            <w:shd w:val="clear" w:color="auto" w:fill="D2D0CD"/>
          </w:tcPr>
          <w:p>
            <w:pPr>
              <w:ind w:left="200"/>
              <w:spacing w:after="0"/>
              <w:rPr>
                <w:sz w:val="20"/>
                <w:szCs w:val="20"/>
                <w:color w:val="auto"/>
              </w:rPr>
            </w:pPr>
            <w:r>
              <w:rPr>
                <w:rFonts w:ascii="Arial" w:cs="Arial" w:eastAsia="Arial" w:hAnsi="Arial"/>
                <w:sz w:val="16"/>
                <w:szCs w:val="16"/>
                <w:b w:val="1"/>
                <w:bCs w:val="1"/>
                <w:color w:val="55565A"/>
              </w:rPr>
              <w:t>Investors</w:t>
            </w:r>
          </w:p>
        </w:tc>
        <w:tc>
          <w:tcPr>
            <w:tcW w:w="3700" w:type="dxa"/>
            <w:vAlign w:val="bottom"/>
            <w:tcBorders>
              <w:bottom w:val="single" w:sz="8" w:color="D2D0CD"/>
            </w:tcBorders>
            <w:shd w:val="clear" w:color="auto" w:fill="D2D0CD"/>
          </w:tcPr>
          <w:p>
            <w:pPr>
              <w:ind w:left="380"/>
              <w:spacing w:after="0"/>
              <w:rPr>
                <w:sz w:val="20"/>
                <w:szCs w:val="20"/>
                <w:color w:val="auto"/>
              </w:rPr>
            </w:pPr>
            <w:r>
              <w:rPr>
                <w:rFonts w:ascii="Arial" w:cs="Arial" w:eastAsia="Arial" w:hAnsi="Arial"/>
                <w:sz w:val="16"/>
                <w:szCs w:val="16"/>
                <w:b w:val="1"/>
                <w:bCs w:val="1"/>
                <w:color w:val="55565A"/>
              </w:rPr>
              <w:t>IFRS Measure</w:t>
            </w:r>
          </w:p>
        </w:tc>
      </w:tr>
      <w:tr>
        <w:trPr>
          <w:trHeight w:val="253"/>
        </w:trPr>
        <w:tc>
          <w:tcPr>
            <w:tcW w:w="3760" w:type="dxa"/>
            <w:vAlign w:val="bottom"/>
            <w:shd w:val="clear" w:color="auto" w:fill="77777A"/>
          </w:tcPr>
          <w:p>
            <w:pPr>
              <w:spacing w:after="0"/>
              <w:rPr>
                <w:sz w:val="20"/>
                <w:szCs w:val="20"/>
                <w:color w:val="auto"/>
              </w:rPr>
            </w:pPr>
            <w:r>
              <w:rPr>
                <w:rFonts w:ascii="Arial" w:cs="Arial" w:eastAsia="Arial" w:hAnsi="Arial"/>
                <w:sz w:val="14"/>
                <w:szCs w:val="14"/>
                <w:b w:val="1"/>
                <w:bCs w:val="1"/>
                <w:color w:val="FFFFFF"/>
              </w:rPr>
              <w:t>  Adjusted EBITDA and the related margin</w:t>
            </w:r>
          </w:p>
        </w:tc>
        <w:tc>
          <w:tcPr>
            <w:tcW w:w="3460" w:type="dxa"/>
            <w:vAlign w:val="bottom"/>
            <w:shd w:val="clear" w:color="auto" w:fill="77777A"/>
          </w:tcPr>
          <w:p>
            <w:pPr>
              <w:spacing w:after="0"/>
              <w:rPr>
                <w:sz w:val="21"/>
                <w:szCs w:val="21"/>
                <w:color w:val="auto"/>
              </w:rPr>
            </w:pPr>
          </w:p>
        </w:tc>
        <w:tc>
          <w:tcPr>
            <w:tcW w:w="3700" w:type="dxa"/>
            <w:vAlign w:val="bottom"/>
            <w:shd w:val="clear" w:color="auto" w:fill="77777A"/>
          </w:tcPr>
          <w:p>
            <w:pPr>
              <w:spacing w:after="0"/>
              <w:rPr>
                <w:sz w:val="21"/>
                <w:szCs w:val="21"/>
                <w:color w:val="auto"/>
              </w:rPr>
            </w:pPr>
          </w:p>
        </w:tc>
      </w:tr>
      <w:tr>
        <w:trPr>
          <w:trHeight w:val="42"/>
        </w:trPr>
        <w:tc>
          <w:tcPr>
            <w:tcW w:w="3760" w:type="dxa"/>
            <w:vAlign w:val="bottom"/>
            <w:shd w:val="clear" w:color="auto" w:fill="77777A"/>
          </w:tcPr>
          <w:p>
            <w:pPr>
              <w:spacing w:after="0"/>
              <w:rPr>
                <w:sz w:val="3"/>
                <w:szCs w:val="3"/>
                <w:color w:val="auto"/>
              </w:rPr>
            </w:pPr>
          </w:p>
        </w:tc>
        <w:tc>
          <w:tcPr>
            <w:tcW w:w="3460" w:type="dxa"/>
            <w:vAlign w:val="bottom"/>
            <w:shd w:val="clear" w:color="auto" w:fill="77777A"/>
          </w:tcPr>
          <w:p>
            <w:pPr>
              <w:spacing w:after="0"/>
              <w:rPr>
                <w:sz w:val="3"/>
                <w:szCs w:val="3"/>
                <w:color w:val="auto"/>
              </w:rPr>
            </w:pPr>
          </w:p>
        </w:tc>
        <w:tc>
          <w:tcPr>
            <w:tcW w:w="3700" w:type="dxa"/>
            <w:vAlign w:val="bottom"/>
            <w:shd w:val="clear" w:color="auto" w:fill="77777A"/>
          </w:tcPr>
          <w:p>
            <w:pPr>
              <w:spacing w:after="0"/>
              <w:rPr>
                <w:sz w:val="3"/>
                <w:szCs w:val="3"/>
                <w:color w:val="auto"/>
              </w:rPr>
            </w:pPr>
          </w:p>
        </w:tc>
      </w:tr>
    </w:tbl>
    <w:p>
      <w:pPr>
        <w:spacing w:after="0" w:line="1" w:lineRule="exact"/>
        <w:rPr>
          <w:sz w:val="20"/>
          <w:szCs w:val="20"/>
          <w:color w:val="auto"/>
        </w:rPr>
      </w:pPr>
    </w:p>
    <w:p>
      <w:pPr>
        <w:sectPr>
          <w:pgSz w:w="11900" w:h="16838" w:orient="portrait"/>
          <w:cols w:equalWidth="0" w:num="1">
            <w:col w:w="11080"/>
          </w:cols>
          <w:pgMar w:left="320" w:top="454" w:right="499" w:bottom="1440" w:gutter="0" w:footer="0" w:header="0"/>
        </w:sectPr>
      </w:pPr>
    </w:p>
    <w:p>
      <w:pPr>
        <w:ind w:left="280"/>
        <w:spacing w:after="0" w:line="242" w:lineRule="auto"/>
        <w:rPr>
          <w:sz w:val="20"/>
          <w:szCs w:val="20"/>
          <w:color w:val="auto"/>
        </w:rPr>
      </w:pPr>
      <w:r>
        <w:rPr>
          <w:rFonts w:ascii="Arial" w:cs="Arial" w:eastAsia="Arial" w:hAnsi="Arial"/>
          <w:sz w:val="14"/>
          <w:szCs w:val="14"/>
          <w:color w:val="55565A"/>
        </w:rPr>
        <w:t>Represents earnings or losses from continuing operations before tax expense or benefit, net interest expense, other finance costs or income, depreciation, amortization of computer software and other identifiable intangible assets, our share of post-tax earnings or losses in equity method investments, other operating gains and losses, certain asset impairment charges and fair value adjustments, including those related to acquired deferred revenue.</w:t>
      </w:r>
    </w:p>
    <w:p>
      <w:pPr>
        <w:spacing w:after="0" w:line="257" w:lineRule="exact"/>
        <w:rPr>
          <w:sz w:val="20"/>
          <w:szCs w:val="20"/>
          <w:color w:val="auto"/>
        </w:rPr>
      </w:pPr>
    </w:p>
    <w:p>
      <w:pPr>
        <w:ind w:left="280" w:right="60"/>
        <w:spacing w:after="0" w:line="253" w:lineRule="auto"/>
        <w:rPr>
          <w:sz w:val="20"/>
          <w:szCs w:val="20"/>
          <w:color w:val="auto"/>
        </w:rPr>
      </w:pPr>
      <w:r>
        <w:rPr>
          <w:rFonts w:ascii="Arial" w:cs="Arial" w:eastAsia="Arial" w:hAnsi="Arial"/>
          <w:sz w:val="14"/>
          <w:szCs w:val="14"/>
          <w:color w:val="55565A"/>
        </w:rPr>
        <w:t>The related margin is adjusted EBITDA expressed as a percentage of revenues. For purposes of this calculation, revenues are before fair value adjustments to acquired deferred revenue.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5565A"/>
        </w:rPr>
        <w:t>Provides a consistent basis to evaluate operating</w:t>
      </w:r>
      <w:r>
        <w:rPr>
          <w:sz w:val="20"/>
          <w:szCs w:val="20"/>
          <w:color w:val="auto"/>
        </w:rPr>
        <w:tab/>
      </w:r>
      <w:r>
        <w:rPr>
          <w:rFonts w:ascii="Arial" w:cs="Arial" w:eastAsia="Arial" w:hAnsi="Arial"/>
          <w:sz w:val="14"/>
          <w:szCs w:val="14"/>
          <w:color w:val="55565A"/>
        </w:rPr>
        <w:t>Earnings from continuing operations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5565A"/>
        </w:rPr>
        <w:t>profitability and performance trends by excluding items</w:t>
      </w:r>
    </w:p>
    <w:p>
      <w:pPr>
        <w:spacing w:after="0"/>
        <w:rPr>
          <w:sz w:val="20"/>
          <w:szCs w:val="20"/>
          <w:color w:val="auto"/>
        </w:rPr>
      </w:pPr>
      <w:r>
        <w:rPr>
          <w:rFonts w:ascii="Arial" w:cs="Arial" w:eastAsia="Arial" w:hAnsi="Arial"/>
          <w:sz w:val="14"/>
          <w:szCs w:val="14"/>
          <w:color w:val="55565A"/>
        </w:rPr>
        <w:t>that we do not consider to be controllable activities for</w:t>
      </w:r>
    </w:p>
    <w:p>
      <w:pPr>
        <w:spacing w:after="0"/>
        <w:rPr>
          <w:sz w:val="20"/>
          <w:szCs w:val="20"/>
          <w:color w:val="auto"/>
        </w:rPr>
      </w:pPr>
      <w:r>
        <w:rPr>
          <w:rFonts w:ascii="Arial" w:cs="Arial" w:eastAsia="Arial" w:hAnsi="Arial"/>
          <w:sz w:val="14"/>
          <w:szCs w:val="14"/>
          <w:color w:val="55565A"/>
        </w:rPr>
        <w:t>this purpose.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55565A"/>
        </w:rPr>
        <w:t>Also represents a measure commonly reported and</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5565A"/>
        </w:rPr>
        <w:t>widely used by investors as a valuation metric, as well</w:t>
      </w:r>
    </w:p>
    <w:p>
      <w:pPr>
        <w:spacing w:after="0"/>
        <w:rPr>
          <w:sz w:val="20"/>
          <w:szCs w:val="20"/>
          <w:color w:val="auto"/>
        </w:rPr>
      </w:pPr>
      <w:r>
        <w:rPr>
          <w:rFonts w:ascii="Arial" w:cs="Arial" w:eastAsia="Arial" w:hAnsi="Arial"/>
          <w:sz w:val="14"/>
          <w:szCs w:val="14"/>
          <w:color w:val="55565A"/>
        </w:rPr>
        <w:t>as to assess our ability to incur and service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667385</wp:posOffset>
            </wp:positionV>
            <wp:extent cx="6929755" cy="153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153035"/>
                    </a:xfrm>
                    <a:prstGeom prst="rect">
                      <a:avLst/>
                    </a:prstGeom>
                    <a:noFill/>
                  </pic:spPr>
                </pic:pic>
              </a:graphicData>
            </a:graphic>
          </wp:anchor>
        </w:drawing>
      </w:r>
    </w:p>
    <w:p>
      <w:pPr>
        <w:spacing w:after="0" w:line="1069" w:lineRule="exact"/>
        <w:rPr>
          <w:sz w:val="20"/>
          <w:szCs w:val="20"/>
          <w:color w:val="auto"/>
        </w:rPr>
      </w:pPr>
    </w:p>
    <w:p>
      <w:pPr>
        <w:sectPr>
          <w:pgSz w:w="11900" w:h="16838" w:orient="portrait"/>
          <w:cols w:equalWidth="0" w:num="2">
            <w:col w:w="3920" w:space="200"/>
            <w:col w:w="696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14"/>
          <w:szCs w:val="14"/>
          <w:b w:val="1"/>
          <w:bCs w:val="1"/>
          <w:color w:val="FFFFFF"/>
        </w:rPr>
        <w:t>  Adjusted EBITDA less accrued capital expenditures and the related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66" w:lineRule="exact"/>
        <w:rPr>
          <w:sz w:val="20"/>
          <w:szCs w:val="20"/>
          <w:color w:val="auto"/>
        </w:rPr>
      </w:pPr>
    </w:p>
    <w:p>
      <w:pPr>
        <w:ind w:left="280"/>
        <w:spacing w:after="0" w:line="260" w:lineRule="auto"/>
        <w:rPr>
          <w:sz w:val="20"/>
          <w:szCs w:val="20"/>
          <w:color w:val="auto"/>
        </w:rPr>
      </w:pPr>
      <w:r>
        <w:rPr>
          <w:rFonts w:ascii="Arial" w:cs="Arial" w:eastAsia="Arial" w:hAnsi="Arial"/>
          <w:sz w:val="14"/>
          <w:szCs w:val="14"/>
          <w:color w:val="55565A"/>
        </w:rPr>
        <w:t>Represents adjusted EBITDA less accrued capital expenditures, where accrued capital expenditures include amounts that remain unpaid at the reporting date.</w:t>
      </w:r>
    </w:p>
    <w:p>
      <w:pPr>
        <w:spacing w:after="0" w:line="79" w:lineRule="exact"/>
        <w:rPr>
          <w:sz w:val="20"/>
          <w:szCs w:val="20"/>
          <w:color w:val="auto"/>
        </w:rPr>
      </w:pPr>
    </w:p>
    <w:p>
      <w:pPr>
        <w:ind w:left="280" w:right="80"/>
        <w:spacing w:after="0" w:line="249" w:lineRule="auto"/>
        <w:rPr>
          <w:sz w:val="20"/>
          <w:szCs w:val="20"/>
          <w:color w:val="auto"/>
        </w:rPr>
      </w:pPr>
      <w:r>
        <w:rPr>
          <w:rFonts w:ascii="Arial" w:cs="Arial" w:eastAsia="Arial" w:hAnsi="Arial"/>
          <w:sz w:val="14"/>
          <w:szCs w:val="14"/>
          <w:color w:val="55565A"/>
        </w:rPr>
        <w:t>The related margin is adjusted EBITDA less accrued capital expenditures expressed as a percentage of revenues. For purposes of this calculation, revenues are before fair value adjustments to acquired deferred revenue.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5565A"/>
        </w:rPr>
        <w:t>Provides a basis for evaluating the operating</w:t>
      </w:r>
      <w:r>
        <w:rPr>
          <w:sz w:val="20"/>
          <w:szCs w:val="20"/>
          <w:color w:val="auto"/>
        </w:rPr>
        <w:tab/>
      </w:r>
      <w:r>
        <w:rPr>
          <w:rFonts w:ascii="Arial" w:cs="Arial" w:eastAsia="Arial" w:hAnsi="Arial"/>
          <w:sz w:val="14"/>
          <w:szCs w:val="14"/>
          <w:color w:val="55565A"/>
        </w:rPr>
        <w:t>Earnings from continuing operations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5565A"/>
        </w:rPr>
        <w:t>profitability and capital intensity of a business in a</w:t>
      </w:r>
    </w:p>
    <w:p>
      <w:pPr>
        <w:spacing w:after="0"/>
        <w:rPr>
          <w:sz w:val="20"/>
          <w:szCs w:val="20"/>
          <w:color w:val="auto"/>
        </w:rPr>
      </w:pPr>
      <w:r>
        <w:rPr>
          <w:rFonts w:ascii="Arial" w:cs="Arial" w:eastAsia="Arial" w:hAnsi="Arial"/>
          <w:sz w:val="14"/>
          <w:szCs w:val="14"/>
          <w:color w:val="55565A"/>
        </w:rPr>
        <w:t>single measure. This measure captures investments</w:t>
      </w:r>
    </w:p>
    <w:p>
      <w:pPr>
        <w:spacing w:after="0"/>
        <w:rPr>
          <w:sz w:val="20"/>
          <w:szCs w:val="20"/>
          <w:color w:val="auto"/>
        </w:rPr>
      </w:pPr>
      <w:r>
        <w:rPr>
          <w:rFonts w:ascii="Arial" w:cs="Arial" w:eastAsia="Arial" w:hAnsi="Arial"/>
          <w:sz w:val="14"/>
          <w:szCs w:val="14"/>
          <w:color w:val="55565A"/>
        </w:rPr>
        <w:t>regardless of whether they are expensed or capitalized,</w:t>
      </w:r>
    </w:p>
    <w:p>
      <w:pPr>
        <w:spacing w:after="0"/>
        <w:rPr>
          <w:sz w:val="20"/>
          <w:szCs w:val="20"/>
          <w:color w:val="auto"/>
        </w:rPr>
      </w:pPr>
      <w:r>
        <w:rPr>
          <w:rFonts w:ascii="Arial" w:cs="Arial" w:eastAsia="Arial" w:hAnsi="Arial"/>
          <w:sz w:val="14"/>
          <w:szCs w:val="14"/>
          <w:color w:val="55565A"/>
        </w:rPr>
        <w:t>and reflects the basis on which management measures</w:t>
      </w:r>
    </w:p>
    <w:p>
      <w:pPr>
        <w:spacing w:after="0"/>
        <w:rPr>
          <w:sz w:val="20"/>
          <w:szCs w:val="20"/>
          <w:color w:val="auto"/>
        </w:rPr>
      </w:pPr>
      <w:r>
        <w:rPr>
          <w:rFonts w:ascii="Arial" w:cs="Arial" w:eastAsia="Arial" w:hAnsi="Arial"/>
          <w:sz w:val="14"/>
          <w:szCs w:val="14"/>
          <w:color w:val="55565A"/>
        </w:rPr>
        <w:t>capital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395605</wp:posOffset>
            </wp:positionV>
            <wp:extent cx="6929755" cy="153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153035"/>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3900" w:space="220"/>
            <w:col w:w="696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14"/>
          <w:szCs w:val="14"/>
          <w:b w:val="1"/>
          <w:bCs w:val="1"/>
          <w:color w:val="FFFFFF"/>
        </w:rPr>
        <w:t>  Accrued capital expenditures as a percentage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66" w:lineRule="exact"/>
        <w:rPr>
          <w:sz w:val="20"/>
          <w:szCs w:val="20"/>
          <w:color w:val="auto"/>
        </w:rPr>
      </w:pPr>
    </w:p>
    <w:p>
      <w:pPr>
        <w:ind w:left="280"/>
        <w:spacing w:after="0" w:line="253" w:lineRule="auto"/>
        <w:rPr>
          <w:sz w:val="20"/>
          <w:szCs w:val="20"/>
          <w:color w:val="auto"/>
        </w:rPr>
      </w:pPr>
      <w:r>
        <w:rPr>
          <w:rFonts w:ascii="Arial" w:cs="Arial" w:eastAsia="Arial" w:hAnsi="Arial"/>
          <w:sz w:val="14"/>
          <w:szCs w:val="14"/>
          <w:color w:val="55565A"/>
        </w:rPr>
        <w:t>Accrued capital expenditures expressed as a percentage of revenues. For purposes of this calculation, revenues are before fair value adjustments to acquired deferred revenue.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5565A"/>
        </w:rPr>
        <w:t>Reflects the basis on how we manage capital</w:t>
      </w:r>
      <w:r>
        <w:rPr>
          <w:sz w:val="20"/>
          <w:szCs w:val="20"/>
          <w:color w:val="auto"/>
        </w:rPr>
        <w:tab/>
      </w:r>
      <w:r>
        <w:rPr>
          <w:rFonts w:ascii="Arial" w:cs="Arial" w:eastAsia="Arial" w:hAnsi="Arial"/>
          <w:sz w:val="14"/>
          <w:szCs w:val="14"/>
          <w:color w:val="55565A"/>
        </w:rPr>
        <w:t>Capital expenditures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5565A"/>
        </w:rPr>
        <w:t>expenditures for internal budgeting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234315</wp:posOffset>
            </wp:positionV>
            <wp:extent cx="69297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353060</wp:posOffset>
            </wp:positionV>
            <wp:extent cx="69297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43" w:lineRule="exact"/>
        <w:rPr>
          <w:sz w:val="20"/>
          <w:szCs w:val="20"/>
          <w:color w:val="auto"/>
        </w:rPr>
      </w:pPr>
    </w:p>
    <w:p>
      <w:pPr>
        <w:sectPr>
          <w:pgSz w:w="11900" w:h="16838" w:orient="portrait"/>
          <w:cols w:equalWidth="0" w:num="2">
            <w:col w:w="3860" w:space="260"/>
            <w:col w:w="6960"/>
          </w:cols>
          <w:pgMar w:left="320" w:top="454" w:right="499" w:bottom="1440" w:gutter="0" w:footer="0" w:header="0"/>
          <w:type w:val="continuous"/>
        </w:sectPr>
      </w:pPr>
    </w:p>
    <w:p>
      <w:pPr>
        <w:spacing w:after="0" w:line="121"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22</w:t>
      </w:r>
    </w:p>
    <w:p>
      <w:pPr>
        <w:sectPr>
          <w:pgSz w:w="11900" w:h="16838" w:orient="portrait"/>
          <w:cols w:equalWidth="0" w:num="1">
            <w:col w:w="11080"/>
          </w:cols>
          <w:pgMar w:left="320" w:top="454" w:right="4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3760" w:type="dxa"/>
            <w:vAlign w:val="bottom"/>
            <w:tcBorders>
              <w:top w:val="single" w:sz="8" w:color="88888B"/>
            </w:tcBorders>
            <w:shd w:val="clear" w:color="auto" w:fill="D2D0CD"/>
          </w:tcPr>
          <w:p>
            <w:pPr>
              <w:spacing w:after="0"/>
              <w:rPr>
                <w:sz w:val="20"/>
                <w:szCs w:val="20"/>
                <w:color w:val="auto"/>
              </w:rPr>
            </w:pPr>
            <w:r>
              <w:rPr>
                <w:rFonts w:ascii="Arial" w:cs="Arial" w:eastAsia="Arial" w:hAnsi="Arial"/>
                <w:sz w:val="16"/>
                <w:szCs w:val="16"/>
                <w:b w:val="1"/>
                <w:bCs w:val="1"/>
                <w:color w:val="55565A"/>
              </w:rPr>
              <w:t>How We Define It</w:t>
            </w:r>
          </w:p>
        </w:tc>
        <w:tc>
          <w:tcPr>
            <w:tcW w:w="3460" w:type="dxa"/>
            <w:vAlign w:val="bottom"/>
            <w:tcBorders>
              <w:top w:val="single" w:sz="8" w:color="D2D0CD"/>
            </w:tcBorders>
            <w:shd w:val="clear" w:color="auto" w:fill="D2D0CD"/>
          </w:tcPr>
          <w:p>
            <w:pPr>
              <w:ind w:left="200"/>
              <w:spacing w:after="0"/>
              <w:rPr>
                <w:sz w:val="20"/>
                <w:szCs w:val="20"/>
                <w:color w:val="auto"/>
              </w:rPr>
            </w:pPr>
            <w:r>
              <w:rPr>
                <w:rFonts w:ascii="Arial" w:cs="Arial" w:eastAsia="Arial" w:hAnsi="Arial"/>
                <w:sz w:val="16"/>
                <w:szCs w:val="16"/>
                <w:b w:val="1"/>
                <w:bCs w:val="1"/>
                <w:color w:val="55565A"/>
              </w:rPr>
              <w:t>Why We Use It and Why It Is Useful to</w:t>
            </w:r>
          </w:p>
        </w:tc>
        <w:tc>
          <w:tcPr>
            <w:tcW w:w="3700" w:type="dxa"/>
            <w:vAlign w:val="bottom"/>
            <w:tcBorders>
              <w:top w:val="single" w:sz="8" w:color="D2D0CD"/>
            </w:tcBorders>
            <w:shd w:val="clear" w:color="auto" w:fill="D2D0CD"/>
          </w:tcPr>
          <w:p>
            <w:pPr>
              <w:ind w:left="380"/>
              <w:spacing w:after="0"/>
              <w:rPr>
                <w:sz w:val="20"/>
                <w:szCs w:val="20"/>
                <w:color w:val="auto"/>
              </w:rPr>
            </w:pPr>
            <w:r>
              <w:rPr>
                <w:rFonts w:ascii="Arial" w:cs="Arial" w:eastAsia="Arial" w:hAnsi="Arial"/>
                <w:sz w:val="16"/>
                <w:szCs w:val="16"/>
                <w:b w:val="1"/>
                <w:bCs w:val="1"/>
                <w:color w:val="55565A"/>
              </w:rPr>
              <w:t>Most Directly Comparable</w:t>
            </w:r>
          </w:p>
        </w:tc>
      </w:tr>
      <w:tr>
        <w:trPr>
          <w:trHeight w:val="235"/>
        </w:trPr>
        <w:tc>
          <w:tcPr>
            <w:tcW w:w="3760" w:type="dxa"/>
            <w:vAlign w:val="bottom"/>
            <w:tcBorders>
              <w:bottom w:val="single" w:sz="8" w:color="D2D0CD"/>
            </w:tcBorders>
            <w:shd w:val="clear" w:color="auto" w:fill="D2D0CD"/>
          </w:tcPr>
          <w:p>
            <w:pPr>
              <w:spacing w:after="0"/>
              <w:rPr>
                <w:sz w:val="20"/>
                <w:szCs w:val="20"/>
                <w:color w:val="auto"/>
              </w:rPr>
            </w:pPr>
          </w:p>
        </w:tc>
        <w:tc>
          <w:tcPr>
            <w:tcW w:w="3460" w:type="dxa"/>
            <w:vAlign w:val="bottom"/>
            <w:tcBorders>
              <w:bottom w:val="single" w:sz="8" w:color="D2D0CD"/>
            </w:tcBorders>
            <w:shd w:val="clear" w:color="auto" w:fill="D2D0CD"/>
          </w:tcPr>
          <w:p>
            <w:pPr>
              <w:ind w:left="200"/>
              <w:spacing w:after="0"/>
              <w:rPr>
                <w:sz w:val="20"/>
                <w:szCs w:val="20"/>
                <w:color w:val="auto"/>
              </w:rPr>
            </w:pPr>
            <w:r>
              <w:rPr>
                <w:rFonts w:ascii="Arial" w:cs="Arial" w:eastAsia="Arial" w:hAnsi="Arial"/>
                <w:sz w:val="16"/>
                <w:szCs w:val="16"/>
                <w:b w:val="1"/>
                <w:bCs w:val="1"/>
                <w:color w:val="55565A"/>
              </w:rPr>
              <w:t>Investors</w:t>
            </w:r>
          </w:p>
        </w:tc>
        <w:tc>
          <w:tcPr>
            <w:tcW w:w="3700" w:type="dxa"/>
            <w:vAlign w:val="bottom"/>
            <w:tcBorders>
              <w:bottom w:val="single" w:sz="8" w:color="D2D0CD"/>
            </w:tcBorders>
            <w:shd w:val="clear" w:color="auto" w:fill="D2D0CD"/>
          </w:tcPr>
          <w:p>
            <w:pPr>
              <w:ind w:left="380"/>
              <w:spacing w:after="0"/>
              <w:rPr>
                <w:sz w:val="20"/>
                <w:szCs w:val="20"/>
                <w:color w:val="auto"/>
              </w:rPr>
            </w:pPr>
            <w:r>
              <w:rPr>
                <w:rFonts w:ascii="Arial" w:cs="Arial" w:eastAsia="Arial" w:hAnsi="Arial"/>
                <w:sz w:val="16"/>
                <w:szCs w:val="16"/>
                <w:b w:val="1"/>
                <w:bCs w:val="1"/>
                <w:color w:val="55565A"/>
              </w:rPr>
              <w:t>IFRS Measure</w:t>
            </w:r>
          </w:p>
        </w:tc>
      </w:tr>
      <w:tr>
        <w:trPr>
          <w:trHeight w:val="201"/>
        </w:trPr>
        <w:tc>
          <w:tcPr>
            <w:tcW w:w="3760" w:type="dxa"/>
            <w:vAlign w:val="bottom"/>
            <w:shd w:val="clear" w:color="auto" w:fill="77777A"/>
          </w:tcPr>
          <w:p>
            <w:pPr>
              <w:spacing w:after="0"/>
              <w:rPr>
                <w:sz w:val="20"/>
                <w:szCs w:val="20"/>
                <w:color w:val="auto"/>
              </w:rPr>
            </w:pPr>
            <w:r>
              <w:rPr>
                <w:rFonts w:ascii="Arial" w:cs="Arial" w:eastAsia="Arial" w:hAnsi="Arial"/>
                <w:sz w:val="14"/>
                <w:szCs w:val="14"/>
                <w:b w:val="1"/>
                <w:bCs w:val="1"/>
                <w:color w:val="FFFFFF"/>
              </w:rPr>
              <w:t>  Adjusted earnings and adjusted EPS</w:t>
            </w:r>
          </w:p>
        </w:tc>
        <w:tc>
          <w:tcPr>
            <w:tcW w:w="3460" w:type="dxa"/>
            <w:vAlign w:val="bottom"/>
            <w:shd w:val="clear" w:color="auto" w:fill="77777A"/>
          </w:tcPr>
          <w:p>
            <w:pPr>
              <w:spacing w:after="0"/>
              <w:rPr>
                <w:sz w:val="17"/>
                <w:szCs w:val="17"/>
                <w:color w:val="auto"/>
              </w:rPr>
            </w:pPr>
          </w:p>
        </w:tc>
        <w:tc>
          <w:tcPr>
            <w:tcW w:w="3700" w:type="dxa"/>
            <w:vAlign w:val="bottom"/>
            <w:shd w:val="clear" w:color="auto" w:fill="77777A"/>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080"/>
          </w:cols>
          <w:pgMar w:left="320" w:top="454" w:right="499" w:bottom="1440" w:gutter="0" w:footer="0" w:header="0"/>
        </w:sectPr>
      </w:pPr>
    </w:p>
    <w:p>
      <w:pPr>
        <w:ind w:left="280"/>
        <w:spacing w:after="0" w:line="241" w:lineRule="auto"/>
        <w:rPr>
          <w:sz w:val="20"/>
          <w:szCs w:val="20"/>
          <w:color w:val="auto"/>
        </w:rPr>
      </w:pPr>
      <w:r>
        <w:rPr>
          <w:rFonts w:ascii="Arial" w:cs="Arial" w:eastAsia="Arial" w:hAnsi="Arial"/>
          <w:sz w:val="14"/>
          <w:szCs w:val="14"/>
          <w:color w:val="55565A"/>
        </w:rPr>
        <w:t>Net earnings or loss including dividends declared on preference shares but excluding the post-tax impacts of fair value adjustments, including those related to acquired deferred revenue, amortization of acquired intangible assets (attributable to other identifiable intangible assets and acquired computer software), other operating gains and losses, certain asset impairment charges, other finance costs or income, our share of post-tax earnings or losses in equity method investments, discontinued operations and other items affecting comparability. Acquired intangible assets contribute to the generation of revenues from acquired companies, which are included in our computation of adjusted earnings.</w:t>
      </w:r>
    </w:p>
    <w:p>
      <w:pPr>
        <w:spacing w:after="0" w:line="96" w:lineRule="exact"/>
        <w:rPr>
          <w:sz w:val="20"/>
          <w:szCs w:val="20"/>
          <w:color w:val="auto"/>
        </w:rPr>
      </w:pPr>
    </w:p>
    <w:p>
      <w:pPr>
        <w:ind w:left="280" w:right="60"/>
        <w:spacing w:after="0" w:line="253" w:lineRule="auto"/>
        <w:rPr>
          <w:sz w:val="20"/>
          <w:szCs w:val="20"/>
          <w:color w:val="auto"/>
        </w:rPr>
      </w:pPr>
      <w:r>
        <w:rPr>
          <w:rFonts w:ascii="Arial" w:cs="Arial" w:eastAsia="Arial" w:hAnsi="Arial"/>
          <w:sz w:val="14"/>
          <w:szCs w:val="14"/>
          <w:color w:val="55565A"/>
        </w:rPr>
        <w:t>The post-tax amount of each item is excluded from adjusted earnings based on the specific tax rules and tax rates associated with the nature and jurisdiction of each item.</w:t>
      </w:r>
    </w:p>
    <w:p>
      <w:pPr>
        <w:spacing w:after="0" w:line="30" w:lineRule="exact"/>
        <w:rPr>
          <w:sz w:val="20"/>
          <w:szCs w:val="20"/>
          <w:color w:val="auto"/>
        </w:rPr>
      </w:pPr>
    </w:p>
    <w:p>
      <w:pPr>
        <w:ind w:left="280" w:right="80"/>
        <w:spacing w:after="0" w:line="253" w:lineRule="auto"/>
        <w:rPr>
          <w:sz w:val="20"/>
          <w:szCs w:val="20"/>
          <w:color w:val="auto"/>
        </w:rPr>
      </w:pPr>
      <w:r>
        <w:rPr>
          <w:rFonts w:ascii="Arial" w:cs="Arial" w:eastAsia="Arial" w:hAnsi="Arial"/>
          <w:sz w:val="14"/>
          <w:szCs w:val="14"/>
          <w:color w:val="55565A"/>
        </w:rPr>
        <w:t>Adjusted EPS is calculated from adjusted earnings using diluted weighted-average shares and does not represent actual earnings or loss per share attributable to shareholders.</w:t>
      </w:r>
    </w:p>
    <w:p>
      <w:pPr>
        <w:spacing w:after="0" w:line="20" w:lineRule="exact"/>
        <w:rPr>
          <w:sz w:val="20"/>
          <w:szCs w:val="20"/>
          <w:color w:val="auto"/>
        </w:rPr>
      </w:pPr>
      <w:r>
        <w:rPr>
          <w:sz w:val="20"/>
          <w:szCs w:val="20"/>
          <w:color w:val="auto"/>
        </w:rPr>
        <w:br w:type="column"/>
      </w:r>
    </w:p>
    <w:p>
      <w:pPr>
        <w:spacing w:after="0"/>
        <w:tabs>
          <w:tab w:leader="none" w:pos="3620" w:val="left"/>
        </w:tabs>
        <w:rPr>
          <w:sz w:val="20"/>
          <w:szCs w:val="20"/>
          <w:color w:val="auto"/>
        </w:rPr>
      </w:pPr>
      <w:r>
        <w:rPr>
          <w:rFonts w:ascii="Arial" w:cs="Arial" w:eastAsia="Arial" w:hAnsi="Arial"/>
          <w:sz w:val="14"/>
          <w:szCs w:val="14"/>
          <w:color w:val="55565A"/>
        </w:rPr>
        <w:t>Provides a more comparable basis to analyze earnings.</w:t>
      </w:r>
      <w:r>
        <w:rPr>
          <w:sz w:val="20"/>
          <w:szCs w:val="20"/>
          <w:color w:val="auto"/>
        </w:rPr>
        <w:tab/>
      </w:r>
      <w:r>
        <w:rPr>
          <w:rFonts w:ascii="Arial" w:cs="Arial" w:eastAsia="Arial" w:hAnsi="Arial"/>
          <w:sz w:val="21"/>
          <w:szCs w:val="21"/>
          <w:color w:val="55565A"/>
          <w:vertAlign w:val="superscript"/>
        </w:rPr>
        <w:t>Net earnings and diluted earnings per share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55565A"/>
        </w:rPr>
        <w:t>These measures are commonly used by shareholders</w:t>
      </w:r>
    </w:p>
    <w:p>
      <w:pPr>
        <w:spacing w:after="0"/>
        <w:rPr>
          <w:sz w:val="20"/>
          <w:szCs w:val="20"/>
          <w:color w:val="auto"/>
        </w:rPr>
      </w:pPr>
      <w:r>
        <w:rPr>
          <w:rFonts w:ascii="Arial" w:cs="Arial" w:eastAsia="Arial" w:hAnsi="Arial"/>
          <w:sz w:val="14"/>
          <w:szCs w:val="14"/>
          <w:color w:val="55565A"/>
        </w:rPr>
        <w:t>to measure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1967230</wp:posOffset>
            </wp:positionV>
            <wp:extent cx="6929755" cy="178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178435"/>
                    </a:xfrm>
                    <a:prstGeom prst="rect">
                      <a:avLst/>
                    </a:prstGeom>
                    <a:noFill/>
                  </pic:spPr>
                </pic:pic>
              </a:graphicData>
            </a:graphic>
          </wp:anchor>
        </w:drawing>
      </w:r>
    </w:p>
    <w:p>
      <w:pPr>
        <w:spacing w:after="0" w:line="3137" w:lineRule="exact"/>
        <w:rPr>
          <w:sz w:val="20"/>
          <w:szCs w:val="20"/>
          <w:color w:val="auto"/>
        </w:rPr>
      </w:pPr>
    </w:p>
    <w:p>
      <w:pPr>
        <w:sectPr>
          <w:pgSz w:w="11900" w:h="16838" w:orient="portrait"/>
          <w:cols w:equalWidth="0" w:num="2">
            <w:col w:w="3920" w:space="200"/>
            <w:col w:w="6960"/>
          </w:cols>
          <w:pgMar w:left="320" w:top="454" w:right="499" w:bottom="1440" w:gutter="0" w:footer="0" w:header="0"/>
          <w:type w:val="continuous"/>
        </w:sectPr>
      </w:pPr>
    </w:p>
    <w:p>
      <w:pPr>
        <w:spacing w:after="0" w:line="1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  Effective tax rate on adjusted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66" w:lineRule="exact"/>
        <w:rPr>
          <w:sz w:val="20"/>
          <w:szCs w:val="20"/>
          <w:color w:val="auto"/>
        </w:rPr>
      </w:pPr>
    </w:p>
    <w:p>
      <w:pPr>
        <w:ind w:left="280"/>
        <w:spacing w:after="0" w:line="247" w:lineRule="auto"/>
        <w:rPr>
          <w:sz w:val="20"/>
          <w:szCs w:val="20"/>
          <w:color w:val="auto"/>
        </w:rPr>
      </w:pPr>
      <w:r>
        <w:rPr>
          <w:rFonts w:ascii="Arial" w:cs="Arial" w:eastAsia="Arial" w:hAnsi="Arial"/>
          <w:sz w:val="14"/>
          <w:szCs w:val="14"/>
          <w:color w:val="55565A"/>
        </w:rPr>
        <w:t>Adjusted tax expense divided by pre-tax adjusted earnings. Adjusted tax expense is computed as income tax (benefit) expense plus or minus the income tax impacts of all items impacting adjusted earnings (as described above), and other tax items impacting comparability.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5565A"/>
        </w:rPr>
        <w:t>Provides a basis to analyze the effective tax rate</w:t>
      </w:r>
      <w:r>
        <w:rPr>
          <w:sz w:val="20"/>
          <w:szCs w:val="20"/>
          <w:color w:val="auto"/>
        </w:rPr>
        <w:tab/>
      </w:r>
      <w:r>
        <w:rPr>
          <w:rFonts w:ascii="Arial" w:cs="Arial" w:eastAsia="Arial" w:hAnsi="Arial"/>
          <w:sz w:val="13"/>
          <w:szCs w:val="13"/>
          <w:color w:val="55565A"/>
        </w:rPr>
        <w:t>Tax expense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5565A"/>
        </w:rPr>
        <w:t>associated with adjusted earnings.</w:t>
      </w:r>
    </w:p>
    <w:p>
      <w:pPr>
        <w:spacing w:after="0" w:line="734" w:lineRule="exact"/>
        <w:rPr>
          <w:sz w:val="20"/>
          <w:szCs w:val="20"/>
          <w:color w:val="auto"/>
        </w:rPr>
      </w:pPr>
    </w:p>
    <w:p>
      <w:pPr>
        <w:sectPr>
          <w:pgSz w:w="11900" w:h="16838" w:orient="portrait"/>
          <w:cols w:equalWidth="0" w:num="2">
            <w:col w:w="3760" w:space="360"/>
            <w:col w:w="6960"/>
          </w:cols>
          <w:pgMar w:left="320" w:top="454" w:right="499" w:bottom="1440" w:gutter="0" w:footer="0" w:header="0"/>
          <w:type w:val="continuous"/>
        </w:sectPr>
      </w:pPr>
    </w:p>
    <w:p>
      <w:pPr>
        <w:ind w:left="280"/>
        <w:spacing w:after="0" w:line="245" w:lineRule="auto"/>
        <w:rPr>
          <w:sz w:val="20"/>
          <w:szCs w:val="20"/>
          <w:color w:val="auto"/>
        </w:rPr>
      </w:pPr>
      <w:r>
        <w:rPr>
          <w:rFonts w:ascii="Arial" w:cs="Arial" w:eastAsia="Arial" w:hAnsi="Arial"/>
          <w:sz w:val="14"/>
          <w:szCs w:val="14"/>
          <w:color w:val="55565A"/>
        </w:rPr>
        <w:t>In interim periods, we also make an adjustment to reflect income taxes based on the estimated full-year effective tax rate. Earnings or losses for interim periods under IFRS reflect income taxes based on the estimated effective tax rates of each of the jurisdictions in which we operate. The non-IFRS adjustment reallocates estimated full-year income taxes between interim periods but has no effect on full-year income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55565A"/>
        </w:rPr>
        <w:t>Because the geographical mix of pre-tax profits and</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5565A"/>
        </w:rPr>
        <w:t>losses in interim periods may be different from that for</w:t>
      </w:r>
    </w:p>
    <w:p>
      <w:pPr>
        <w:spacing w:after="0"/>
        <w:rPr>
          <w:sz w:val="20"/>
          <w:szCs w:val="20"/>
          <w:color w:val="auto"/>
        </w:rPr>
      </w:pPr>
      <w:r>
        <w:rPr>
          <w:rFonts w:ascii="Arial" w:cs="Arial" w:eastAsia="Arial" w:hAnsi="Arial"/>
          <w:sz w:val="14"/>
          <w:szCs w:val="14"/>
          <w:color w:val="55565A"/>
        </w:rPr>
        <w:t>the full year, our effective tax rate computed in</w:t>
      </w:r>
    </w:p>
    <w:p>
      <w:pPr>
        <w:spacing w:after="0"/>
        <w:rPr>
          <w:sz w:val="20"/>
          <w:szCs w:val="20"/>
          <w:color w:val="auto"/>
        </w:rPr>
      </w:pPr>
      <w:r>
        <w:rPr>
          <w:rFonts w:ascii="Arial" w:cs="Arial" w:eastAsia="Arial" w:hAnsi="Arial"/>
          <w:sz w:val="14"/>
          <w:szCs w:val="14"/>
          <w:color w:val="55565A"/>
        </w:rPr>
        <w:t>accordance with IFRS may be more volatile by quarter.</w:t>
      </w:r>
    </w:p>
    <w:p>
      <w:pPr>
        <w:spacing w:after="0"/>
        <w:rPr>
          <w:sz w:val="20"/>
          <w:szCs w:val="20"/>
          <w:color w:val="auto"/>
        </w:rPr>
      </w:pPr>
      <w:r>
        <w:rPr>
          <w:rFonts w:ascii="Arial" w:cs="Arial" w:eastAsia="Arial" w:hAnsi="Arial"/>
          <w:sz w:val="14"/>
          <w:szCs w:val="14"/>
          <w:color w:val="55565A"/>
        </w:rPr>
        <w:t>Therefore, we believe that using the expected full-year</w:t>
      </w:r>
    </w:p>
    <w:p>
      <w:pPr>
        <w:spacing w:after="0"/>
        <w:rPr>
          <w:sz w:val="20"/>
          <w:szCs w:val="20"/>
          <w:color w:val="auto"/>
        </w:rPr>
      </w:pPr>
      <w:r>
        <w:rPr>
          <w:rFonts w:ascii="Arial" w:cs="Arial" w:eastAsia="Arial" w:hAnsi="Arial"/>
          <w:sz w:val="14"/>
          <w:szCs w:val="14"/>
          <w:color w:val="55565A"/>
        </w:rPr>
        <w:t>effective tax rate provides more comparability among</w:t>
      </w:r>
    </w:p>
    <w:p>
      <w:pPr>
        <w:spacing w:after="0"/>
        <w:rPr>
          <w:sz w:val="20"/>
          <w:szCs w:val="20"/>
          <w:color w:val="auto"/>
        </w:rPr>
      </w:pPr>
      <w:r>
        <w:rPr>
          <w:rFonts w:ascii="Arial" w:cs="Arial" w:eastAsia="Arial" w:hAnsi="Arial"/>
          <w:sz w:val="14"/>
          <w:szCs w:val="14"/>
          <w:color w:val="55565A"/>
        </w:rPr>
        <w:t>interim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132715</wp:posOffset>
            </wp:positionV>
            <wp:extent cx="69297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251460</wp:posOffset>
            </wp:positionV>
            <wp:extent cx="69297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76" w:lineRule="exact"/>
        <w:rPr>
          <w:sz w:val="20"/>
          <w:szCs w:val="20"/>
          <w:color w:val="auto"/>
        </w:rPr>
      </w:pPr>
    </w:p>
    <w:p>
      <w:pPr>
        <w:sectPr>
          <w:pgSz w:w="11900" w:h="16838" w:orient="portrait"/>
          <w:cols w:equalWidth="0" w:num="2">
            <w:col w:w="3860" w:space="260"/>
            <w:col w:w="6960"/>
          </w:cols>
          <w:pgMar w:left="320" w:top="454" w:right="499" w:bottom="1440" w:gutter="0" w:footer="0" w:header="0"/>
          <w:type w:val="continuous"/>
        </w:sectPr>
      </w:pPr>
    </w:p>
    <w:p>
      <w:pPr>
        <w:spacing w:after="0" w:line="127" w:lineRule="exact"/>
        <w:rPr>
          <w:sz w:val="20"/>
          <w:szCs w:val="20"/>
          <w:color w:val="auto"/>
        </w:rPr>
      </w:pPr>
    </w:p>
    <w:p>
      <w:pPr>
        <w:ind w:left="10580"/>
        <w:spacing w:after="0"/>
        <w:rPr>
          <w:sz w:val="20"/>
          <w:szCs w:val="20"/>
          <w:color w:val="auto"/>
        </w:rPr>
      </w:pPr>
      <w:r>
        <w:rPr>
          <w:rFonts w:ascii="Arial" w:cs="Arial" w:eastAsia="Arial" w:hAnsi="Arial"/>
          <w:sz w:val="13"/>
          <w:szCs w:val="13"/>
          <w:color w:val="55565A"/>
        </w:rPr>
        <w:t>Page 23</w:t>
      </w:r>
    </w:p>
    <w:p>
      <w:pPr>
        <w:sectPr>
          <w:pgSz w:w="11900" w:h="16838" w:orient="portrait"/>
          <w:cols w:equalWidth="0" w:num="1">
            <w:col w:w="11080"/>
          </w:cols>
          <w:pgMar w:left="320" w:top="454" w:right="4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3760" w:type="dxa"/>
            <w:vAlign w:val="bottom"/>
            <w:tcBorders>
              <w:top w:val="single" w:sz="8" w:color="88888B"/>
            </w:tcBorders>
            <w:shd w:val="clear" w:color="auto" w:fill="D2D0CD"/>
          </w:tcPr>
          <w:p>
            <w:pPr>
              <w:spacing w:after="0"/>
              <w:rPr>
                <w:sz w:val="20"/>
                <w:szCs w:val="20"/>
                <w:color w:val="auto"/>
              </w:rPr>
            </w:pPr>
            <w:r>
              <w:rPr>
                <w:rFonts w:ascii="Arial" w:cs="Arial" w:eastAsia="Arial" w:hAnsi="Arial"/>
                <w:sz w:val="16"/>
                <w:szCs w:val="16"/>
                <w:b w:val="1"/>
                <w:bCs w:val="1"/>
                <w:color w:val="55565A"/>
              </w:rPr>
              <w:t>How We Define It</w:t>
            </w:r>
          </w:p>
        </w:tc>
        <w:tc>
          <w:tcPr>
            <w:tcW w:w="3460" w:type="dxa"/>
            <w:vAlign w:val="bottom"/>
            <w:tcBorders>
              <w:top w:val="single" w:sz="8" w:color="D2D0CD"/>
            </w:tcBorders>
            <w:shd w:val="clear" w:color="auto" w:fill="D2D0CD"/>
          </w:tcPr>
          <w:p>
            <w:pPr>
              <w:ind w:left="200"/>
              <w:spacing w:after="0"/>
              <w:rPr>
                <w:sz w:val="20"/>
                <w:szCs w:val="20"/>
                <w:color w:val="auto"/>
              </w:rPr>
            </w:pPr>
            <w:r>
              <w:rPr>
                <w:rFonts w:ascii="Arial" w:cs="Arial" w:eastAsia="Arial" w:hAnsi="Arial"/>
                <w:sz w:val="16"/>
                <w:szCs w:val="16"/>
                <w:b w:val="1"/>
                <w:bCs w:val="1"/>
                <w:color w:val="55565A"/>
              </w:rPr>
              <w:t>Why We Use It and Why It Is Useful to</w:t>
            </w:r>
          </w:p>
        </w:tc>
        <w:tc>
          <w:tcPr>
            <w:tcW w:w="3700" w:type="dxa"/>
            <w:vAlign w:val="bottom"/>
            <w:tcBorders>
              <w:top w:val="single" w:sz="8" w:color="D2D0CD"/>
            </w:tcBorders>
            <w:shd w:val="clear" w:color="auto" w:fill="D2D0CD"/>
          </w:tcPr>
          <w:p>
            <w:pPr>
              <w:ind w:left="380"/>
              <w:spacing w:after="0"/>
              <w:rPr>
                <w:sz w:val="20"/>
                <w:szCs w:val="20"/>
                <w:color w:val="auto"/>
              </w:rPr>
            </w:pPr>
            <w:r>
              <w:rPr>
                <w:rFonts w:ascii="Arial" w:cs="Arial" w:eastAsia="Arial" w:hAnsi="Arial"/>
                <w:sz w:val="16"/>
                <w:szCs w:val="16"/>
                <w:b w:val="1"/>
                <w:bCs w:val="1"/>
                <w:color w:val="55565A"/>
              </w:rPr>
              <w:t>Most Directly Comparable</w:t>
            </w:r>
          </w:p>
        </w:tc>
      </w:tr>
      <w:tr>
        <w:trPr>
          <w:trHeight w:val="235"/>
        </w:trPr>
        <w:tc>
          <w:tcPr>
            <w:tcW w:w="3760" w:type="dxa"/>
            <w:vAlign w:val="bottom"/>
            <w:tcBorders>
              <w:bottom w:val="single" w:sz="8" w:color="D2D0CD"/>
            </w:tcBorders>
            <w:shd w:val="clear" w:color="auto" w:fill="D2D0CD"/>
          </w:tcPr>
          <w:p>
            <w:pPr>
              <w:spacing w:after="0"/>
              <w:rPr>
                <w:sz w:val="20"/>
                <w:szCs w:val="20"/>
                <w:color w:val="auto"/>
              </w:rPr>
            </w:pPr>
          </w:p>
        </w:tc>
        <w:tc>
          <w:tcPr>
            <w:tcW w:w="3460" w:type="dxa"/>
            <w:vAlign w:val="bottom"/>
            <w:tcBorders>
              <w:bottom w:val="single" w:sz="8" w:color="D2D0CD"/>
            </w:tcBorders>
            <w:shd w:val="clear" w:color="auto" w:fill="D2D0CD"/>
          </w:tcPr>
          <w:p>
            <w:pPr>
              <w:ind w:left="200"/>
              <w:spacing w:after="0"/>
              <w:rPr>
                <w:sz w:val="20"/>
                <w:szCs w:val="20"/>
                <w:color w:val="auto"/>
              </w:rPr>
            </w:pPr>
            <w:r>
              <w:rPr>
                <w:rFonts w:ascii="Arial" w:cs="Arial" w:eastAsia="Arial" w:hAnsi="Arial"/>
                <w:sz w:val="16"/>
                <w:szCs w:val="16"/>
                <w:b w:val="1"/>
                <w:bCs w:val="1"/>
                <w:color w:val="55565A"/>
              </w:rPr>
              <w:t>Investors</w:t>
            </w:r>
          </w:p>
        </w:tc>
        <w:tc>
          <w:tcPr>
            <w:tcW w:w="3700" w:type="dxa"/>
            <w:vAlign w:val="bottom"/>
            <w:tcBorders>
              <w:bottom w:val="single" w:sz="8" w:color="D2D0CD"/>
            </w:tcBorders>
            <w:shd w:val="clear" w:color="auto" w:fill="D2D0CD"/>
          </w:tcPr>
          <w:p>
            <w:pPr>
              <w:ind w:left="380"/>
              <w:spacing w:after="0"/>
              <w:rPr>
                <w:sz w:val="20"/>
                <w:szCs w:val="20"/>
                <w:color w:val="auto"/>
              </w:rPr>
            </w:pPr>
            <w:r>
              <w:rPr>
                <w:rFonts w:ascii="Arial" w:cs="Arial" w:eastAsia="Arial" w:hAnsi="Arial"/>
                <w:sz w:val="16"/>
                <w:szCs w:val="16"/>
                <w:b w:val="1"/>
                <w:bCs w:val="1"/>
                <w:color w:val="55565A"/>
              </w:rPr>
              <w:t>IFRS Measure</w:t>
            </w:r>
          </w:p>
        </w:tc>
      </w:tr>
      <w:tr>
        <w:trPr>
          <w:trHeight w:val="20"/>
        </w:trPr>
        <w:tc>
          <w:tcPr>
            <w:tcW w:w="3760" w:type="dxa"/>
            <w:vAlign w:val="bottom"/>
            <w:shd w:val="clear" w:color="auto" w:fill="88888B"/>
          </w:tcPr>
          <w:p>
            <w:pPr>
              <w:spacing w:after="0" w:line="20" w:lineRule="exact"/>
              <w:rPr>
                <w:sz w:val="1"/>
                <w:szCs w:val="1"/>
                <w:color w:val="auto"/>
              </w:rPr>
            </w:pPr>
          </w:p>
        </w:tc>
        <w:tc>
          <w:tcPr>
            <w:tcW w:w="3460" w:type="dxa"/>
            <w:vAlign w:val="bottom"/>
            <w:shd w:val="clear" w:color="auto" w:fill="88888B"/>
          </w:tcPr>
          <w:p>
            <w:pPr>
              <w:spacing w:after="0" w:line="20" w:lineRule="exact"/>
              <w:rPr>
                <w:sz w:val="1"/>
                <w:szCs w:val="1"/>
                <w:color w:val="auto"/>
              </w:rPr>
            </w:pPr>
          </w:p>
        </w:tc>
        <w:tc>
          <w:tcPr>
            <w:tcW w:w="3700" w:type="dxa"/>
            <w:vAlign w:val="bottom"/>
            <w:shd w:val="clear" w:color="auto" w:fill="88888B"/>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wp:posOffset>
            </wp:positionV>
            <wp:extent cx="6929755" cy="178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29755" cy="178435"/>
                    </a:xfrm>
                    <a:prstGeom prst="rect">
                      <a:avLst/>
                    </a:prstGeom>
                    <a:noFill/>
                  </pic:spPr>
                </pic:pic>
              </a:graphicData>
            </a:graphic>
          </wp:anchor>
        </w:drawing>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Net debt and leverage ratio of net debt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66" w:lineRule="exact"/>
        <w:rPr>
          <w:sz w:val="20"/>
          <w:szCs w:val="20"/>
          <w:color w:val="auto"/>
        </w:rPr>
      </w:pPr>
    </w:p>
    <w:p>
      <w:pPr>
        <w:ind w:left="280"/>
        <w:spacing w:after="0"/>
        <w:rPr>
          <w:sz w:val="20"/>
          <w:szCs w:val="20"/>
          <w:color w:val="auto"/>
        </w:rPr>
      </w:pPr>
      <w:r>
        <w:rPr>
          <w:rFonts w:ascii="Arial" w:cs="Arial" w:eastAsia="Arial" w:hAnsi="Arial"/>
          <w:sz w:val="14"/>
          <w:szCs w:val="14"/>
          <w:color w:val="55565A"/>
        </w:rPr>
        <w:t>Net debt:</w:t>
      </w:r>
    </w:p>
    <w:p>
      <w:pPr>
        <w:spacing w:after="0" w:line="40" w:lineRule="exact"/>
        <w:rPr>
          <w:sz w:val="20"/>
          <w:szCs w:val="20"/>
          <w:color w:val="auto"/>
        </w:rPr>
      </w:pPr>
    </w:p>
    <w:p>
      <w:pPr>
        <w:ind w:left="280"/>
        <w:spacing w:after="0" w:line="249" w:lineRule="auto"/>
        <w:rPr>
          <w:sz w:val="20"/>
          <w:szCs w:val="20"/>
          <w:color w:val="auto"/>
        </w:rPr>
      </w:pPr>
      <w:r>
        <w:rPr>
          <w:rFonts w:ascii="Arial" w:cs="Arial" w:eastAsia="Arial" w:hAnsi="Arial"/>
          <w:sz w:val="14"/>
          <w:szCs w:val="14"/>
          <w:color w:val="55565A"/>
        </w:rPr>
        <w:t>Total indebtedness (excluding the associated unamortized transaction costs and premiums or discount) plus the currency related fair value of associated hedging instruments, and lease liabilities less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0"/>
        <w:spacing w:after="0"/>
        <w:rPr>
          <w:sz w:val="20"/>
          <w:szCs w:val="20"/>
          <w:color w:val="auto"/>
        </w:rPr>
      </w:pPr>
      <w:r>
        <w:rPr>
          <w:rFonts w:ascii="Arial" w:cs="Arial" w:eastAsia="Arial" w:hAnsi="Arial"/>
          <w:sz w:val="14"/>
          <w:szCs w:val="14"/>
          <w:color w:val="55565A"/>
        </w:rPr>
        <w:t>Net debt to adjusted EBITDA:</w:t>
      </w:r>
    </w:p>
    <w:p>
      <w:pPr>
        <w:spacing w:after="0" w:line="13" w:lineRule="exact"/>
        <w:rPr>
          <w:sz w:val="20"/>
          <w:szCs w:val="20"/>
          <w:color w:val="auto"/>
        </w:rPr>
      </w:pPr>
    </w:p>
    <w:p>
      <w:pPr>
        <w:ind w:left="280" w:right="100"/>
        <w:spacing w:after="0" w:line="249" w:lineRule="auto"/>
        <w:rPr>
          <w:sz w:val="20"/>
          <w:szCs w:val="20"/>
          <w:color w:val="auto"/>
        </w:rPr>
      </w:pPr>
      <w:r>
        <w:rPr>
          <w:rFonts w:ascii="Arial" w:cs="Arial" w:eastAsia="Arial" w:hAnsi="Arial"/>
          <w:sz w:val="14"/>
          <w:szCs w:val="14"/>
          <w:color w:val="55565A"/>
        </w:rPr>
        <w:t>Net debt is divided by adjusted EBITDA for the previous twelve-month period ending with the current fiscal quarter.</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55565A"/>
        </w:rPr>
        <w:t>Provides a commonly used measure of a company’s leverage.</w:t>
      </w:r>
    </w:p>
    <w:p>
      <w:pPr>
        <w:spacing w:after="0" w:line="64" w:lineRule="exact"/>
        <w:rPr>
          <w:sz w:val="20"/>
          <w:szCs w:val="20"/>
          <w:color w:val="auto"/>
        </w:rPr>
      </w:pPr>
    </w:p>
    <w:p>
      <w:pPr>
        <w:spacing w:after="0" w:line="244" w:lineRule="auto"/>
        <w:rPr>
          <w:sz w:val="20"/>
          <w:szCs w:val="20"/>
          <w:color w:val="auto"/>
        </w:rPr>
      </w:pPr>
      <w:r>
        <w:rPr>
          <w:rFonts w:ascii="Arial" w:cs="Arial" w:eastAsia="Arial" w:hAnsi="Arial"/>
          <w:sz w:val="14"/>
          <w:szCs w:val="14"/>
          <w:color w:val="55565A"/>
        </w:rPr>
        <w:t>Given that we hedge some of our debt to reduce risk, we include hedging instruments as we believe it provides a better measure of the total obligation associated with our outstanding debt. However, because we intend to hold our debt and related hedges to maturity, we do not consider the interest components of the associated fair value of hedges in our measurements. We reduce gross indebtedness by cash and cash equivalents.</w:t>
      </w:r>
    </w:p>
    <w:p>
      <w:pPr>
        <w:spacing w:after="0" w:line="255"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55565A"/>
        </w:rPr>
        <w:t>Provides a commonly used measure of a company’s ability to pay its debt. Our non-IFRS measure is aligned with the calculation of our internal target and is more conservative than the maximum ratio allowed under the contractual covenants in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78740</wp:posOffset>
            </wp:positionV>
            <wp:extent cx="6929755" cy="2209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55565A"/>
        </w:rPr>
        <w:t>Total debt (current indebtedness plus long-term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60"/>
        <w:spacing w:after="0" w:line="281" w:lineRule="auto"/>
        <w:rPr>
          <w:sz w:val="20"/>
          <w:szCs w:val="20"/>
          <w:color w:val="auto"/>
        </w:rPr>
      </w:pPr>
      <w:r>
        <w:rPr>
          <w:rFonts w:ascii="Arial" w:cs="Arial" w:eastAsia="Arial" w:hAnsi="Arial"/>
          <w:sz w:val="14"/>
          <w:szCs w:val="14"/>
          <w:color w:val="55565A"/>
        </w:rPr>
        <w:t>For adjusted EBITDA, refer to the definition above for the most directly comparable IFRS measure</w:t>
      </w:r>
    </w:p>
    <w:p>
      <w:pPr>
        <w:spacing w:after="0" w:line="653" w:lineRule="exact"/>
        <w:rPr>
          <w:sz w:val="20"/>
          <w:szCs w:val="20"/>
          <w:color w:val="auto"/>
        </w:rPr>
      </w:pPr>
    </w:p>
    <w:p>
      <w:pPr>
        <w:sectPr>
          <w:pgSz w:w="11900" w:h="16838" w:orient="portrait"/>
          <w:cols w:equalWidth="0" w:num="3">
            <w:col w:w="3900" w:space="220"/>
            <w:col w:w="3520" w:space="120"/>
            <w:col w:w="3320"/>
          </w:cols>
          <w:pgMar w:left="320" w:top="454" w:right="499" w:bottom="1440" w:gutter="0" w:footer="0" w:header="0"/>
          <w:type w:val="continuous"/>
        </w:sectPr>
      </w:pPr>
    </w:p>
    <w:p>
      <w:pPr>
        <w:ind w:left="280"/>
        <w:spacing w:after="0"/>
        <w:rPr>
          <w:sz w:val="20"/>
          <w:szCs w:val="20"/>
          <w:color w:val="auto"/>
        </w:rPr>
      </w:pPr>
      <w:r>
        <w:rPr>
          <w:rFonts w:ascii="Arial" w:cs="Arial" w:eastAsia="Arial" w:hAnsi="Arial"/>
          <w:sz w:val="14"/>
          <w:szCs w:val="14"/>
          <w:b w:val="1"/>
          <w:bCs w:val="1"/>
          <w:color w:val="FFFFFF"/>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69297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120" w:lineRule="exact"/>
        <w:rPr>
          <w:sz w:val="20"/>
          <w:szCs w:val="20"/>
          <w:color w:val="auto"/>
        </w:rPr>
      </w:pPr>
    </w:p>
    <w:p>
      <w:pPr>
        <w:ind w:left="280"/>
        <w:spacing w:after="0" w:line="253" w:lineRule="auto"/>
        <w:rPr>
          <w:sz w:val="20"/>
          <w:szCs w:val="20"/>
          <w:color w:val="auto"/>
        </w:rPr>
      </w:pPr>
      <w:r>
        <w:rPr>
          <w:rFonts w:ascii="Arial" w:cs="Arial" w:eastAsia="Arial" w:hAnsi="Arial"/>
          <w:sz w:val="14"/>
          <w:szCs w:val="14"/>
          <w:color w:val="55565A"/>
        </w:rPr>
        <w:t>Net cash provided by operating activities and other investing activities, less capital expenditures, payments of lease principal and dividends paid on our preference shares.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tabs>
          <w:tab w:leader="none" w:pos="3740" w:val="left"/>
        </w:tabs>
        <w:rPr>
          <w:sz w:val="20"/>
          <w:szCs w:val="20"/>
          <w:color w:val="auto"/>
        </w:rPr>
      </w:pPr>
      <w:r>
        <w:rPr>
          <w:rFonts w:ascii="Arial" w:cs="Arial" w:eastAsia="Arial" w:hAnsi="Arial"/>
          <w:sz w:val="14"/>
          <w:szCs w:val="14"/>
          <w:color w:val="55565A"/>
        </w:rPr>
        <w:t>Helps assess our ability, over the long term, to create</w:t>
      </w:r>
      <w:r>
        <w:rPr>
          <w:sz w:val="20"/>
          <w:szCs w:val="20"/>
          <w:color w:val="auto"/>
        </w:rPr>
        <w:tab/>
      </w:r>
      <w:r>
        <w:rPr>
          <w:rFonts w:ascii="Arial" w:cs="Arial" w:eastAsia="Arial" w:hAnsi="Arial"/>
          <w:sz w:val="14"/>
          <w:szCs w:val="14"/>
          <w:color w:val="55565A"/>
        </w:rPr>
        <w:t>Net cash provided by operating activities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5565A"/>
        </w:rPr>
        <w:t>value for our shareholders as it represents cash</w:t>
      </w:r>
    </w:p>
    <w:p>
      <w:pPr>
        <w:spacing w:after="0"/>
        <w:rPr>
          <w:sz w:val="20"/>
          <w:szCs w:val="20"/>
          <w:color w:val="auto"/>
        </w:rPr>
      </w:pPr>
      <w:r>
        <w:rPr>
          <w:rFonts w:ascii="Arial" w:cs="Arial" w:eastAsia="Arial" w:hAnsi="Arial"/>
          <w:sz w:val="14"/>
          <w:szCs w:val="14"/>
          <w:color w:val="55565A"/>
        </w:rPr>
        <w:t>available to repay debt, pay common dividends and</w:t>
      </w:r>
    </w:p>
    <w:p>
      <w:pPr>
        <w:spacing w:after="0"/>
        <w:rPr>
          <w:sz w:val="20"/>
          <w:szCs w:val="20"/>
          <w:color w:val="auto"/>
        </w:rPr>
      </w:pPr>
      <w:r>
        <w:rPr>
          <w:rFonts w:ascii="Arial" w:cs="Arial" w:eastAsia="Arial" w:hAnsi="Arial"/>
          <w:sz w:val="14"/>
          <w:szCs w:val="14"/>
          <w:color w:val="55565A"/>
        </w:rPr>
        <w:t>fund share repurchases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115570</wp:posOffset>
            </wp:positionV>
            <wp:extent cx="6929755" cy="2209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360"/>
            <w:col w:w="6960"/>
          </w:cols>
          <w:pgMar w:left="320" w:top="454" w:right="499" w:bottom="1440" w:gutter="0" w:footer="0" w:header="0"/>
          <w:type w:val="continuous"/>
        </w:sectPr>
      </w:pPr>
    </w:p>
    <w:p>
      <w:pPr>
        <w:spacing w:after="0" w:line="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Changes before the impact of foreign currency or at “constant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69297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120" w:lineRule="exact"/>
        <w:rPr>
          <w:sz w:val="20"/>
          <w:szCs w:val="20"/>
          <w:color w:val="auto"/>
        </w:rPr>
      </w:pPr>
    </w:p>
    <w:p>
      <w:pPr>
        <w:ind w:left="280"/>
        <w:spacing w:after="0" w:line="281" w:lineRule="auto"/>
        <w:rPr>
          <w:sz w:val="20"/>
          <w:szCs w:val="20"/>
          <w:color w:val="auto"/>
        </w:rPr>
      </w:pPr>
      <w:r>
        <w:rPr>
          <w:rFonts w:ascii="Arial" w:cs="Arial" w:eastAsia="Arial" w:hAnsi="Arial"/>
          <w:sz w:val="14"/>
          <w:szCs w:val="14"/>
          <w:color w:val="55565A"/>
        </w:rPr>
        <w:t>Applicable measures where changes are reported before the impact of foreign currency or at “constant currency”</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4"/>
          <w:szCs w:val="14"/>
          <w:color w:val="55565A"/>
        </w:rPr>
        <w:t>IFRS Measures:</w:t>
      </w:r>
    </w:p>
    <w:p>
      <w:pPr>
        <w:ind w:left="280"/>
        <w:spacing w:after="0" w:line="213"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Revenues</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Operating expenses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4"/>
          <w:szCs w:val="14"/>
          <w:color w:val="55565A"/>
        </w:rPr>
        <w:t>Non-IFRS Measures and ratios:</w:t>
      </w:r>
    </w:p>
    <w:p>
      <w:pPr>
        <w:spacing w:after="0" w:line="4" w:lineRule="exact"/>
        <w:rPr>
          <w:sz w:val="20"/>
          <w:szCs w:val="20"/>
          <w:color w:val="auto"/>
        </w:rPr>
      </w:pPr>
    </w:p>
    <w:p>
      <w:pPr>
        <w:ind w:left="280" w:right="400"/>
        <w:spacing w:after="0" w:line="235"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Adjusted EBITDA and adjusted EBITDA margin </w:t>
      </w: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Adjusted EPS</w:t>
      </w:r>
    </w:p>
    <w:p>
      <w:pPr>
        <w:spacing w:after="0" w:line="75" w:lineRule="exact"/>
        <w:rPr>
          <w:sz w:val="20"/>
          <w:szCs w:val="20"/>
          <w:color w:val="auto"/>
        </w:rPr>
      </w:pPr>
    </w:p>
    <w:p>
      <w:pPr>
        <w:ind w:left="280"/>
        <w:spacing w:after="0" w:line="245" w:lineRule="auto"/>
        <w:rPr>
          <w:sz w:val="20"/>
          <w:szCs w:val="20"/>
          <w:color w:val="auto"/>
        </w:rPr>
      </w:pPr>
      <w:r>
        <w:rPr>
          <w:rFonts w:ascii="Arial" w:cs="Arial" w:eastAsia="Arial" w:hAnsi="Arial"/>
          <w:sz w:val="14"/>
          <w:szCs w:val="14"/>
          <w:color w:val="55565A"/>
        </w:rPr>
        <w:t>Our reporting currency is the U.S. dollar. However, we conduct activities in currencies other than the U.S. dollar. We measure our performance before the impact of foreign currency (or at “constant currency” or excluding the effects of currency), which is determined by converting the current and equivalent prior period’s local currency results using the same foreign currency exchange rate.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281" w:lineRule="auto"/>
        <w:rPr>
          <w:sz w:val="20"/>
          <w:szCs w:val="20"/>
          <w:color w:val="auto"/>
        </w:rPr>
      </w:pPr>
      <w:r>
        <w:rPr>
          <w:rFonts w:ascii="Arial" w:cs="Arial" w:eastAsia="Arial" w:hAnsi="Arial"/>
          <w:sz w:val="14"/>
          <w:szCs w:val="14"/>
          <w:color w:val="55565A"/>
        </w:rPr>
        <w:t>Provides better comparability of business trends from period to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1643380</wp:posOffset>
            </wp:positionV>
            <wp:extent cx="69297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1762125</wp:posOffset>
            </wp:positionV>
            <wp:extent cx="69297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both"/>
        <w:ind w:right="140"/>
        <w:spacing w:after="0" w:line="260" w:lineRule="auto"/>
        <w:rPr>
          <w:sz w:val="20"/>
          <w:szCs w:val="20"/>
          <w:color w:val="auto"/>
        </w:rPr>
      </w:pPr>
      <w:r>
        <w:rPr>
          <w:rFonts w:ascii="Arial" w:cs="Arial" w:eastAsia="Arial" w:hAnsi="Arial"/>
          <w:sz w:val="14"/>
          <w:szCs w:val="14"/>
          <w:color w:val="55565A"/>
        </w:rPr>
        <w:t>For each non-IFRS measure and ratio, refer to the definitions above for the most directly comparable IFRS measure.</w:t>
      </w:r>
    </w:p>
    <w:p>
      <w:pPr>
        <w:spacing w:after="0" w:line="2636" w:lineRule="exact"/>
        <w:rPr>
          <w:sz w:val="20"/>
          <w:szCs w:val="20"/>
          <w:color w:val="auto"/>
        </w:rPr>
      </w:pPr>
    </w:p>
    <w:p>
      <w:pPr>
        <w:sectPr>
          <w:pgSz w:w="11900" w:h="16838" w:orient="portrait"/>
          <w:cols w:equalWidth="0" w:num="3">
            <w:col w:w="3860" w:space="260"/>
            <w:col w:w="3360" w:space="280"/>
            <w:col w:w="3320"/>
          </w:cols>
          <w:pgMar w:left="320" w:top="454" w:right="499" w:bottom="1440" w:gutter="0" w:footer="0" w:header="0"/>
          <w:type w:val="continuous"/>
        </w:sectPr>
      </w:pPr>
    </w:p>
    <w:p>
      <w:pPr>
        <w:spacing w:after="0" w:line="140"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24</w:t>
      </w:r>
    </w:p>
    <w:p>
      <w:pPr>
        <w:sectPr>
          <w:pgSz w:w="11900" w:h="16838" w:orient="portrait"/>
          <w:cols w:equalWidth="0" w:num="1">
            <w:col w:w="11080"/>
          </w:cols>
          <w:pgMar w:left="320" w:top="454" w:right="4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3760" w:type="dxa"/>
            <w:vAlign w:val="bottom"/>
            <w:tcBorders>
              <w:top w:val="single" w:sz="8" w:color="88888B"/>
            </w:tcBorders>
            <w:shd w:val="clear" w:color="auto" w:fill="D2D0CD"/>
          </w:tcPr>
          <w:p>
            <w:pPr>
              <w:spacing w:after="0"/>
              <w:rPr>
                <w:sz w:val="20"/>
                <w:szCs w:val="20"/>
                <w:color w:val="auto"/>
              </w:rPr>
            </w:pPr>
            <w:r>
              <w:rPr>
                <w:rFonts w:ascii="Arial" w:cs="Arial" w:eastAsia="Arial" w:hAnsi="Arial"/>
                <w:sz w:val="16"/>
                <w:szCs w:val="16"/>
                <w:b w:val="1"/>
                <w:bCs w:val="1"/>
                <w:color w:val="55565A"/>
              </w:rPr>
              <w:t>How We Define It</w:t>
            </w:r>
          </w:p>
        </w:tc>
        <w:tc>
          <w:tcPr>
            <w:tcW w:w="120" w:type="dxa"/>
            <w:vAlign w:val="bottom"/>
            <w:tcBorders>
              <w:top w:val="single" w:sz="8" w:color="D2D0CD"/>
            </w:tcBorders>
            <w:shd w:val="clear" w:color="auto" w:fill="D2D0CD"/>
          </w:tcPr>
          <w:p>
            <w:pPr>
              <w:spacing w:after="0"/>
              <w:rPr>
                <w:sz w:val="20"/>
                <w:szCs w:val="20"/>
                <w:color w:val="auto"/>
              </w:rPr>
            </w:pPr>
          </w:p>
        </w:tc>
        <w:tc>
          <w:tcPr>
            <w:tcW w:w="3340" w:type="dxa"/>
            <w:vAlign w:val="bottom"/>
            <w:tcBorders>
              <w:top w:val="single" w:sz="8" w:color="D2D0CD"/>
            </w:tcBorders>
            <w:shd w:val="clear" w:color="auto" w:fill="D2D0CD"/>
          </w:tcPr>
          <w:p>
            <w:pPr>
              <w:ind w:left="80"/>
              <w:spacing w:after="0"/>
              <w:rPr>
                <w:sz w:val="20"/>
                <w:szCs w:val="20"/>
                <w:color w:val="auto"/>
              </w:rPr>
            </w:pPr>
            <w:r>
              <w:rPr>
                <w:rFonts w:ascii="Arial" w:cs="Arial" w:eastAsia="Arial" w:hAnsi="Arial"/>
                <w:sz w:val="16"/>
                <w:szCs w:val="16"/>
                <w:b w:val="1"/>
                <w:bCs w:val="1"/>
                <w:color w:val="55565A"/>
              </w:rPr>
              <w:t>Why We Use It and Why It Is Useful to</w:t>
            </w:r>
          </w:p>
        </w:tc>
        <w:tc>
          <w:tcPr>
            <w:tcW w:w="3700" w:type="dxa"/>
            <w:vAlign w:val="bottom"/>
            <w:tcBorders>
              <w:top w:val="single" w:sz="8" w:color="D2D0CD"/>
            </w:tcBorders>
            <w:shd w:val="clear" w:color="auto" w:fill="D2D0CD"/>
          </w:tcPr>
          <w:p>
            <w:pPr>
              <w:ind w:left="380"/>
              <w:spacing w:after="0"/>
              <w:rPr>
                <w:sz w:val="20"/>
                <w:szCs w:val="20"/>
                <w:color w:val="auto"/>
              </w:rPr>
            </w:pPr>
            <w:r>
              <w:rPr>
                <w:rFonts w:ascii="Arial" w:cs="Arial" w:eastAsia="Arial" w:hAnsi="Arial"/>
                <w:sz w:val="16"/>
                <w:szCs w:val="16"/>
                <w:b w:val="1"/>
                <w:bCs w:val="1"/>
                <w:color w:val="55565A"/>
              </w:rPr>
              <w:t>Most Directly Comparable</w:t>
            </w:r>
          </w:p>
        </w:tc>
      </w:tr>
      <w:tr>
        <w:trPr>
          <w:trHeight w:val="235"/>
        </w:trPr>
        <w:tc>
          <w:tcPr>
            <w:tcW w:w="3760" w:type="dxa"/>
            <w:vAlign w:val="bottom"/>
            <w:tcBorders>
              <w:bottom w:val="single" w:sz="8" w:color="D2D0CD"/>
            </w:tcBorders>
            <w:shd w:val="clear" w:color="auto" w:fill="D2D0CD"/>
          </w:tcPr>
          <w:p>
            <w:pPr>
              <w:spacing w:after="0"/>
              <w:rPr>
                <w:sz w:val="20"/>
                <w:szCs w:val="20"/>
                <w:color w:val="auto"/>
              </w:rPr>
            </w:pPr>
          </w:p>
        </w:tc>
        <w:tc>
          <w:tcPr>
            <w:tcW w:w="120" w:type="dxa"/>
            <w:vAlign w:val="bottom"/>
            <w:tcBorders>
              <w:bottom w:val="single" w:sz="8" w:color="D2D0CD"/>
            </w:tcBorders>
            <w:shd w:val="clear" w:color="auto" w:fill="D2D0CD"/>
          </w:tcPr>
          <w:p>
            <w:pPr>
              <w:spacing w:after="0"/>
              <w:rPr>
                <w:sz w:val="20"/>
                <w:szCs w:val="20"/>
                <w:color w:val="auto"/>
              </w:rPr>
            </w:pPr>
          </w:p>
        </w:tc>
        <w:tc>
          <w:tcPr>
            <w:tcW w:w="3340" w:type="dxa"/>
            <w:vAlign w:val="bottom"/>
            <w:tcBorders>
              <w:bottom w:val="single" w:sz="8" w:color="D2D0CD"/>
            </w:tcBorders>
            <w:shd w:val="clear" w:color="auto" w:fill="D2D0CD"/>
          </w:tcPr>
          <w:p>
            <w:pPr>
              <w:ind w:left="80"/>
              <w:spacing w:after="0"/>
              <w:rPr>
                <w:sz w:val="20"/>
                <w:szCs w:val="20"/>
                <w:color w:val="auto"/>
              </w:rPr>
            </w:pPr>
            <w:r>
              <w:rPr>
                <w:rFonts w:ascii="Arial" w:cs="Arial" w:eastAsia="Arial" w:hAnsi="Arial"/>
                <w:sz w:val="16"/>
                <w:szCs w:val="16"/>
                <w:b w:val="1"/>
                <w:bCs w:val="1"/>
                <w:color w:val="55565A"/>
              </w:rPr>
              <w:t>Investors</w:t>
            </w:r>
          </w:p>
        </w:tc>
        <w:tc>
          <w:tcPr>
            <w:tcW w:w="3700" w:type="dxa"/>
            <w:vAlign w:val="bottom"/>
            <w:tcBorders>
              <w:bottom w:val="single" w:sz="8" w:color="D2D0CD"/>
            </w:tcBorders>
            <w:shd w:val="clear" w:color="auto" w:fill="D2D0CD"/>
          </w:tcPr>
          <w:p>
            <w:pPr>
              <w:ind w:left="380"/>
              <w:spacing w:after="0"/>
              <w:rPr>
                <w:sz w:val="20"/>
                <w:szCs w:val="20"/>
                <w:color w:val="auto"/>
              </w:rPr>
            </w:pPr>
            <w:r>
              <w:rPr>
                <w:rFonts w:ascii="Arial" w:cs="Arial" w:eastAsia="Arial" w:hAnsi="Arial"/>
                <w:sz w:val="16"/>
                <w:szCs w:val="16"/>
                <w:b w:val="1"/>
                <w:bCs w:val="1"/>
                <w:color w:val="55565A"/>
              </w:rPr>
              <w:t>IFRS Measure</w:t>
            </w:r>
          </w:p>
        </w:tc>
      </w:tr>
      <w:tr>
        <w:trPr>
          <w:trHeight w:val="266"/>
        </w:trPr>
        <w:tc>
          <w:tcPr>
            <w:tcW w:w="3880" w:type="dxa"/>
            <w:vAlign w:val="bottom"/>
            <w:gridSpan w:val="2"/>
            <w:shd w:val="clear" w:color="auto" w:fill="77777A"/>
          </w:tcPr>
          <w:p>
            <w:pPr>
              <w:ind w:left="120"/>
              <w:spacing w:after="0"/>
              <w:rPr>
                <w:sz w:val="20"/>
                <w:szCs w:val="20"/>
                <w:color w:val="auto"/>
              </w:rPr>
            </w:pPr>
            <w:r>
              <w:rPr>
                <w:rFonts w:ascii="Arial" w:cs="Arial" w:eastAsia="Arial" w:hAnsi="Arial"/>
                <w:sz w:val="14"/>
                <w:szCs w:val="14"/>
                <w:b w:val="1"/>
                <w:bCs w:val="1"/>
                <w:color w:val="FFFFFF"/>
              </w:rPr>
              <w:t>Changes in revenues computed on an “organic” basis</w:t>
            </w:r>
          </w:p>
        </w:tc>
        <w:tc>
          <w:tcPr>
            <w:tcW w:w="3340" w:type="dxa"/>
            <w:vAlign w:val="bottom"/>
            <w:shd w:val="clear" w:color="auto" w:fill="77777A"/>
          </w:tcPr>
          <w:p>
            <w:pPr>
              <w:spacing w:after="0"/>
              <w:rPr>
                <w:sz w:val="23"/>
                <w:szCs w:val="23"/>
                <w:color w:val="auto"/>
              </w:rPr>
            </w:pPr>
          </w:p>
        </w:tc>
        <w:tc>
          <w:tcPr>
            <w:tcW w:w="3700" w:type="dxa"/>
            <w:vAlign w:val="bottom"/>
            <w:shd w:val="clear" w:color="auto" w:fill="77777A"/>
          </w:tcPr>
          <w:p>
            <w:pPr>
              <w:spacing w:after="0"/>
              <w:rPr>
                <w:sz w:val="23"/>
                <w:szCs w:val="23"/>
                <w:color w:val="auto"/>
              </w:rPr>
            </w:pPr>
          </w:p>
        </w:tc>
      </w:tr>
      <w:tr>
        <w:trPr>
          <w:trHeight w:val="42"/>
        </w:trPr>
        <w:tc>
          <w:tcPr>
            <w:tcW w:w="3760" w:type="dxa"/>
            <w:vAlign w:val="bottom"/>
            <w:shd w:val="clear" w:color="auto" w:fill="77777A"/>
          </w:tcPr>
          <w:p>
            <w:pPr>
              <w:spacing w:after="0"/>
              <w:rPr>
                <w:sz w:val="3"/>
                <w:szCs w:val="3"/>
                <w:color w:val="auto"/>
              </w:rPr>
            </w:pPr>
          </w:p>
        </w:tc>
        <w:tc>
          <w:tcPr>
            <w:tcW w:w="120" w:type="dxa"/>
            <w:vAlign w:val="bottom"/>
            <w:shd w:val="clear" w:color="auto" w:fill="77777A"/>
          </w:tcPr>
          <w:p>
            <w:pPr>
              <w:spacing w:after="0"/>
              <w:rPr>
                <w:sz w:val="3"/>
                <w:szCs w:val="3"/>
                <w:color w:val="auto"/>
              </w:rPr>
            </w:pPr>
          </w:p>
        </w:tc>
        <w:tc>
          <w:tcPr>
            <w:tcW w:w="3340" w:type="dxa"/>
            <w:vAlign w:val="bottom"/>
            <w:shd w:val="clear" w:color="auto" w:fill="77777A"/>
          </w:tcPr>
          <w:p>
            <w:pPr>
              <w:spacing w:after="0"/>
              <w:rPr>
                <w:sz w:val="3"/>
                <w:szCs w:val="3"/>
                <w:color w:val="auto"/>
              </w:rPr>
            </w:pPr>
          </w:p>
        </w:tc>
        <w:tc>
          <w:tcPr>
            <w:tcW w:w="3700" w:type="dxa"/>
            <w:vAlign w:val="bottom"/>
            <w:shd w:val="clear" w:color="auto" w:fill="77777A"/>
          </w:tcPr>
          <w:p>
            <w:pPr>
              <w:spacing w:after="0"/>
              <w:rPr>
                <w:sz w:val="3"/>
                <w:szCs w:val="3"/>
                <w:color w:val="auto"/>
              </w:rPr>
            </w:pPr>
          </w:p>
        </w:tc>
      </w:tr>
    </w:tbl>
    <w:p>
      <w:pPr>
        <w:spacing w:after="0" w:line="1" w:lineRule="exact"/>
        <w:rPr>
          <w:sz w:val="20"/>
          <w:szCs w:val="20"/>
          <w:color w:val="auto"/>
        </w:rPr>
      </w:pPr>
    </w:p>
    <w:p>
      <w:pPr>
        <w:sectPr>
          <w:pgSz w:w="11900" w:h="16838" w:orient="portrait"/>
          <w:cols w:equalWidth="0" w:num="1">
            <w:col w:w="11080"/>
          </w:cols>
          <w:pgMar w:left="320" w:top="454" w:right="499" w:bottom="1440" w:gutter="0" w:footer="0" w:header="0"/>
        </w:sectPr>
      </w:pPr>
    </w:p>
    <w:p>
      <w:pPr>
        <w:spacing w:after="0" w:line="30" w:lineRule="exact"/>
        <w:rPr>
          <w:sz w:val="20"/>
          <w:szCs w:val="20"/>
          <w:color w:val="auto"/>
        </w:rPr>
      </w:pPr>
    </w:p>
    <w:p>
      <w:pPr>
        <w:ind w:left="280"/>
        <w:spacing w:after="0" w:line="253" w:lineRule="auto"/>
        <w:rPr>
          <w:sz w:val="20"/>
          <w:szCs w:val="20"/>
          <w:color w:val="auto"/>
        </w:rPr>
      </w:pPr>
      <w:r>
        <w:rPr>
          <w:rFonts w:ascii="Arial" w:cs="Arial" w:eastAsia="Arial" w:hAnsi="Arial"/>
          <w:sz w:val="14"/>
          <w:szCs w:val="14"/>
          <w:color w:val="55565A"/>
        </w:rPr>
        <w:t>Represent changes in revenues of our existing businesses at constant currency. The metric excludes the distortive impacts of acquisitions and dispositions from not owning the business in both comparable periods.</w:t>
      </w:r>
    </w:p>
    <w:p>
      <w:pPr>
        <w:spacing w:after="0" w:line="80" w:lineRule="exact"/>
        <w:rPr>
          <w:sz w:val="20"/>
          <w:szCs w:val="20"/>
          <w:color w:val="auto"/>
        </w:rPr>
      </w:pPr>
    </w:p>
    <w:p>
      <w:pPr>
        <w:ind w:left="480" w:right="60" w:hanging="213"/>
        <w:spacing w:after="0" w:line="235"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For acquisitions, we calculate organic growth as though we had owned the acquired business in both periods. We compare revenues for the acquired business for the period we owned the business to the same prior-year period revenues for that business, when we did not own it.</w:t>
      </w:r>
    </w:p>
    <w:p>
      <w:pPr>
        <w:spacing w:after="0" w:line="2" w:lineRule="exact"/>
        <w:rPr>
          <w:sz w:val="20"/>
          <w:szCs w:val="20"/>
          <w:color w:val="auto"/>
        </w:rPr>
      </w:pPr>
    </w:p>
    <w:p>
      <w:pPr>
        <w:jc w:val="both"/>
        <w:ind w:left="480" w:right="40" w:hanging="213"/>
        <w:spacing w:after="0" w:line="239" w:lineRule="auto"/>
        <w:rPr>
          <w:sz w:val="20"/>
          <w:szCs w:val="20"/>
          <w:color w:val="auto"/>
        </w:rPr>
      </w:pPr>
      <w:r>
        <w:rPr>
          <w:rFonts w:ascii="Times New Roman" w:cs="Times New Roman" w:eastAsia="Times New Roman" w:hAnsi="Times New Roman"/>
          <w:sz w:val="16"/>
          <w:szCs w:val="16"/>
          <w:color w:val="55565A"/>
          <w:vertAlign w:val="superscript"/>
        </w:rPr>
        <w:t>●</w:t>
      </w:r>
      <w:r>
        <w:rPr>
          <w:rFonts w:ascii="Arial" w:cs="Arial" w:eastAsia="Arial" w:hAnsi="Arial"/>
          <w:sz w:val="14"/>
          <w:szCs w:val="14"/>
          <w:color w:val="55565A"/>
        </w:rPr>
        <w:t xml:space="preserve">  For dispositions, we calculate organic growth only for the time we owned the business in the current period, compared to the same period in the prior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3560" w:type="dxa"/>
            <w:vAlign w:val="bottom"/>
          </w:tcPr>
          <w:p>
            <w:pPr>
              <w:spacing w:after="0"/>
              <w:rPr>
                <w:sz w:val="20"/>
                <w:szCs w:val="20"/>
                <w:color w:val="auto"/>
              </w:rPr>
            </w:pPr>
            <w:r>
              <w:rPr>
                <w:rFonts w:ascii="Arial" w:cs="Arial" w:eastAsia="Arial" w:hAnsi="Arial"/>
                <w:sz w:val="14"/>
                <w:szCs w:val="14"/>
                <w:color w:val="55565A"/>
              </w:rPr>
              <w:t>Provides further insight into the performance of our</w:t>
            </w:r>
          </w:p>
        </w:tc>
        <w:tc>
          <w:tcPr>
            <w:tcW w:w="720" w:type="dxa"/>
            <w:vAlign w:val="bottom"/>
          </w:tcPr>
          <w:p>
            <w:pPr>
              <w:ind w:left="80"/>
              <w:spacing w:after="0"/>
              <w:rPr>
                <w:sz w:val="20"/>
                <w:szCs w:val="20"/>
                <w:color w:val="auto"/>
              </w:rPr>
            </w:pPr>
            <w:r>
              <w:rPr>
                <w:rFonts w:ascii="Arial" w:cs="Arial" w:eastAsia="Arial" w:hAnsi="Arial"/>
                <w:sz w:val="14"/>
                <w:szCs w:val="14"/>
                <w:color w:val="55565A"/>
                <w:w w:val="98"/>
              </w:rPr>
              <w:t>Revenues</w:t>
            </w:r>
          </w:p>
        </w:tc>
      </w:tr>
      <w:tr>
        <w:trPr>
          <w:trHeight w:val="160"/>
        </w:trPr>
        <w:tc>
          <w:tcPr>
            <w:tcW w:w="3560" w:type="dxa"/>
            <w:vAlign w:val="bottom"/>
          </w:tcPr>
          <w:p>
            <w:pPr>
              <w:spacing w:after="0"/>
              <w:rPr>
                <w:sz w:val="20"/>
                <w:szCs w:val="20"/>
                <w:color w:val="auto"/>
              </w:rPr>
            </w:pPr>
            <w:r>
              <w:rPr>
                <w:rFonts w:ascii="Arial" w:cs="Arial" w:eastAsia="Arial" w:hAnsi="Arial"/>
                <w:sz w:val="14"/>
                <w:szCs w:val="14"/>
                <w:color w:val="55565A"/>
              </w:rPr>
              <w:t>existing businesses by excluding distortive impacts and</w:t>
            </w:r>
          </w:p>
        </w:tc>
        <w:tc>
          <w:tcPr>
            <w:tcW w:w="720" w:type="dxa"/>
            <w:vAlign w:val="bottom"/>
          </w:tcPr>
          <w:p>
            <w:pPr>
              <w:spacing w:after="0"/>
              <w:rPr>
                <w:sz w:val="13"/>
                <w:szCs w:val="13"/>
                <w:color w:val="auto"/>
              </w:rPr>
            </w:pPr>
          </w:p>
        </w:tc>
      </w:tr>
      <w:tr>
        <w:trPr>
          <w:trHeight w:val="160"/>
        </w:trPr>
        <w:tc>
          <w:tcPr>
            <w:tcW w:w="3560" w:type="dxa"/>
            <w:vAlign w:val="bottom"/>
          </w:tcPr>
          <w:p>
            <w:pPr>
              <w:spacing w:after="0"/>
              <w:rPr>
                <w:sz w:val="20"/>
                <w:szCs w:val="20"/>
                <w:color w:val="auto"/>
              </w:rPr>
            </w:pPr>
            <w:r>
              <w:rPr>
                <w:rFonts w:ascii="Arial" w:cs="Arial" w:eastAsia="Arial" w:hAnsi="Arial"/>
                <w:sz w:val="14"/>
                <w:szCs w:val="14"/>
                <w:color w:val="55565A"/>
              </w:rPr>
              <w:t>serves as a better measure of our ability to grow our</w:t>
            </w:r>
          </w:p>
        </w:tc>
        <w:tc>
          <w:tcPr>
            <w:tcW w:w="720" w:type="dxa"/>
            <w:vAlign w:val="bottom"/>
          </w:tcPr>
          <w:p>
            <w:pPr>
              <w:spacing w:after="0"/>
              <w:rPr>
                <w:sz w:val="13"/>
                <w:szCs w:val="13"/>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4"/>
                <w:szCs w:val="14"/>
                <w:color w:val="55565A"/>
              </w:rPr>
              <w:t>business over the long term.</w:t>
            </w:r>
          </w:p>
        </w:tc>
        <w:tc>
          <w:tcPr>
            <w:tcW w:w="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1100455</wp:posOffset>
            </wp:positionV>
            <wp:extent cx="6929755" cy="186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1763" w:lineRule="exact"/>
        <w:rPr>
          <w:sz w:val="20"/>
          <w:szCs w:val="20"/>
          <w:color w:val="auto"/>
        </w:rPr>
      </w:pPr>
    </w:p>
    <w:p>
      <w:pPr>
        <w:sectPr>
          <w:pgSz w:w="11900" w:h="16838" w:orient="portrait"/>
          <w:cols w:equalWidth="0" w:num="2">
            <w:col w:w="3900" w:space="220"/>
            <w:col w:w="6960"/>
          </w:cols>
          <w:pgMar w:left="320" w:top="454" w:right="499" w:bottom="1440" w:gutter="0" w:footer="0" w:header="0"/>
          <w:type w:val="continuous"/>
        </w:sectPr>
      </w:pPr>
    </w:p>
    <w:p>
      <w:pPr>
        <w:spacing w:after="0" w:line="40"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“Big 3”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106" w:lineRule="exact"/>
        <w:rPr>
          <w:sz w:val="20"/>
          <w:szCs w:val="20"/>
          <w:color w:val="auto"/>
        </w:rPr>
      </w:pPr>
    </w:p>
    <w:p>
      <w:pPr>
        <w:ind w:left="280"/>
        <w:spacing w:after="0" w:line="253" w:lineRule="auto"/>
        <w:rPr>
          <w:sz w:val="20"/>
          <w:szCs w:val="20"/>
          <w:color w:val="auto"/>
        </w:rPr>
      </w:pPr>
      <w:r>
        <w:rPr>
          <w:rFonts w:ascii="Arial" w:cs="Arial" w:eastAsia="Arial" w:hAnsi="Arial"/>
          <w:sz w:val="14"/>
          <w:szCs w:val="14"/>
          <w:color w:val="55565A"/>
        </w:rPr>
        <w:t>Our combined Legal Professionals, Corporates and Tax &amp; Accounting Professionals segments. All measures reported for the “Big 3” segments are non-IFRS financial measures.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5565A"/>
        </w:rPr>
        <w:t>The “Big 3” segments comprise approximately 80% of</w:t>
      </w:r>
      <w:r>
        <w:rPr>
          <w:sz w:val="20"/>
          <w:szCs w:val="20"/>
          <w:color w:val="auto"/>
        </w:rPr>
        <w:tab/>
      </w:r>
      <w:r>
        <w:rPr>
          <w:rFonts w:ascii="Arial" w:cs="Arial" w:eastAsia="Arial" w:hAnsi="Arial"/>
          <w:sz w:val="14"/>
          <w:szCs w:val="14"/>
          <w:color w:val="55565A"/>
        </w:rPr>
        <w:t>Revenues</w:t>
      </w:r>
    </w:p>
    <w:p>
      <w:pPr>
        <w:spacing w:after="0" w:line="13"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5565A"/>
        </w:rPr>
        <w:t>revenues and represent the core of our business</w:t>
      </w:r>
      <w:r>
        <w:rPr>
          <w:sz w:val="20"/>
          <w:szCs w:val="20"/>
          <w:color w:val="auto"/>
        </w:rPr>
        <w:tab/>
      </w:r>
      <w:r>
        <w:rPr>
          <w:rFonts w:ascii="Arial" w:cs="Arial" w:eastAsia="Arial" w:hAnsi="Arial"/>
          <w:sz w:val="14"/>
          <w:szCs w:val="14"/>
          <w:color w:val="55565A"/>
        </w:rPr>
        <w:t>Earnings from continuing operations</w:t>
      </w:r>
    </w:p>
    <w:p>
      <w:pPr>
        <w:spacing w:after="0"/>
        <w:rPr>
          <w:sz w:val="20"/>
          <w:szCs w:val="20"/>
          <w:color w:val="auto"/>
        </w:rPr>
      </w:pPr>
      <w:r>
        <w:rPr>
          <w:rFonts w:ascii="Arial" w:cs="Arial" w:eastAsia="Arial" w:hAnsi="Arial"/>
          <w:sz w:val="14"/>
          <w:szCs w:val="14"/>
          <w:color w:val="55565A"/>
        </w:rPr>
        <w:t>information service product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140970</wp:posOffset>
            </wp:positionV>
            <wp:extent cx="69297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259715</wp:posOffset>
            </wp:positionV>
            <wp:extent cx="69297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3920" w:space="200"/>
            <w:col w:w="6960"/>
          </w:cols>
          <w:pgMar w:left="320" w:top="454" w:right="499" w:bottom="1440" w:gutter="0" w:footer="0" w:header="0"/>
          <w:type w:val="continuous"/>
        </w:sectPr>
      </w:pPr>
    </w:p>
    <w:p>
      <w:pPr>
        <w:spacing w:after="0" w:line="134" w:lineRule="exact"/>
        <w:rPr>
          <w:sz w:val="20"/>
          <w:szCs w:val="20"/>
          <w:color w:val="auto"/>
        </w:rPr>
      </w:pPr>
    </w:p>
    <w:p>
      <w:pPr>
        <w:ind w:left="10580"/>
        <w:spacing w:after="0"/>
        <w:rPr>
          <w:sz w:val="20"/>
          <w:szCs w:val="20"/>
          <w:color w:val="auto"/>
        </w:rPr>
      </w:pPr>
      <w:r>
        <w:rPr>
          <w:rFonts w:ascii="Arial" w:cs="Arial" w:eastAsia="Arial" w:hAnsi="Arial"/>
          <w:sz w:val="13"/>
          <w:szCs w:val="13"/>
          <w:color w:val="55565A"/>
        </w:rPr>
        <w:t>Page 25</w:t>
      </w:r>
    </w:p>
    <w:p>
      <w:pPr>
        <w:sectPr>
          <w:pgSz w:w="11900" w:h="16838" w:orient="portrait"/>
          <w:cols w:equalWidth="0" w:num="1">
            <w:col w:w="11080"/>
          </w:cols>
          <w:pgMar w:left="320" w:top="454" w:right="4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Appendix B</w:t>
      </w:r>
    </w:p>
    <w:p>
      <w:pPr>
        <w:spacing w:after="0" w:line="121" w:lineRule="exact"/>
        <w:rPr>
          <w:sz w:val="20"/>
          <w:szCs w:val="20"/>
          <w:color w:val="auto"/>
        </w:rPr>
      </w:pPr>
    </w:p>
    <w:p>
      <w:pPr>
        <w:ind w:left="160" w:right="60"/>
        <w:spacing w:after="0" w:line="279" w:lineRule="auto"/>
        <w:rPr>
          <w:sz w:val="20"/>
          <w:szCs w:val="20"/>
          <w:color w:val="auto"/>
        </w:rPr>
      </w:pPr>
      <w:r>
        <w:rPr>
          <w:rFonts w:ascii="Arial" w:cs="Arial" w:eastAsia="Arial" w:hAnsi="Arial"/>
          <w:sz w:val="16"/>
          <w:szCs w:val="16"/>
          <w:color w:val="55565A"/>
        </w:rPr>
        <w:t>This appendix provides reconciliations of certain non-IFRS financial measures to the most directly comparable IFRS measure for the three months ended March 31, 2024 and 2023, and year ended December 31, 2023.</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Rounding</w:t>
      </w:r>
    </w:p>
    <w:p>
      <w:pPr>
        <w:spacing w:after="0" w:line="110"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55565A"/>
        </w:rPr>
        <w:t>Other than EPS, we report our results in millions of U.S. dollars, but we compute percentage changes and margins using whole dollars to be more precise. As a result, percentages and margins calculated from reported amounts may differ from those presented, and growth components may not total due to rounding.</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Reconciliation of earnings from continuing operations to adjusted EBITDA and adjusted EBITDA less accrued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162560</wp:posOffset>
            </wp:positionV>
            <wp:extent cx="69297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560" w:type="dxa"/>
            <w:vAlign w:val="bottom"/>
            <w:gridSpan w:val="2"/>
          </w:tcPr>
          <w:p>
            <w:pPr>
              <w:jc w:val="right"/>
              <w:ind w:right="489"/>
              <w:spacing w:after="0"/>
              <w:rPr>
                <w:sz w:val="20"/>
                <w:szCs w:val="20"/>
                <w:color w:val="auto"/>
              </w:rPr>
            </w:pPr>
            <w:r>
              <w:rPr>
                <w:rFonts w:ascii="Arial" w:cs="Arial" w:eastAsia="Arial" w:hAnsi="Arial"/>
                <w:sz w:val="14"/>
                <w:szCs w:val="14"/>
                <w:b w:val="1"/>
                <w:bCs w:val="1"/>
                <w:color w:val="55565A"/>
              </w:rPr>
              <w:t>Three months ended</w:t>
            </w:r>
          </w:p>
        </w:tc>
        <w:tc>
          <w:tcPr>
            <w:tcW w:w="1560" w:type="dxa"/>
            <w:vAlign w:val="bottom"/>
          </w:tcPr>
          <w:p>
            <w:pPr>
              <w:jc w:val="right"/>
              <w:ind w:right="309"/>
              <w:spacing w:after="0"/>
              <w:rPr>
                <w:sz w:val="20"/>
                <w:szCs w:val="20"/>
                <w:color w:val="auto"/>
              </w:rPr>
            </w:pPr>
            <w:r>
              <w:rPr>
                <w:rFonts w:ascii="Arial" w:cs="Arial" w:eastAsia="Arial" w:hAnsi="Arial"/>
                <w:sz w:val="14"/>
                <w:szCs w:val="14"/>
                <w:b w:val="1"/>
                <w:bCs w:val="1"/>
                <w:color w:val="55565A"/>
              </w:rPr>
              <w:t>Year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720" w:type="dxa"/>
            <w:vAlign w:val="bottom"/>
          </w:tcPr>
          <w:p>
            <w:pPr>
              <w:jc w:val="right"/>
              <w:ind w:right="29"/>
              <w:spacing w:after="0"/>
              <w:rPr>
                <w:sz w:val="20"/>
                <w:szCs w:val="20"/>
                <w:color w:val="auto"/>
              </w:rPr>
            </w:pPr>
            <w:r>
              <w:rPr>
                <w:rFonts w:ascii="Arial" w:cs="Arial" w:eastAsia="Arial" w:hAnsi="Arial"/>
                <w:sz w:val="14"/>
                <w:szCs w:val="14"/>
                <w:b w:val="1"/>
                <w:bCs w:val="1"/>
                <w:color w:val="55565A"/>
              </w:rPr>
              <w:t>March 31,</w:t>
            </w:r>
          </w:p>
        </w:tc>
        <w:tc>
          <w:tcPr>
            <w:tcW w:w="840" w:type="dxa"/>
            <w:vAlign w:val="bottom"/>
          </w:tcPr>
          <w:p>
            <w:pPr>
              <w:spacing w:after="0"/>
              <w:rPr>
                <w:sz w:val="16"/>
                <w:szCs w:val="16"/>
                <w:color w:val="auto"/>
              </w:rPr>
            </w:pPr>
          </w:p>
        </w:tc>
        <w:tc>
          <w:tcPr>
            <w:tcW w:w="1560" w:type="dxa"/>
            <w:vAlign w:val="bottom"/>
          </w:tcPr>
          <w:p>
            <w:pPr>
              <w:jc w:val="right"/>
              <w:ind w:right="229"/>
              <w:spacing w:after="0"/>
              <w:rPr>
                <w:sz w:val="20"/>
                <w:szCs w:val="20"/>
                <w:color w:val="auto"/>
              </w:rPr>
            </w:pPr>
            <w:r>
              <w:rPr>
                <w:rFonts w:ascii="Arial" w:cs="Arial" w:eastAsia="Arial" w:hAnsi="Arial"/>
                <w:sz w:val="14"/>
                <w:szCs w:val="14"/>
                <w:b w:val="1"/>
                <w:bCs w:val="1"/>
                <w:color w:val="55565A"/>
              </w:rPr>
              <w:t>December 31,</w:t>
            </w:r>
          </w:p>
        </w:tc>
        <w:tc>
          <w:tcPr>
            <w:tcW w:w="0" w:type="dxa"/>
            <w:vAlign w:val="bottom"/>
          </w:tcPr>
          <w:p>
            <w:pPr>
              <w:spacing w:after="0"/>
              <w:rPr>
                <w:sz w:val="1"/>
                <w:szCs w:val="1"/>
                <w:color w:val="auto"/>
              </w:rPr>
            </w:pPr>
          </w:p>
        </w:tc>
      </w:tr>
      <w:tr>
        <w:trPr>
          <w:trHeight w:val="308"/>
        </w:trPr>
        <w:tc>
          <w:tcPr>
            <w:tcW w:w="5800" w:type="dxa"/>
            <w:vAlign w:val="bottom"/>
            <w:gridSpan w:val="2"/>
          </w:tcPr>
          <w:p>
            <w:pPr>
              <w:spacing w:after="0"/>
              <w:rPr>
                <w:sz w:val="20"/>
                <w:szCs w:val="20"/>
                <w:color w:val="auto"/>
              </w:rPr>
            </w:pPr>
            <w:r>
              <w:rPr>
                <w:rFonts w:ascii="Arial" w:cs="Arial" w:eastAsia="Arial" w:hAnsi="Arial"/>
                <w:sz w:val="14"/>
                <w:szCs w:val="14"/>
                <w:b w:val="1"/>
                <w:bCs w:val="1"/>
                <w:color w:val="55565A"/>
              </w:rPr>
              <w:t>(millions of U.S. dollars, except margins)</w:t>
            </w:r>
          </w:p>
        </w:tc>
        <w:tc>
          <w:tcPr>
            <w:tcW w:w="2720" w:type="dxa"/>
            <w:vAlign w:val="bottom"/>
          </w:tcPr>
          <w:p>
            <w:pPr>
              <w:jc w:val="right"/>
              <w:ind w:right="649"/>
              <w:spacing w:after="0"/>
              <w:rPr>
                <w:sz w:val="20"/>
                <w:szCs w:val="20"/>
                <w:color w:val="auto"/>
              </w:rPr>
            </w:pPr>
            <w:r>
              <w:rPr>
                <w:rFonts w:ascii="Arial" w:cs="Arial" w:eastAsia="Arial" w:hAnsi="Arial"/>
                <w:sz w:val="14"/>
                <w:szCs w:val="14"/>
                <w:b w:val="1"/>
                <w:bCs w:val="1"/>
                <w:color w:val="55565A"/>
              </w:rPr>
              <w:t>2024</w:t>
            </w:r>
          </w:p>
        </w:tc>
        <w:tc>
          <w:tcPr>
            <w:tcW w:w="840" w:type="dxa"/>
            <w:vAlign w:val="bottom"/>
          </w:tcPr>
          <w:p>
            <w:pPr>
              <w:jc w:val="right"/>
              <w:ind w:right="289"/>
              <w:spacing w:after="0"/>
              <w:rPr>
                <w:sz w:val="20"/>
                <w:szCs w:val="20"/>
                <w:color w:val="auto"/>
              </w:rPr>
            </w:pPr>
            <w:r>
              <w:rPr>
                <w:rFonts w:ascii="Arial" w:cs="Arial" w:eastAsia="Arial" w:hAnsi="Arial"/>
                <w:sz w:val="14"/>
                <w:szCs w:val="14"/>
                <w:color w:val="55565A"/>
              </w:rPr>
              <w:t>2023</w:t>
            </w:r>
          </w:p>
        </w:tc>
        <w:tc>
          <w:tcPr>
            <w:tcW w:w="1560" w:type="dxa"/>
            <w:vAlign w:val="bottom"/>
          </w:tcPr>
          <w:p>
            <w:pPr>
              <w:jc w:val="right"/>
              <w:ind w:right="229"/>
              <w:spacing w:after="0"/>
              <w:rPr>
                <w:sz w:val="20"/>
                <w:szCs w:val="20"/>
                <w:color w:val="auto"/>
              </w:rPr>
            </w:pPr>
            <w:r>
              <w:rPr>
                <w:rFonts w:ascii="Arial" w:cs="Arial" w:eastAsia="Arial" w:hAnsi="Arial"/>
                <w:sz w:val="14"/>
                <w:szCs w:val="14"/>
                <w:color w:val="55565A"/>
              </w:rPr>
              <w:t>2023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Borders>
              <w:bottom w:val="single" w:sz="8" w:color="88888B"/>
            </w:tcBorders>
          </w:tcPr>
          <w:p>
            <w:pPr>
              <w:spacing w:after="0"/>
              <w:rPr>
                <w:sz w:val="8"/>
                <w:szCs w:val="8"/>
                <w:color w:val="auto"/>
              </w:rPr>
            </w:pPr>
          </w:p>
        </w:tc>
        <w:tc>
          <w:tcPr>
            <w:tcW w:w="2720" w:type="dxa"/>
            <w:vAlign w:val="bottom"/>
            <w:tcBorders>
              <w:bottom w:val="single" w:sz="8" w:color="88888B"/>
            </w:tcBorders>
          </w:tcPr>
          <w:p>
            <w:pPr>
              <w:spacing w:after="0"/>
              <w:rPr>
                <w:sz w:val="8"/>
                <w:szCs w:val="8"/>
                <w:color w:val="auto"/>
              </w:rPr>
            </w:pPr>
          </w:p>
        </w:tc>
        <w:tc>
          <w:tcPr>
            <w:tcW w:w="840" w:type="dxa"/>
            <w:vAlign w:val="bottom"/>
            <w:tcBorders>
              <w:bottom w:val="single" w:sz="8" w:color="88888B"/>
            </w:tcBorders>
          </w:tcPr>
          <w:p>
            <w:pPr>
              <w:spacing w:after="0"/>
              <w:rPr>
                <w:sz w:val="8"/>
                <w:szCs w:val="8"/>
                <w:color w:val="auto"/>
              </w:rPr>
            </w:pPr>
          </w:p>
        </w:tc>
        <w:tc>
          <w:tcPr>
            <w:tcW w:w="1560" w:type="dxa"/>
            <w:vAlign w:val="bottom"/>
            <w:tcBorders>
              <w:bottom w:val="single" w:sz="8" w:color="88888B"/>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Earnings from continuing operations</w:t>
            </w:r>
          </w:p>
        </w:tc>
        <w:tc>
          <w:tcPr>
            <w:tcW w:w="2720" w:type="dxa"/>
            <w:vAlign w:val="bottom"/>
            <w:shd w:val="clear" w:color="auto" w:fill="CCEEFF"/>
          </w:tcPr>
          <w:p>
            <w:pPr>
              <w:jc w:val="right"/>
              <w:ind w:right="649"/>
              <w:spacing w:after="0"/>
              <w:rPr>
                <w:sz w:val="20"/>
                <w:szCs w:val="20"/>
                <w:color w:val="auto"/>
              </w:rPr>
            </w:pPr>
            <w:r>
              <w:rPr>
                <w:rFonts w:ascii="Arial" w:cs="Arial" w:eastAsia="Arial" w:hAnsi="Arial"/>
                <w:sz w:val="14"/>
                <w:szCs w:val="14"/>
                <w:b w:val="1"/>
                <w:bCs w:val="1"/>
                <w:color w:val="55565A"/>
              </w:rPr>
              <w:t>464</w:t>
            </w:r>
          </w:p>
        </w:tc>
        <w:tc>
          <w:tcPr>
            <w:tcW w:w="8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737</w:t>
            </w:r>
          </w:p>
        </w:tc>
        <w:tc>
          <w:tcPr>
            <w:tcW w:w="15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2,646</w:t>
            </w:r>
          </w:p>
        </w:tc>
        <w:tc>
          <w:tcPr>
            <w:tcW w:w="0" w:type="dxa"/>
            <w:vAlign w:val="bottom"/>
          </w:tcPr>
          <w:p>
            <w:pPr>
              <w:spacing w:after="0"/>
              <w:rPr>
                <w:sz w:val="1"/>
                <w:szCs w:val="1"/>
                <w:color w:val="auto"/>
              </w:rPr>
            </w:pPr>
          </w:p>
        </w:tc>
      </w:tr>
      <w:tr>
        <w:trPr>
          <w:trHeight w:val="239"/>
        </w:trPr>
        <w:tc>
          <w:tcPr>
            <w:tcW w:w="5800" w:type="dxa"/>
            <w:vAlign w:val="bottom"/>
            <w:gridSpan w:val="2"/>
          </w:tcPr>
          <w:p>
            <w:pPr>
              <w:spacing w:after="0"/>
              <w:rPr>
                <w:sz w:val="20"/>
                <w:szCs w:val="20"/>
                <w:color w:val="auto"/>
              </w:rPr>
            </w:pPr>
            <w:r>
              <w:rPr>
                <w:rFonts w:ascii="Arial" w:cs="Arial" w:eastAsia="Arial" w:hAnsi="Arial"/>
                <w:sz w:val="14"/>
                <w:szCs w:val="14"/>
                <w:b w:val="1"/>
                <w:bCs w:val="1"/>
                <w:color w:val="55565A"/>
              </w:rPr>
              <w:t>Adjustments to remove:</w:t>
            </w:r>
          </w:p>
        </w:tc>
        <w:tc>
          <w:tcPr>
            <w:tcW w:w="2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7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ind w:left="100"/>
              <w:spacing w:after="0"/>
              <w:rPr>
                <w:sz w:val="20"/>
                <w:szCs w:val="20"/>
                <w:color w:val="auto"/>
              </w:rPr>
            </w:pPr>
            <w:r>
              <w:rPr>
                <w:rFonts w:ascii="Arial" w:cs="Arial" w:eastAsia="Arial" w:hAnsi="Arial"/>
                <w:sz w:val="14"/>
                <w:szCs w:val="14"/>
                <w:color w:val="55565A"/>
              </w:rPr>
              <w:t>Tax expense</w:t>
            </w:r>
          </w:p>
        </w:tc>
        <w:tc>
          <w:tcPr>
            <w:tcW w:w="2720" w:type="dxa"/>
            <w:vAlign w:val="bottom"/>
            <w:shd w:val="clear" w:color="auto" w:fill="CCEEFF"/>
          </w:tcPr>
          <w:p>
            <w:pPr>
              <w:jc w:val="right"/>
              <w:ind w:right="649"/>
              <w:spacing w:after="0"/>
              <w:rPr>
                <w:sz w:val="20"/>
                <w:szCs w:val="20"/>
                <w:color w:val="auto"/>
              </w:rPr>
            </w:pPr>
            <w:r>
              <w:rPr>
                <w:rFonts w:ascii="Arial" w:cs="Arial" w:eastAsia="Arial" w:hAnsi="Arial"/>
                <w:sz w:val="14"/>
                <w:szCs w:val="14"/>
                <w:b w:val="1"/>
                <w:bCs w:val="1"/>
                <w:color w:val="55565A"/>
              </w:rPr>
              <w:t>67</w:t>
            </w:r>
          </w:p>
        </w:tc>
        <w:tc>
          <w:tcPr>
            <w:tcW w:w="8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196</w:t>
            </w:r>
          </w:p>
        </w:tc>
        <w:tc>
          <w:tcPr>
            <w:tcW w:w="15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417</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80" w:type="dxa"/>
            <w:vAlign w:val="bottom"/>
          </w:tcPr>
          <w:p>
            <w:pPr>
              <w:ind w:left="100"/>
              <w:spacing w:after="0"/>
              <w:rPr>
                <w:sz w:val="20"/>
                <w:szCs w:val="20"/>
                <w:color w:val="auto"/>
              </w:rPr>
            </w:pPr>
            <w:r>
              <w:rPr>
                <w:rFonts w:ascii="Arial" w:cs="Arial" w:eastAsia="Arial" w:hAnsi="Arial"/>
                <w:sz w:val="14"/>
                <w:szCs w:val="14"/>
                <w:color w:val="55565A"/>
              </w:rPr>
              <w:t>Other finance (income) costs</w:t>
            </w:r>
          </w:p>
        </w:tc>
        <w:tc>
          <w:tcPr>
            <w:tcW w:w="2720" w:type="dxa"/>
            <w:vAlign w:val="bottom"/>
          </w:tcPr>
          <w:p>
            <w:pPr>
              <w:jc w:val="right"/>
              <w:ind w:right="649"/>
              <w:spacing w:after="0"/>
              <w:rPr>
                <w:sz w:val="20"/>
                <w:szCs w:val="20"/>
                <w:color w:val="auto"/>
              </w:rPr>
            </w:pPr>
            <w:r>
              <w:rPr>
                <w:rFonts w:ascii="Arial" w:cs="Arial" w:eastAsia="Arial" w:hAnsi="Arial"/>
                <w:sz w:val="14"/>
                <w:szCs w:val="14"/>
                <w:b w:val="1"/>
                <w:bCs w:val="1"/>
                <w:color w:val="55565A"/>
              </w:rPr>
              <w:t>(22)</w:t>
            </w:r>
          </w:p>
        </w:tc>
        <w:tc>
          <w:tcPr>
            <w:tcW w:w="840" w:type="dxa"/>
            <w:vAlign w:val="bottom"/>
          </w:tcPr>
          <w:p>
            <w:pPr>
              <w:jc w:val="right"/>
              <w:ind w:right="289"/>
              <w:spacing w:after="0"/>
              <w:rPr>
                <w:sz w:val="20"/>
                <w:szCs w:val="20"/>
                <w:color w:val="auto"/>
              </w:rPr>
            </w:pPr>
            <w:r>
              <w:rPr>
                <w:rFonts w:ascii="Arial" w:cs="Arial" w:eastAsia="Arial" w:hAnsi="Arial"/>
                <w:sz w:val="14"/>
                <w:szCs w:val="14"/>
                <w:color w:val="55565A"/>
              </w:rPr>
              <w:t>90</w:t>
            </w:r>
          </w:p>
        </w:tc>
        <w:tc>
          <w:tcPr>
            <w:tcW w:w="1560" w:type="dxa"/>
            <w:vAlign w:val="bottom"/>
          </w:tcPr>
          <w:p>
            <w:pPr>
              <w:jc w:val="right"/>
              <w:ind w:right="229"/>
              <w:spacing w:after="0"/>
              <w:rPr>
                <w:sz w:val="20"/>
                <w:szCs w:val="20"/>
                <w:color w:val="auto"/>
              </w:rPr>
            </w:pPr>
            <w:r>
              <w:rPr>
                <w:rFonts w:ascii="Arial" w:cs="Arial" w:eastAsia="Arial" w:hAnsi="Arial"/>
                <w:sz w:val="14"/>
                <w:szCs w:val="14"/>
                <w:color w:val="55565A"/>
              </w:rPr>
              <w:t>192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7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ind w:left="100"/>
              <w:spacing w:after="0"/>
              <w:rPr>
                <w:sz w:val="20"/>
                <w:szCs w:val="20"/>
                <w:color w:val="auto"/>
              </w:rPr>
            </w:pPr>
            <w:r>
              <w:rPr>
                <w:rFonts w:ascii="Arial" w:cs="Arial" w:eastAsia="Arial" w:hAnsi="Arial"/>
                <w:sz w:val="14"/>
                <w:szCs w:val="14"/>
                <w:color w:val="55565A"/>
              </w:rPr>
              <w:t>Net interest expense</w:t>
            </w:r>
          </w:p>
        </w:tc>
        <w:tc>
          <w:tcPr>
            <w:tcW w:w="2720" w:type="dxa"/>
            <w:vAlign w:val="bottom"/>
            <w:shd w:val="clear" w:color="auto" w:fill="CCEEFF"/>
          </w:tcPr>
          <w:p>
            <w:pPr>
              <w:jc w:val="right"/>
              <w:ind w:right="649"/>
              <w:spacing w:after="0"/>
              <w:rPr>
                <w:sz w:val="20"/>
                <w:szCs w:val="20"/>
                <w:color w:val="auto"/>
              </w:rPr>
            </w:pPr>
            <w:r>
              <w:rPr>
                <w:rFonts w:ascii="Arial" w:cs="Arial" w:eastAsia="Arial" w:hAnsi="Arial"/>
                <w:sz w:val="14"/>
                <w:szCs w:val="14"/>
                <w:b w:val="1"/>
                <w:bCs w:val="1"/>
                <w:color w:val="55565A"/>
              </w:rPr>
              <w:t>40</w:t>
            </w:r>
          </w:p>
        </w:tc>
        <w:tc>
          <w:tcPr>
            <w:tcW w:w="8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55</w:t>
            </w:r>
          </w:p>
        </w:tc>
        <w:tc>
          <w:tcPr>
            <w:tcW w:w="15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152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80" w:type="dxa"/>
            <w:vAlign w:val="bottom"/>
          </w:tcPr>
          <w:p>
            <w:pPr>
              <w:ind w:left="100"/>
              <w:spacing w:after="0"/>
              <w:rPr>
                <w:sz w:val="20"/>
                <w:szCs w:val="20"/>
                <w:color w:val="auto"/>
              </w:rPr>
            </w:pPr>
            <w:r>
              <w:rPr>
                <w:rFonts w:ascii="Arial" w:cs="Arial" w:eastAsia="Arial" w:hAnsi="Arial"/>
                <w:sz w:val="14"/>
                <w:szCs w:val="14"/>
                <w:color w:val="55565A"/>
              </w:rPr>
              <w:t>Amortization of other identifiable intangible assets</w:t>
            </w:r>
          </w:p>
        </w:tc>
        <w:tc>
          <w:tcPr>
            <w:tcW w:w="2720" w:type="dxa"/>
            <w:vAlign w:val="bottom"/>
          </w:tcPr>
          <w:p>
            <w:pPr>
              <w:jc w:val="right"/>
              <w:ind w:right="649"/>
              <w:spacing w:after="0"/>
              <w:rPr>
                <w:sz w:val="20"/>
                <w:szCs w:val="20"/>
                <w:color w:val="auto"/>
              </w:rPr>
            </w:pPr>
            <w:r>
              <w:rPr>
                <w:rFonts w:ascii="Arial" w:cs="Arial" w:eastAsia="Arial" w:hAnsi="Arial"/>
                <w:sz w:val="14"/>
                <w:szCs w:val="14"/>
                <w:b w:val="1"/>
                <w:bCs w:val="1"/>
                <w:color w:val="55565A"/>
              </w:rPr>
              <w:t>25</w:t>
            </w:r>
          </w:p>
        </w:tc>
        <w:tc>
          <w:tcPr>
            <w:tcW w:w="840" w:type="dxa"/>
            <w:vAlign w:val="bottom"/>
          </w:tcPr>
          <w:p>
            <w:pPr>
              <w:jc w:val="right"/>
              <w:ind w:right="289"/>
              <w:spacing w:after="0"/>
              <w:rPr>
                <w:sz w:val="20"/>
                <w:szCs w:val="20"/>
                <w:color w:val="auto"/>
              </w:rPr>
            </w:pPr>
            <w:r>
              <w:rPr>
                <w:rFonts w:ascii="Arial" w:cs="Arial" w:eastAsia="Arial" w:hAnsi="Arial"/>
                <w:sz w:val="14"/>
                <w:szCs w:val="14"/>
                <w:color w:val="55565A"/>
              </w:rPr>
              <w:t>25</w:t>
            </w:r>
          </w:p>
        </w:tc>
        <w:tc>
          <w:tcPr>
            <w:tcW w:w="1560" w:type="dxa"/>
            <w:vAlign w:val="bottom"/>
          </w:tcPr>
          <w:p>
            <w:pPr>
              <w:jc w:val="right"/>
              <w:ind w:right="229"/>
              <w:spacing w:after="0"/>
              <w:rPr>
                <w:sz w:val="20"/>
                <w:szCs w:val="20"/>
                <w:color w:val="auto"/>
              </w:rPr>
            </w:pPr>
            <w:r>
              <w:rPr>
                <w:rFonts w:ascii="Arial" w:cs="Arial" w:eastAsia="Arial" w:hAnsi="Arial"/>
                <w:sz w:val="14"/>
                <w:szCs w:val="14"/>
                <w:color w:val="55565A"/>
              </w:rPr>
              <w:t>97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7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ind w:left="100"/>
              <w:spacing w:after="0"/>
              <w:rPr>
                <w:sz w:val="20"/>
                <w:szCs w:val="20"/>
                <w:color w:val="auto"/>
              </w:rPr>
            </w:pPr>
            <w:r>
              <w:rPr>
                <w:rFonts w:ascii="Arial" w:cs="Arial" w:eastAsia="Arial" w:hAnsi="Arial"/>
                <w:sz w:val="14"/>
                <w:szCs w:val="14"/>
                <w:color w:val="55565A"/>
              </w:rPr>
              <w:t>Amortization of computer software</w:t>
            </w:r>
          </w:p>
        </w:tc>
        <w:tc>
          <w:tcPr>
            <w:tcW w:w="2720" w:type="dxa"/>
            <w:vAlign w:val="bottom"/>
            <w:shd w:val="clear" w:color="auto" w:fill="CCEEFF"/>
          </w:tcPr>
          <w:p>
            <w:pPr>
              <w:jc w:val="right"/>
              <w:ind w:right="649"/>
              <w:spacing w:after="0"/>
              <w:rPr>
                <w:sz w:val="20"/>
                <w:szCs w:val="20"/>
                <w:color w:val="auto"/>
              </w:rPr>
            </w:pPr>
            <w:r>
              <w:rPr>
                <w:rFonts w:ascii="Arial" w:cs="Arial" w:eastAsia="Arial" w:hAnsi="Arial"/>
                <w:sz w:val="14"/>
                <w:szCs w:val="14"/>
                <w:b w:val="1"/>
                <w:bCs w:val="1"/>
                <w:color w:val="55565A"/>
              </w:rPr>
              <w:t>153</w:t>
            </w:r>
          </w:p>
        </w:tc>
        <w:tc>
          <w:tcPr>
            <w:tcW w:w="8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118</w:t>
            </w:r>
          </w:p>
        </w:tc>
        <w:tc>
          <w:tcPr>
            <w:tcW w:w="15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512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80" w:type="dxa"/>
            <w:vAlign w:val="bottom"/>
          </w:tcPr>
          <w:p>
            <w:pPr>
              <w:ind w:left="100"/>
              <w:spacing w:after="0"/>
              <w:rPr>
                <w:sz w:val="20"/>
                <w:szCs w:val="20"/>
                <w:color w:val="auto"/>
              </w:rPr>
            </w:pPr>
            <w:r>
              <w:rPr>
                <w:rFonts w:ascii="Arial" w:cs="Arial" w:eastAsia="Arial" w:hAnsi="Arial"/>
                <w:sz w:val="14"/>
                <w:szCs w:val="14"/>
                <w:color w:val="55565A"/>
              </w:rPr>
              <w:t>Depreciation</w:t>
            </w:r>
          </w:p>
        </w:tc>
        <w:tc>
          <w:tcPr>
            <w:tcW w:w="2720" w:type="dxa"/>
            <w:vAlign w:val="bottom"/>
          </w:tcPr>
          <w:p>
            <w:pPr>
              <w:jc w:val="right"/>
              <w:ind w:right="649"/>
              <w:spacing w:after="0"/>
              <w:rPr>
                <w:sz w:val="20"/>
                <w:szCs w:val="20"/>
                <w:color w:val="auto"/>
              </w:rPr>
            </w:pPr>
            <w:r>
              <w:rPr>
                <w:rFonts w:ascii="Arial" w:cs="Arial" w:eastAsia="Arial" w:hAnsi="Arial"/>
                <w:sz w:val="14"/>
                <w:szCs w:val="14"/>
                <w:b w:val="1"/>
                <w:bCs w:val="1"/>
                <w:color w:val="55565A"/>
              </w:rPr>
              <w:t>28</w:t>
            </w:r>
          </w:p>
        </w:tc>
        <w:tc>
          <w:tcPr>
            <w:tcW w:w="840" w:type="dxa"/>
            <w:vAlign w:val="bottom"/>
          </w:tcPr>
          <w:p>
            <w:pPr>
              <w:jc w:val="right"/>
              <w:ind w:right="289"/>
              <w:spacing w:after="0"/>
              <w:rPr>
                <w:sz w:val="20"/>
                <w:szCs w:val="20"/>
                <w:color w:val="auto"/>
              </w:rPr>
            </w:pPr>
            <w:r>
              <w:rPr>
                <w:rFonts w:ascii="Arial" w:cs="Arial" w:eastAsia="Arial" w:hAnsi="Arial"/>
                <w:sz w:val="14"/>
                <w:szCs w:val="14"/>
                <w:color w:val="55565A"/>
              </w:rPr>
              <w:t>30</w:t>
            </w:r>
          </w:p>
        </w:tc>
        <w:tc>
          <w:tcPr>
            <w:tcW w:w="1560" w:type="dxa"/>
            <w:vAlign w:val="bottom"/>
          </w:tcPr>
          <w:p>
            <w:pPr>
              <w:jc w:val="right"/>
              <w:ind w:right="229"/>
              <w:spacing w:after="0"/>
              <w:rPr>
                <w:sz w:val="20"/>
                <w:szCs w:val="20"/>
                <w:color w:val="auto"/>
              </w:rPr>
            </w:pPr>
            <w:r>
              <w:rPr>
                <w:rFonts w:ascii="Arial" w:cs="Arial" w:eastAsia="Arial" w:hAnsi="Arial"/>
                <w:sz w:val="14"/>
                <w:szCs w:val="14"/>
                <w:color w:val="55565A"/>
              </w:rPr>
              <w:t>116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780" w:type="dxa"/>
            <w:vAlign w:val="bottom"/>
            <w:tcBorders>
              <w:bottom w:val="single" w:sz="8" w:color="88888B"/>
            </w:tcBorders>
          </w:tcPr>
          <w:p>
            <w:pPr>
              <w:spacing w:after="0"/>
              <w:rPr>
                <w:sz w:val="2"/>
                <w:szCs w:val="2"/>
                <w:color w:val="auto"/>
              </w:rPr>
            </w:pPr>
          </w:p>
        </w:tc>
        <w:tc>
          <w:tcPr>
            <w:tcW w:w="2720" w:type="dxa"/>
            <w:vAlign w:val="bottom"/>
            <w:tcBorders>
              <w:bottom w:val="single" w:sz="8" w:color="88888B"/>
            </w:tcBorders>
          </w:tcPr>
          <w:p>
            <w:pPr>
              <w:spacing w:after="0"/>
              <w:rPr>
                <w:sz w:val="2"/>
                <w:szCs w:val="2"/>
                <w:color w:val="auto"/>
              </w:rPr>
            </w:pPr>
          </w:p>
        </w:tc>
        <w:tc>
          <w:tcPr>
            <w:tcW w:w="840" w:type="dxa"/>
            <w:vAlign w:val="bottom"/>
            <w:tcBorders>
              <w:bottom w:val="single" w:sz="8" w:color="88888B"/>
            </w:tcBorders>
          </w:tcPr>
          <w:p>
            <w:pPr>
              <w:spacing w:after="0"/>
              <w:rPr>
                <w:sz w:val="2"/>
                <w:szCs w:val="2"/>
                <w:color w:val="auto"/>
              </w:rPr>
            </w:pPr>
          </w:p>
        </w:tc>
        <w:tc>
          <w:tcPr>
            <w:tcW w:w="156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EBITDA</w:t>
            </w:r>
          </w:p>
        </w:tc>
        <w:tc>
          <w:tcPr>
            <w:tcW w:w="2720" w:type="dxa"/>
            <w:vAlign w:val="bottom"/>
            <w:shd w:val="clear" w:color="auto" w:fill="CCEEFF"/>
          </w:tcPr>
          <w:p>
            <w:pPr>
              <w:jc w:val="right"/>
              <w:ind w:right="649"/>
              <w:spacing w:after="0"/>
              <w:rPr>
                <w:sz w:val="20"/>
                <w:szCs w:val="20"/>
                <w:color w:val="auto"/>
              </w:rPr>
            </w:pPr>
            <w:r>
              <w:rPr>
                <w:rFonts w:ascii="Arial" w:cs="Arial" w:eastAsia="Arial" w:hAnsi="Arial"/>
                <w:sz w:val="14"/>
                <w:szCs w:val="14"/>
                <w:b w:val="1"/>
                <w:bCs w:val="1"/>
                <w:color w:val="55565A"/>
              </w:rPr>
              <w:t>755</w:t>
            </w:r>
          </w:p>
        </w:tc>
        <w:tc>
          <w:tcPr>
            <w:tcW w:w="8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1,251</w:t>
            </w:r>
          </w:p>
        </w:tc>
        <w:tc>
          <w:tcPr>
            <w:tcW w:w="15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4,132</w:t>
            </w:r>
          </w:p>
        </w:tc>
        <w:tc>
          <w:tcPr>
            <w:tcW w:w="0" w:type="dxa"/>
            <w:vAlign w:val="bottom"/>
          </w:tcPr>
          <w:p>
            <w:pPr>
              <w:spacing w:after="0"/>
              <w:rPr>
                <w:sz w:val="1"/>
                <w:szCs w:val="1"/>
                <w:color w:val="auto"/>
              </w:rPr>
            </w:pPr>
          </w:p>
        </w:tc>
      </w:tr>
      <w:tr>
        <w:trPr>
          <w:trHeight w:val="239"/>
        </w:trPr>
        <w:tc>
          <w:tcPr>
            <w:tcW w:w="5800" w:type="dxa"/>
            <w:vAlign w:val="bottom"/>
            <w:gridSpan w:val="2"/>
          </w:tcPr>
          <w:p>
            <w:pPr>
              <w:spacing w:after="0"/>
              <w:rPr>
                <w:sz w:val="20"/>
                <w:szCs w:val="20"/>
                <w:color w:val="auto"/>
              </w:rPr>
            </w:pPr>
            <w:r>
              <w:rPr>
                <w:rFonts w:ascii="Arial" w:cs="Arial" w:eastAsia="Arial" w:hAnsi="Arial"/>
                <w:sz w:val="14"/>
                <w:szCs w:val="14"/>
                <w:b w:val="1"/>
                <w:bCs w:val="1"/>
                <w:color w:val="55565A"/>
              </w:rPr>
              <w:t>Adjustments to remove:</w:t>
            </w:r>
          </w:p>
        </w:tc>
        <w:tc>
          <w:tcPr>
            <w:tcW w:w="2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7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shd w:val="clear" w:color="auto" w:fill="CCEEFF"/>
          </w:tcPr>
          <w:p>
            <w:pPr>
              <w:ind w:left="100"/>
              <w:spacing w:after="0"/>
              <w:rPr>
                <w:sz w:val="20"/>
                <w:szCs w:val="20"/>
                <w:color w:val="auto"/>
              </w:rPr>
            </w:pPr>
            <w:r>
              <w:rPr>
                <w:rFonts w:ascii="Arial" w:cs="Arial" w:eastAsia="Arial" w:hAnsi="Arial"/>
                <w:sz w:val="14"/>
                <w:szCs w:val="14"/>
                <w:color w:val="55565A"/>
              </w:rPr>
              <w:t>Share of post-tax losses (earnings) in equity method investments</w:t>
            </w:r>
          </w:p>
        </w:tc>
        <w:tc>
          <w:tcPr>
            <w:tcW w:w="2720" w:type="dxa"/>
            <w:vAlign w:val="bottom"/>
            <w:shd w:val="clear" w:color="auto" w:fill="CCEEFF"/>
          </w:tcPr>
          <w:p>
            <w:pPr>
              <w:jc w:val="right"/>
              <w:ind w:right="649"/>
              <w:spacing w:after="0"/>
              <w:rPr>
                <w:sz w:val="20"/>
                <w:szCs w:val="20"/>
                <w:color w:val="auto"/>
              </w:rPr>
            </w:pPr>
            <w:r>
              <w:rPr>
                <w:rFonts w:ascii="Arial" w:cs="Arial" w:eastAsia="Arial" w:hAnsi="Arial"/>
                <w:sz w:val="14"/>
                <w:szCs w:val="14"/>
                <w:b w:val="1"/>
                <w:bCs w:val="1"/>
                <w:color w:val="55565A"/>
              </w:rPr>
              <w:t>8</w:t>
            </w:r>
          </w:p>
        </w:tc>
        <w:tc>
          <w:tcPr>
            <w:tcW w:w="8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(570)</w:t>
            </w:r>
          </w:p>
        </w:tc>
        <w:tc>
          <w:tcPr>
            <w:tcW w:w="15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(1,075)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80" w:type="dxa"/>
            <w:vAlign w:val="bottom"/>
          </w:tcPr>
          <w:p>
            <w:pPr>
              <w:ind w:left="100"/>
              <w:spacing w:after="0"/>
              <w:rPr>
                <w:sz w:val="20"/>
                <w:szCs w:val="20"/>
                <w:color w:val="auto"/>
              </w:rPr>
            </w:pPr>
            <w:r>
              <w:rPr>
                <w:rFonts w:ascii="Arial" w:cs="Arial" w:eastAsia="Arial" w:hAnsi="Arial"/>
                <w:sz w:val="14"/>
                <w:szCs w:val="14"/>
                <w:color w:val="55565A"/>
              </w:rPr>
              <w:t>Other operating losses (gains), net</w:t>
            </w:r>
          </w:p>
        </w:tc>
        <w:tc>
          <w:tcPr>
            <w:tcW w:w="2720" w:type="dxa"/>
            <w:vAlign w:val="bottom"/>
          </w:tcPr>
          <w:p>
            <w:pPr>
              <w:jc w:val="right"/>
              <w:ind w:right="649"/>
              <w:spacing w:after="0"/>
              <w:rPr>
                <w:sz w:val="20"/>
                <w:szCs w:val="20"/>
                <w:color w:val="auto"/>
              </w:rPr>
            </w:pPr>
            <w:r>
              <w:rPr>
                <w:rFonts w:ascii="Arial" w:cs="Arial" w:eastAsia="Arial" w:hAnsi="Arial"/>
                <w:sz w:val="14"/>
                <w:szCs w:val="14"/>
                <w:b w:val="1"/>
                <w:bCs w:val="1"/>
                <w:color w:val="55565A"/>
              </w:rPr>
              <w:t>41</w:t>
            </w:r>
          </w:p>
        </w:tc>
        <w:tc>
          <w:tcPr>
            <w:tcW w:w="840" w:type="dxa"/>
            <w:vAlign w:val="bottom"/>
          </w:tcPr>
          <w:p>
            <w:pPr>
              <w:jc w:val="right"/>
              <w:ind w:right="289"/>
              <w:spacing w:after="0"/>
              <w:rPr>
                <w:sz w:val="20"/>
                <w:szCs w:val="20"/>
                <w:color w:val="auto"/>
              </w:rPr>
            </w:pPr>
            <w:r>
              <w:rPr>
                <w:rFonts w:ascii="Arial" w:cs="Arial" w:eastAsia="Arial" w:hAnsi="Arial"/>
                <w:sz w:val="14"/>
                <w:szCs w:val="14"/>
                <w:color w:val="55565A"/>
              </w:rPr>
              <w:t>(17)</w:t>
            </w:r>
          </w:p>
        </w:tc>
        <w:tc>
          <w:tcPr>
            <w:tcW w:w="1560" w:type="dxa"/>
            <w:vAlign w:val="bottom"/>
          </w:tcPr>
          <w:p>
            <w:pPr>
              <w:jc w:val="right"/>
              <w:ind w:right="229"/>
              <w:spacing w:after="0"/>
              <w:rPr>
                <w:sz w:val="20"/>
                <w:szCs w:val="20"/>
                <w:color w:val="auto"/>
              </w:rPr>
            </w:pPr>
            <w:r>
              <w:rPr>
                <w:rFonts w:ascii="Arial" w:cs="Arial" w:eastAsia="Arial" w:hAnsi="Arial"/>
                <w:sz w:val="14"/>
                <w:szCs w:val="14"/>
                <w:color w:val="55565A"/>
              </w:rPr>
              <w:t>(397)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7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tcBorders>
              <w:bottom w:val="single" w:sz="8" w:color="88888B"/>
            </w:tcBorders>
            <w:shd w:val="clear" w:color="auto" w:fill="CCEEFF"/>
          </w:tcPr>
          <w:p>
            <w:pPr>
              <w:ind w:left="100"/>
              <w:spacing w:after="0" w:line="214" w:lineRule="exact"/>
              <w:rPr>
                <w:sz w:val="20"/>
                <w:szCs w:val="20"/>
                <w:color w:val="auto"/>
              </w:rPr>
            </w:pPr>
            <w:r>
              <w:rPr>
                <w:rFonts w:ascii="Arial" w:cs="Arial" w:eastAsia="Arial" w:hAnsi="Arial"/>
                <w:sz w:val="14"/>
                <w:szCs w:val="14"/>
                <w:color w:val="55565A"/>
              </w:rPr>
              <w:t>Fair value adjustments</w:t>
            </w:r>
            <w:r>
              <w:rPr>
                <w:rFonts w:ascii="Arial" w:cs="Arial" w:eastAsia="Arial" w:hAnsi="Arial"/>
                <w:sz w:val="21"/>
                <w:szCs w:val="21"/>
                <w:color w:val="55565A"/>
                <w:vertAlign w:val="superscript"/>
              </w:rPr>
              <w:t>(1)</w:t>
            </w:r>
          </w:p>
        </w:tc>
        <w:tc>
          <w:tcPr>
            <w:tcW w:w="2720" w:type="dxa"/>
            <w:vAlign w:val="bottom"/>
            <w:tcBorders>
              <w:bottom w:val="single" w:sz="8" w:color="88888B"/>
            </w:tcBorders>
            <w:shd w:val="clear" w:color="auto" w:fill="CCEEFF"/>
          </w:tcPr>
          <w:p>
            <w:pPr>
              <w:jc w:val="right"/>
              <w:ind w:right="649"/>
              <w:spacing w:after="0"/>
              <w:rPr>
                <w:sz w:val="20"/>
                <w:szCs w:val="20"/>
                <w:color w:val="auto"/>
              </w:rPr>
            </w:pPr>
            <w:r>
              <w:rPr>
                <w:rFonts w:ascii="Arial" w:cs="Arial" w:eastAsia="Arial" w:hAnsi="Arial"/>
                <w:sz w:val="14"/>
                <w:szCs w:val="14"/>
                <w:b w:val="1"/>
                <w:bCs w:val="1"/>
                <w:color w:val="55565A"/>
              </w:rPr>
              <w:t>2</w:t>
            </w:r>
          </w:p>
        </w:tc>
        <w:tc>
          <w:tcPr>
            <w:tcW w:w="840" w:type="dxa"/>
            <w:vAlign w:val="bottom"/>
            <w:tcBorders>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color w:val="55565A"/>
              </w:rPr>
              <w:t>13</w:t>
            </w:r>
          </w:p>
        </w:tc>
        <w:tc>
          <w:tcPr>
            <w:tcW w:w="156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18</w:t>
            </w:r>
          </w:p>
        </w:tc>
        <w:tc>
          <w:tcPr>
            <w:tcW w:w="0" w:type="dxa"/>
            <w:vAlign w:val="bottom"/>
          </w:tcPr>
          <w:p>
            <w:pPr>
              <w:spacing w:after="0"/>
              <w:rPr>
                <w:sz w:val="1"/>
                <w:szCs w:val="1"/>
                <w:color w:val="auto"/>
              </w:rPr>
            </w:pPr>
          </w:p>
        </w:tc>
      </w:tr>
      <w:tr>
        <w:trPr>
          <w:trHeight w:val="219"/>
        </w:trPr>
        <w:tc>
          <w:tcPr>
            <w:tcW w:w="5800" w:type="dxa"/>
            <w:vAlign w:val="bottom"/>
            <w:gridSpan w:val="2"/>
          </w:tcPr>
          <w:p>
            <w:pPr>
              <w:spacing w:after="0"/>
              <w:rPr>
                <w:sz w:val="20"/>
                <w:szCs w:val="20"/>
                <w:color w:val="auto"/>
              </w:rPr>
            </w:pPr>
            <w:r>
              <w:rPr>
                <w:rFonts w:ascii="Arial" w:cs="Arial" w:eastAsia="Arial" w:hAnsi="Arial"/>
                <w:sz w:val="14"/>
                <w:szCs w:val="14"/>
                <w:b w:val="1"/>
                <w:bCs w:val="1"/>
                <w:color w:val="55565A"/>
              </w:rPr>
              <w:t>Adjusted EBITDA</w:t>
            </w:r>
          </w:p>
        </w:tc>
        <w:tc>
          <w:tcPr>
            <w:tcW w:w="2720" w:type="dxa"/>
            <w:vAlign w:val="bottom"/>
          </w:tcPr>
          <w:p>
            <w:pPr>
              <w:jc w:val="right"/>
              <w:ind w:right="649"/>
              <w:spacing w:after="0"/>
              <w:rPr>
                <w:sz w:val="20"/>
                <w:szCs w:val="20"/>
                <w:color w:val="auto"/>
              </w:rPr>
            </w:pPr>
            <w:r>
              <w:rPr>
                <w:rFonts w:ascii="Arial" w:cs="Arial" w:eastAsia="Arial" w:hAnsi="Arial"/>
                <w:sz w:val="14"/>
                <w:szCs w:val="14"/>
                <w:b w:val="1"/>
                <w:bCs w:val="1"/>
                <w:color w:val="55565A"/>
              </w:rPr>
              <w:t>806</w:t>
            </w:r>
          </w:p>
        </w:tc>
        <w:tc>
          <w:tcPr>
            <w:tcW w:w="840" w:type="dxa"/>
            <w:vAlign w:val="bottom"/>
          </w:tcPr>
          <w:p>
            <w:pPr>
              <w:jc w:val="right"/>
              <w:ind w:right="289"/>
              <w:spacing w:after="0"/>
              <w:rPr>
                <w:sz w:val="20"/>
                <w:szCs w:val="20"/>
                <w:color w:val="auto"/>
              </w:rPr>
            </w:pPr>
            <w:r>
              <w:rPr>
                <w:rFonts w:ascii="Arial" w:cs="Arial" w:eastAsia="Arial" w:hAnsi="Arial"/>
                <w:sz w:val="14"/>
                <w:szCs w:val="14"/>
                <w:color w:val="55565A"/>
              </w:rPr>
              <w:t>677</w:t>
            </w:r>
          </w:p>
        </w:tc>
        <w:tc>
          <w:tcPr>
            <w:tcW w:w="1560" w:type="dxa"/>
            <w:vAlign w:val="bottom"/>
          </w:tcPr>
          <w:p>
            <w:pPr>
              <w:jc w:val="right"/>
              <w:ind w:right="229"/>
              <w:spacing w:after="0"/>
              <w:rPr>
                <w:sz w:val="20"/>
                <w:szCs w:val="20"/>
                <w:color w:val="auto"/>
              </w:rPr>
            </w:pPr>
            <w:r>
              <w:rPr>
                <w:rFonts w:ascii="Arial" w:cs="Arial" w:eastAsia="Arial" w:hAnsi="Arial"/>
                <w:sz w:val="14"/>
                <w:szCs w:val="14"/>
                <w:color w:val="55565A"/>
              </w:rPr>
              <w:t>2,678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7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80" w:type="dxa"/>
            <w:vAlign w:val="bottom"/>
            <w:tcBorders>
              <w:bottom w:val="single" w:sz="8" w:color="88888B"/>
            </w:tcBorders>
            <w:shd w:val="clear" w:color="auto" w:fill="CCEEFF"/>
          </w:tcPr>
          <w:p>
            <w:pPr>
              <w:ind w:left="100"/>
              <w:spacing w:after="0"/>
              <w:rPr>
                <w:sz w:val="20"/>
                <w:szCs w:val="20"/>
                <w:color w:val="auto"/>
              </w:rPr>
            </w:pPr>
            <w:r>
              <w:rPr>
                <w:rFonts w:ascii="Arial" w:cs="Arial" w:eastAsia="Arial" w:hAnsi="Arial"/>
                <w:sz w:val="14"/>
                <w:szCs w:val="14"/>
                <w:color w:val="55565A"/>
              </w:rPr>
              <w:t>Deduct: Accrued capital expenditures</w:t>
            </w:r>
          </w:p>
        </w:tc>
        <w:tc>
          <w:tcPr>
            <w:tcW w:w="2720" w:type="dxa"/>
            <w:vAlign w:val="bottom"/>
            <w:tcBorders>
              <w:bottom w:val="single" w:sz="8" w:color="88888B"/>
            </w:tcBorders>
            <w:shd w:val="clear" w:color="auto" w:fill="CCEEFF"/>
          </w:tcPr>
          <w:p>
            <w:pPr>
              <w:jc w:val="right"/>
              <w:ind w:right="649"/>
              <w:spacing w:after="0"/>
              <w:rPr>
                <w:sz w:val="20"/>
                <w:szCs w:val="20"/>
                <w:color w:val="auto"/>
              </w:rPr>
            </w:pPr>
            <w:r>
              <w:rPr>
                <w:rFonts w:ascii="Arial" w:cs="Arial" w:eastAsia="Arial" w:hAnsi="Arial"/>
                <w:sz w:val="14"/>
                <w:szCs w:val="14"/>
                <w:b w:val="1"/>
                <w:bCs w:val="1"/>
                <w:color w:val="55565A"/>
              </w:rPr>
              <w:t>(134)</w:t>
            </w:r>
          </w:p>
        </w:tc>
        <w:tc>
          <w:tcPr>
            <w:tcW w:w="840" w:type="dxa"/>
            <w:vAlign w:val="bottom"/>
            <w:tcBorders>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color w:val="55565A"/>
              </w:rPr>
              <w:t>(121)</w:t>
            </w:r>
          </w:p>
        </w:tc>
        <w:tc>
          <w:tcPr>
            <w:tcW w:w="156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(532)</w:t>
            </w:r>
          </w:p>
        </w:tc>
        <w:tc>
          <w:tcPr>
            <w:tcW w:w="0" w:type="dxa"/>
            <w:vAlign w:val="bottom"/>
          </w:tcPr>
          <w:p>
            <w:pPr>
              <w:spacing w:after="0"/>
              <w:rPr>
                <w:sz w:val="1"/>
                <w:szCs w:val="1"/>
                <w:color w:val="auto"/>
              </w:rPr>
            </w:pPr>
          </w:p>
        </w:tc>
      </w:tr>
      <w:tr>
        <w:trPr>
          <w:trHeight w:val="226"/>
        </w:trPr>
        <w:tc>
          <w:tcPr>
            <w:tcW w:w="5800" w:type="dxa"/>
            <w:vAlign w:val="bottom"/>
            <w:gridSpan w:val="2"/>
          </w:tcPr>
          <w:p>
            <w:pPr>
              <w:spacing w:after="0"/>
              <w:rPr>
                <w:sz w:val="20"/>
                <w:szCs w:val="20"/>
                <w:color w:val="auto"/>
              </w:rPr>
            </w:pPr>
            <w:r>
              <w:rPr>
                <w:rFonts w:ascii="Arial" w:cs="Arial" w:eastAsia="Arial" w:hAnsi="Arial"/>
                <w:sz w:val="14"/>
                <w:szCs w:val="14"/>
                <w:b w:val="1"/>
                <w:bCs w:val="1"/>
                <w:color w:val="55565A"/>
              </w:rPr>
              <w:t>Adjusted EBITDA less accrued capital expenditures</w:t>
            </w:r>
          </w:p>
        </w:tc>
        <w:tc>
          <w:tcPr>
            <w:tcW w:w="2720" w:type="dxa"/>
            <w:vAlign w:val="bottom"/>
          </w:tcPr>
          <w:p>
            <w:pPr>
              <w:jc w:val="right"/>
              <w:ind w:right="649"/>
              <w:spacing w:after="0"/>
              <w:rPr>
                <w:sz w:val="20"/>
                <w:szCs w:val="20"/>
                <w:color w:val="auto"/>
              </w:rPr>
            </w:pPr>
            <w:r>
              <w:rPr>
                <w:rFonts w:ascii="Arial" w:cs="Arial" w:eastAsia="Arial" w:hAnsi="Arial"/>
                <w:sz w:val="14"/>
                <w:szCs w:val="14"/>
                <w:b w:val="1"/>
                <w:bCs w:val="1"/>
                <w:color w:val="55565A"/>
              </w:rPr>
              <w:t>672</w:t>
            </w:r>
          </w:p>
        </w:tc>
        <w:tc>
          <w:tcPr>
            <w:tcW w:w="840" w:type="dxa"/>
            <w:vAlign w:val="bottom"/>
          </w:tcPr>
          <w:p>
            <w:pPr>
              <w:jc w:val="right"/>
              <w:ind w:right="289"/>
              <w:spacing w:after="0"/>
              <w:rPr>
                <w:sz w:val="20"/>
                <w:szCs w:val="20"/>
                <w:color w:val="auto"/>
              </w:rPr>
            </w:pPr>
            <w:r>
              <w:rPr>
                <w:rFonts w:ascii="Arial" w:cs="Arial" w:eastAsia="Arial" w:hAnsi="Arial"/>
                <w:sz w:val="14"/>
                <w:szCs w:val="14"/>
                <w:color w:val="55565A"/>
              </w:rPr>
              <w:t>556</w:t>
            </w:r>
          </w:p>
        </w:tc>
        <w:tc>
          <w:tcPr>
            <w:tcW w:w="1560" w:type="dxa"/>
            <w:vAlign w:val="bottom"/>
          </w:tcPr>
          <w:p>
            <w:pPr>
              <w:jc w:val="right"/>
              <w:ind w:right="229"/>
              <w:spacing w:after="0"/>
              <w:rPr>
                <w:sz w:val="20"/>
                <w:szCs w:val="20"/>
                <w:color w:val="auto"/>
              </w:rPr>
            </w:pPr>
            <w:r>
              <w:rPr>
                <w:rFonts w:ascii="Arial" w:cs="Arial" w:eastAsia="Arial" w:hAnsi="Arial"/>
                <w:sz w:val="14"/>
                <w:szCs w:val="14"/>
                <w:color w:val="55565A"/>
              </w:rPr>
              <w:t>2,146</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Adjusted EBITDA margin</w:t>
            </w:r>
          </w:p>
        </w:tc>
        <w:tc>
          <w:tcPr>
            <w:tcW w:w="2720" w:type="dxa"/>
            <w:vAlign w:val="bottom"/>
            <w:shd w:val="clear" w:color="auto" w:fill="CCEEFF"/>
          </w:tcPr>
          <w:p>
            <w:pPr>
              <w:jc w:val="right"/>
              <w:ind w:right="649"/>
              <w:spacing w:after="0"/>
              <w:rPr>
                <w:sz w:val="20"/>
                <w:szCs w:val="20"/>
                <w:color w:val="auto"/>
              </w:rPr>
            </w:pPr>
            <w:r>
              <w:rPr>
                <w:rFonts w:ascii="Arial" w:cs="Arial" w:eastAsia="Arial" w:hAnsi="Arial"/>
                <w:sz w:val="14"/>
                <w:szCs w:val="14"/>
                <w:b w:val="1"/>
                <w:bCs w:val="1"/>
                <w:color w:val="55565A"/>
              </w:rPr>
              <w:t>42.7%</w:t>
            </w:r>
          </w:p>
        </w:tc>
        <w:tc>
          <w:tcPr>
            <w:tcW w:w="8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38.8%</w:t>
            </w:r>
          </w:p>
        </w:tc>
        <w:tc>
          <w:tcPr>
            <w:tcW w:w="15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39.3%</w:t>
            </w:r>
          </w:p>
        </w:tc>
        <w:tc>
          <w:tcPr>
            <w:tcW w:w="0" w:type="dxa"/>
            <w:vAlign w:val="bottom"/>
          </w:tcPr>
          <w:p>
            <w:pPr>
              <w:spacing w:after="0"/>
              <w:rPr>
                <w:sz w:val="1"/>
                <w:szCs w:val="1"/>
                <w:color w:val="auto"/>
              </w:rPr>
            </w:pPr>
          </w:p>
        </w:tc>
      </w:tr>
      <w:tr>
        <w:trPr>
          <w:trHeight w:val="239"/>
        </w:trPr>
        <w:tc>
          <w:tcPr>
            <w:tcW w:w="5800" w:type="dxa"/>
            <w:vAlign w:val="bottom"/>
            <w:gridSpan w:val="2"/>
          </w:tcPr>
          <w:p>
            <w:pPr>
              <w:spacing w:after="0"/>
              <w:rPr>
                <w:sz w:val="20"/>
                <w:szCs w:val="20"/>
                <w:color w:val="auto"/>
              </w:rPr>
            </w:pPr>
            <w:r>
              <w:rPr>
                <w:rFonts w:ascii="Arial" w:cs="Arial" w:eastAsia="Arial" w:hAnsi="Arial"/>
                <w:sz w:val="14"/>
                <w:szCs w:val="14"/>
                <w:b w:val="1"/>
                <w:bCs w:val="1"/>
                <w:color w:val="55565A"/>
              </w:rPr>
              <w:t>Adjusted EBITDA less accrued capital expenditures margin</w:t>
            </w:r>
          </w:p>
        </w:tc>
        <w:tc>
          <w:tcPr>
            <w:tcW w:w="2720" w:type="dxa"/>
            <w:vAlign w:val="bottom"/>
          </w:tcPr>
          <w:p>
            <w:pPr>
              <w:jc w:val="right"/>
              <w:ind w:right="649"/>
              <w:spacing w:after="0"/>
              <w:rPr>
                <w:sz w:val="20"/>
                <w:szCs w:val="20"/>
                <w:color w:val="auto"/>
              </w:rPr>
            </w:pPr>
            <w:r>
              <w:rPr>
                <w:rFonts w:ascii="Arial" w:cs="Arial" w:eastAsia="Arial" w:hAnsi="Arial"/>
                <w:sz w:val="14"/>
                <w:szCs w:val="14"/>
                <w:b w:val="1"/>
                <w:bCs w:val="1"/>
                <w:color w:val="55565A"/>
              </w:rPr>
              <w:t>35.6%</w:t>
            </w:r>
          </w:p>
        </w:tc>
        <w:tc>
          <w:tcPr>
            <w:tcW w:w="840" w:type="dxa"/>
            <w:vAlign w:val="bottom"/>
          </w:tcPr>
          <w:p>
            <w:pPr>
              <w:jc w:val="right"/>
              <w:ind w:right="289"/>
              <w:spacing w:after="0"/>
              <w:rPr>
                <w:sz w:val="20"/>
                <w:szCs w:val="20"/>
                <w:color w:val="auto"/>
              </w:rPr>
            </w:pPr>
            <w:r>
              <w:rPr>
                <w:rFonts w:ascii="Arial" w:cs="Arial" w:eastAsia="Arial" w:hAnsi="Arial"/>
                <w:sz w:val="14"/>
                <w:szCs w:val="14"/>
                <w:color w:val="55565A"/>
              </w:rPr>
              <w:t>31.8%</w:t>
            </w:r>
          </w:p>
        </w:tc>
        <w:tc>
          <w:tcPr>
            <w:tcW w:w="1560" w:type="dxa"/>
            <w:vAlign w:val="bottom"/>
          </w:tcPr>
          <w:p>
            <w:pPr>
              <w:jc w:val="right"/>
              <w:ind w:right="229"/>
              <w:spacing w:after="0"/>
              <w:rPr>
                <w:sz w:val="20"/>
                <w:szCs w:val="20"/>
                <w:color w:val="auto"/>
              </w:rPr>
            </w:pPr>
            <w:r>
              <w:rPr>
                <w:rFonts w:ascii="Arial" w:cs="Arial" w:eastAsia="Arial" w:hAnsi="Arial"/>
                <w:sz w:val="14"/>
                <w:szCs w:val="14"/>
                <w:color w:val="55565A"/>
              </w:rPr>
              <w:t>31.5%</w:t>
            </w:r>
          </w:p>
        </w:tc>
        <w:tc>
          <w:tcPr>
            <w:tcW w:w="0" w:type="dxa"/>
            <w:vAlign w:val="bottom"/>
          </w:tcPr>
          <w:p>
            <w:pPr>
              <w:spacing w:after="0"/>
              <w:rPr>
                <w:sz w:val="1"/>
                <w:szCs w:val="1"/>
                <w:color w:val="auto"/>
              </w:rPr>
            </w:pPr>
          </w:p>
        </w:tc>
      </w:tr>
      <w:tr>
        <w:trPr>
          <w:trHeight w:val="28"/>
        </w:trPr>
        <w:tc>
          <w:tcPr>
            <w:tcW w:w="20" w:type="dxa"/>
            <w:vAlign w:val="bottom"/>
            <w:tcBorders>
              <w:bottom w:val="single" w:sz="8" w:color="55565A"/>
            </w:tcBorders>
          </w:tcPr>
          <w:p>
            <w:pPr>
              <w:spacing w:after="0"/>
              <w:rPr>
                <w:sz w:val="2"/>
                <w:szCs w:val="2"/>
                <w:color w:val="auto"/>
              </w:rPr>
            </w:pPr>
          </w:p>
        </w:tc>
        <w:tc>
          <w:tcPr>
            <w:tcW w:w="5780" w:type="dxa"/>
            <w:vAlign w:val="bottom"/>
            <w:tcBorders>
              <w:bottom w:val="single" w:sz="8" w:color="55565A"/>
            </w:tcBorders>
          </w:tcPr>
          <w:p>
            <w:pPr>
              <w:spacing w:after="0"/>
              <w:rPr>
                <w:sz w:val="2"/>
                <w:szCs w:val="2"/>
                <w:color w:val="auto"/>
              </w:rPr>
            </w:pPr>
          </w:p>
        </w:tc>
        <w:tc>
          <w:tcPr>
            <w:tcW w:w="2720" w:type="dxa"/>
            <w:vAlign w:val="bottom"/>
            <w:tcBorders>
              <w:bottom w:val="single" w:sz="8" w:color="55565A"/>
            </w:tcBorders>
          </w:tcPr>
          <w:p>
            <w:pPr>
              <w:spacing w:after="0"/>
              <w:rPr>
                <w:sz w:val="2"/>
                <w:szCs w:val="2"/>
                <w:color w:val="auto"/>
              </w:rPr>
            </w:pPr>
          </w:p>
        </w:tc>
        <w:tc>
          <w:tcPr>
            <w:tcW w:w="840" w:type="dxa"/>
            <w:vAlign w:val="bottom"/>
            <w:tcBorders>
              <w:bottom w:val="single" w:sz="8" w:color="55565A"/>
            </w:tcBorders>
          </w:tcPr>
          <w:p>
            <w:pPr>
              <w:spacing w:after="0"/>
              <w:rPr>
                <w:sz w:val="2"/>
                <w:szCs w:val="2"/>
                <w:color w:val="auto"/>
              </w:rPr>
            </w:pPr>
          </w:p>
        </w:tc>
        <w:tc>
          <w:tcPr>
            <w:tcW w:w="1560" w:type="dxa"/>
            <w:vAlign w:val="bottom"/>
            <w:tcBorders>
              <w:bottom w:val="single" w:sz="8" w:color="55565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80" w:right="480" w:hanging="313"/>
        <w:spacing w:after="0" w:line="279" w:lineRule="auto"/>
        <w:tabs>
          <w:tab w:leader="none" w:pos="480" w:val="left"/>
        </w:tabs>
        <w:numPr>
          <w:ilvl w:val="0"/>
          <w:numId w:val="23"/>
        </w:numPr>
        <w:rPr>
          <w:rFonts w:ascii="Arial" w:cs="Arial" w:eastAsia="Arial" w:hAnsi="Arial"/>
          <w:sz w:val="12"/>
          <w:szCs w:val="12"/>
          <w:color w:val="55565A"/>
        </w:rPr>
      </w:pPr>
      <w:r>
        <w:rPr>
          <w:rFonts w:ascii="Arial" w:cs="Arial" w:eastAsia="Arial" w:hAnsi="Arial"/>
          <w:sz w:val="12"/>
          <w:szCs w:val="12"/>
          <w:color w:val="55565A"/>
        </w:rPr>
        <w:t>Fair value adjustments primarily represent gains or losses due to changes in foreign currency exchange rates on intercompany balances that arise in the ordinary course of business, a component of operating expenses, as well as adjustments related to acquired deferred revenue.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Reconciliation of capital expenditures to accrued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162560</wp:posOffset>
            </wp:positionV>
            <wp:extent cx="69297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640" w:type="dxa"/>
            <w:vAlign w:val="bottom"/>
            <w:gridSpan w:val="2"/>
          </w:tcPr>
          <w:p>
            <w:pPr>
              <w:jc w:val="right"/>
              <w:ind w:right="509"/>
              <w:spacing w:after="0"/>
              <w:rPr>
                <w:sz w:val="20"/>
                <w:szCs w:val="20"/>
                <w:color w:val="auto"/>
              </w:rPr>
            </w:pPr>
            <w:r>
              <w:rPr>
                <w:rFonts w:ascii="Arial" w:cs="Arial" w:eastAsia="Arial" w:hAnsi="Arial"/>
                <w:sz w:val="14"/>
                <w:szCs w:val="14"/>
                <w:b w:val="1"/>
                <w:bCs w:val="1"/>
                <w:color w:val="55565A"/>
              </w:rPr>
              <w:t>Three months ended</w:t>
            </w:r>
          </w:p>
        </w:tc>
        <w:tc>
          <w:tcPr>
            <w:tcW w:w="1660" w:type="dxa"/>
            <w:vAlign w:val="bottom"/>
          </w:tcPr>
          <w:p>
            <w:pPr>
              <w:jc w:val="right"/>
              <w:ind w:right="409"/>
              <w:spacing w:after="0"/>
              <w:rPr>
                <w:sz w:val="20"/>
                <w:szCs w:val="20"/>
                <w:color w:val="auto"/>
              </w:rPr>
            </w:pPr>
            <w:r>
              <w:rPr>
                <w:rFonts w:ascii="Arial" w:cs="Arial" w:eastAsia="Arial" w:hAnsi="Arial"/>
                <w:sz w:val="14"/>
                <w:szCs w:val="14"/>
                <w:b w:val="1"/>
                <w:bCs w:val="1"/>
                <w:color w:val="55565A"/>
              </w:rPr>
              <w:t>Year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40" w:type="dxa"/>
            <w:vAlign w:val="bottom"/>
          </w:tcPr>
          <w:p>
            <w:pPr>
              <w:jc w:val="right"/>
              <w:ind w:right="889"/>
              <w:spacing w:after="0"/>
              <w:rPr>
                <w:sz w:val="20"/>
                <w:szCs w:val="20"/>
                <w:color w:val="auto"/>
              </w:rPr>
            </w:pPr>
            <w:r>
              <w:rPr>
                <w:rFonts w:ascii="Arial" w:cs="Arial" w:eastAsia="Arial" w:hAnsi="Arial"/>
                <w:sz w:val="14"/>
                <w:szCs w:val="14"/>
                <w:b w:val="1"/>
                <w:bCs w:val="1"/>
                <w:color w:val="55565A"/>
              </w:rPr>
              <w:t>March 31,</w:t>
            </w:r>
          </w:p>
        </w:tc>
        <w:tc>
          <w:tcPr>
            <w:tcW w:w="1660" w:type="dxa"/>
            <w:vAlign w:val="bottom"/>
          </w:tcPr>
          <w:p>
            <w:pPr>
              <w:jc w:val="right"/>
              <w:ind w:right="329"/>
              <w:spacing w:after="0"/>
              <w:rPr>
                <w:sz w:val="20"/>
                <w:szCs w:val="20"/>
                <w:color w:val="auto"/>
              </w:rPr>
            </w:pPr>
            <w:r>
              <w:rPr>
                <w:rFonts w:ascii="Arial" w:cs="Arial" w:eastAsia="Arial" w:hAnsi="Arial"/>
                <w:sz w:val="14"/>
                <w:szCs w:val="14"/>
                <w:b w:val="1"/>
                <w:bCs w:val="1"/>
                <w:color w:val="55565A"/>
              </w:rPr>
              <w:t>December 31,</w:t>
            </w:r>
          </w:p>
        </w:tc>
        <w:tc>
          <w:tcPr>
            <w:tcW w:w="0" w:type="dxa"/>
            <w:vAlign w:val="bottom"/>
          </w:tcPr>
          <w:p>
            <w:pPr>
              <w:spacing w:after="0"/>
              <w:rPr>
                <w:sz w:val="1"/>
                <w:szCs w:val="1"/>
                <w:color w:val="auto"/>
              </w:rPr>
            </w:pPr>
          </w:p>
        </w:tc>
      </w:tr>
      <w:tr>
        <w:trPr>
          <w:trHeight w:val="361"/>
        </w:trPr>
        <w:tc>
          <w:tcPr>
            <w:tcW w:w="5620" w:type="dxa"/>
            <w:vAlign w:val="bottom"/>
            <w:gridSpan w:val="2"/>
          </w:tcPr>
          <w:p>
            <w:pPr>
              <w:spacing w:after="0"/>
              <w:rPr>
                <w:sz w:val="20"/>
                <w:szCs w:val="20"/>
                <w:color w:val="auto"/>
              </w:rPr>
            </w:pPr>
            <w:r>
              <w:rPr>
                <w:rFonts w:ascii="Arial" w:cs="Arial" w:eastAsia="Arial" w:hAnsi="Arial"/>
                <w:sz w:val="14"/>
                <w:szCs w:val="14"/>
                <w:b w:val="1"/>
                <w:bCs w:val="1"/>
                <w:color w:val="55565A"/>
              </w:rPr>
              <w:t>(millions of U.S. dollars)</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55565A"/>
              </w:rPr>
              <w:t>2024</w:t>
            </w:r>
          </w:p>
        </w:tc>
        <w:tc>
          <w:tcPr>
            <w:tcW w:w="1640" w:type="dxa"/>
            <w:vAlign w:val="bottom"/>
          </w:tcPr>
          <w:p>
            <w:pPr>
              <w:jc w:val="right"/>
              <w:ind w:right="269"/>
              <w:spacing w:after="0"/>
              <w:rPr>
                <w:sz w:val="20"/>
                <w:szCs w:val="20"/>
                <w:color w:val="auto"/>
              </w:rPr>
            </w:pPr>
            <w:r>
              <w:rPr>
                <w:rFonts w:ascii="Arial" w:cs="Arial" w:eastAsia="Arial" w:hAnsi="Arial"/>
                <w:sz w:val="14"/>
                <w:szCs w:val="14"/>
                <w:color w:val="55565A"/>
              </w:rPr>
              <w:t>2023</w:t>
            </w:r>
          </w:p>
        </w:tc>
        <w:tc>
          <w:tcPr>
            <w:tcW w:w="1660" w:type="dxa"/>
            <w:vAlign w:val="bottom"/>
          </w:tcPr>
          <w:p>
            <w:pPr>
              <w:jc w:val="right"/>
              <w:ind w:right="309"/>
              <w:spacing w:after="0"/>
              <w:rPr>
                <w:sz w:val="20"/>
                <w:szCs w:val="20"/>
                <w:color w:val="auto"/>
              </w:rPr>
            </w:pPr>
            <w:r>
              <w:rPr>
                <w:rFonts w:ascii="Arial" w:cs="Arial" w:eastAsia="Arial" w:hAnsi="Arial"/>
                <w:sz w:val="14"/>
                <w:szCs w:val="14"/>
                <w:color w:val="55565A"/>
              </w:rPr>
              <w:t>2023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Borders>
              <w:bottom w:val="single" w:sz="8" w:color="88888B"/>
            </w:tcBorders>
          </w:tcPr>
          <w:p>
            <w:pPr>
              <w:spacing w:after="0"/>
              <w:rPr>
                <w:sz w:val="8"/>
                <w:szCs w:val="8"/>
                <w:color w:val="auto"/>
              </w:rPr>
            </w:pPr>
          </w:p>
        </w:tc>
        <w:tc>
          <w:tcPr>
            <w:tcW w:w="2000" w:type="dxa"/>
            <w:vAlign w:val="bottom"/>
            <w:tcBorders>
              <w:bottom w:val="single" w:sz="8" w:color="88888B"/>
            </w:tcBorders>
          </w:tcPr>
          <w:p>
            <w:pPr>
              <w:spacing w:after="0"/>
              <w:rPr>
                <w:sz w:val="8"/>
                <w:szCs w:val="8"/>
                <w:color w:val="auto"/>
              </w:rPr>
            </w:pPr>
          </w:p>
        </w:tc>
        <w:tc>
          <w:tcPr>
            <w:tcW w:w="1640" w:type="dxa"/>
            <w:vAlign w:val="bottom"/>
            <w:tcBorders>
              <w:bottom w:val="single" w:sz="8" w:color="88888B"/>
            </w:tcBorders>
          </w:tcPr>
          <w:p>
            <w:pPr>
              <w:spacing w:after="0"/>
              <w:rPr>
                <w:sz w:val="8"/>
                <w:szCs w:val="8"/>
                <w:color w:val="auto"/>
              </w:rPr>
            </w:pPr>
          </w:p>
        </w:tc>
        <w:tc>
          <w:tcPr>
            <w:tcW w:w="1660" w:type="dxa"/>
            <w:vAlign w:val="bottom"/>
            <w:tcBorders>
              <w:bottom w:val="single" w:sz="8" w:color="88888B"/>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Capital expenditures</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55565A"/>
              </w:rPr>
              <w:t>145</w:t>
            </w:r>
          </w:p>
        </w:tc>
        <w:tc>
          <w:tcPr>
            <w:tcW w:w="16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5565A"/>
              </w:rPr>
              <w:t>140</w:t>
            </w:r>
          </w:p>
        </w:tc>
        <w:tc>
          <w:tcPr>
            <w:tcW w:w="16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5565A"/>
              </w:rPr>
              <w:t>544</w:t>
            </w:r>
          </w:p>
        </w:tc>
        <w:tc>
          <w:tcPr>
            <w:tcW w:w="0" w:type="dxa"/>
            <w:vAlign w:val="bottom"/>
          </w:tcPr>
          <w:p>
            <w:pPr>
              <w:spacing w:after="0"/>
              <w:rPr>
                <w:sz w:val="1"/>
                <w:szCs w:val="1"/>
                <w:color w:val="auto"/>
              </w:rPr>
            </w:pPr>
          </w:p>
        </w:tc>
      </w:tr>
      <w:tr>
        <w:trPr>
          <w:trHeight w:val="239"/>
        </w:trPr>
        <w:tc>
          <w:tcPr>
            <w:tcW w:w="5620" w:type="dxa"/>
            <w:vAlign w:val="bottom"/>
            <w:gridSpan w:val="2"/>
          </w:tcPr>
          <w:p>
            <w:pPr>
              <w:spacing w:after="0"/>
              <w:rPr>
                <w:sz w:val="20"/>
                <w:szCs w:val="20"/>
                <w:color w:val="auto"/>
              </w:rPr>
            </w:pPr>
            <w:r>
              <w:rPr>
                <w:rFonts w:ascii="Arial" w:cs="Arial" w:eastAsia="Arial" w:hAnsi="Arial"/>
                <w:sz w:val="14"/>
                <w:szCs w:val="14"/>
                <w:color w:val="55565A"/>
              </w:rPr>
              <w:t>Remove: IFRS adjustment to cash basis</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55565A"/>
              </w:rPr>
              <w:t>(11)</w:t>
            </w:r>
          </w:p>
        </w:tc>
        <w:tc>
          <w:tcPr>
            <w:tcW w:w="1640" w:type="dxa"/>
            <w:vAlign w:val="bottom"/>
          </w:tcPr>
          <w:p>
            <w:pPr>
              <w:jc w:val="right"/>
              <w:ind w:right="269"/>
              <w:spacing w:after="0"/>
              <w:rPr>
                <w:sz w:val="20"/>
                <w:szCs w:val="20"/>
                <w:color w:val="auto"/>
              </w:rPr>
            </w:pPr>
            <w:r>
              <w:rPr>
                <w:rFonts w:ascii="Arial" w:cs="Arial" w:eastAsia="Arial" w:hAnsi="Arial"/>
                <w:sz w:val="14"/>
                <w:szCs w:val="14"/>
                <w:color w:val="55565A"/>
              </w:rPr>
              <w:t>(19)</w:t>
            </w:r>
          </w:p>
        </w:tc>
        <w:tc>
          <w:tcPr>
            <w:tcW w:w="1660" w:type="dxa"/>
            <w:vAlign w:val="bottom"/>
          </w:tcPr>
          <w:p>
            <w:pPr>
              <w:jc w:val="right"/>
              <w:ind w:right="309"/>
              <w:spacing w:after="0"/>
              <w:rPr>
                <w:sz w:val="20"/>
                <w:szCs w:val="20"/>
                <w:color w:val="auto"/>
              </w:rPr>
            </w:pPr>
            <w:r>
              <w:rPr>
                <w:rFonts w:ascii="Arial" w:cs="Arial" w:eastAsia="Arial" w:hAnsi="Arial"/>
                <w:sz w:val="14"/>
                <w:szCs w:val="14"/>
                <w:color w:val="55565A"/>
              </w:rPr>
              <w:t>(12)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0" w:type="dxa"/>
            <w:vAlign w:val="bottom"/>
            <w:tcBorders>
              <w:bottom w:val="single" w:sz="8" w:color="88888B"/>
            </w:tcBorders>
          </w:tcPr>
          <w:p>
            <w:pPr>
              <w:spacing w:after="0"/>
              <w:rPr>
                <w:sz w:val="2"/>
                <w:szCs w:val="2"/>
                <w:color w:val="auto"/>
              </w:rPr>
            </w:pPr>
          </w:p>
        </w:tc>
        <w:tc>
          <w:tcPr>
            <w:tcW w:w="2000" w:type="dxa"/>
            <w:vAlign w:val="bottom"/>
            <w:tcBorders>
              <w:bottom w:val="single" w:sz="8" w:color="88888B"/>
            </w:tcBorders>
          </w:tcPr>
          <w:p>
            <w:pPr>
              <w:spacing w:after="0"/>
              <w:rPr>
                <w:sz w:val="2"/>
                <w:szCs w:val="2"/>
                <w:color w:val="auto"/>
              </w:rPr>
            </w:pPr>
          </w:p>
        </w:tc>
        <w:tc>
          <w:tcPr>
            <w:tcW w:w="1640" w:type="dxa"/>
            <w:vAlign w:val="bottom"/>
            <w:tcBorders>
              <w:bottom w:val="single" w:sz="8" w:color="88888B"/>
            </w:tcBorders>
          </w:tcPr>
          <w:p>
            <w:pPr>
              <w:spacing w:after="0"/>
              <w:rPr>
                <w:sz w:val="2"/>
                <w:szCs w:val="2"/>
                <w:color w:val="auto"/>
              </w:rPr>
            </w:pPr>
          </w:p>
        </w:tc>
        <w:tc>
          <w:tcPr>
            <w:tcW w:w="166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6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b w:val="1"/>
                <w:bCs w:val="1"/>
                <w:color w:val="55565A"/>
              </w:rPr>
              <w:t>Accrued capital expenditures</w:t>
            </w:r>
          </w:p>
        </w:tc>
        <w:tc>
          <w:tcPr>
            <w:tcW w:w="200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4"/>
                <w:szCs w:val="14"/>
                <w:b w:val="1"/>
                <w:bCs w:val="1"/>
                <w:color w:val="55565A"/>
              </w:rPr>
              <w:t>134</w:t>
            </w:r>
          </w:p>
        </w:tc>
        <w:tc>
          <w:tcPr>
            <w:tcW w:w="1640" w:type="dxa"/>
            <w:vAlign w:val="bottom"/>
            <w:tcBorders>
              <w:bottom w:val="single" w:sz="8" w:color="88888B"/>
            </w:tcBorders>
            <w:shd w:val="clear" w:color="auto" w:fill="CCEEFF"/>
          </w:tcPr>
          <w:p>
            <w:pPr>
              <w:jc w:val="right"/>
              <w:ind w:right="269"/>
              <w:spacing w:after="0"/>
              <w:rPr>
                <w:sz w:val="20"/>
                <w:szCs w:val="20"/>
                <w:color w:val="auto"/>
              </w:rPr>
            </w:pPr>
            <w:r>
              <w:rPr>
                <w:rFonts w:ascii="Arial" w:cs="Arial" w:eastAsia="Arial" w:hAnsi="Arial"/>
                <w:sz w:val="14"/>
                <w:szCs w:val="14"/>
                <w:color w:val="55565A"/>
              </w:rPr>
              <w:t>121</w:t>
            </w:r>
          </w:p>
        </w:tc>
        <w:tc>
          <w:tcPr>
            <w:tcW w:w="1660" w:type="dxa"/>
            <w:vAlign w:val="bottom"/>
            <w:tcBorders>
              <w:bottom w:val="single" w:sz="8" w:color="88888B"/>
            </w:tcBorders>
            <w:shd w:val="clear" w:color="auto" w:fill="CCEEFF"/>
          </w:tcPr>
          <w:p>
            <w:pPr>
              <w:jc w:val="right"/>
              <w:ind w:right="309"/>
              <w:spacing w:after="0"/>
              <w:rPr>
                <w:sz w:val="20"/>
                <w:szCs w:val="20"/>
                <w:color w:val="auto"/>
              </w:rPr>
            </w:pPr>
            <w:r>
              <w:rPr>
                <w:rFonts w:ascii="Arial" w:cs="Arial" w:eastAsia="Arial" w:hAnsi="Arial"/>
                <w:sz w:val="14"/>
                <w:szCs w:val="14"/>
                <w:color w:val="55565A"/>
              </w:rPr>
              <w:t>532</w:t>
            </w:r>
          </w:p>
        </w:tc>
        <w:tc>
          <w:tcPr>
            <w:tcW w:w="0" w:type="dxa"/>
            <w:vAlign w:val="bottom"/>
          </w:tcPr>
          <w:p>
            <w:pPr>
              <w:spacing w:after="0"/>
              <w:rPr>
                <w:sz w:val="1"/>
                <w:szCs w:val="1"/>
                <w:color w:val="auto"/>
              </w:rPr>
            </w:pPr>
          </w:p>
        </w:tc>
      </w:tr>
      <w:tr>
        <w:trPr>
          <w:trHeight w:val="226"/>
        </w:trPr>
        <w:tc>
          <w:tcPr>
            <w:tcW w:w="5620" w:type="dxa"/>
            <w:vAlign w:val="bottom"/>
            <w:gridSpan w:val="2"/>
          </w:tcPr>
          <w:p>
            <w:pPr>
              <w:spacing w:after="0"/>
              <w:rPr>
                <w:sz w:val="20"/>
                <w:szCs w:val="20"/>
                <w:color w:val="auto"/>
              </w:rPr>
            </w:pPr>
            <w:r>
              <w:rPr>
                <w:rFonts w:ascii="Arial" w:cs="Arial" w:eastAsia="Arial" w:hAnsi="Arial"/>
                <w:sz w:val="14"/>
                <w:szCs w:val="14"/>
                <w:b w:val="1"/>
                <w:bCs w:val="1"/>
                <w:color w:val="55565A"/>
              </w:rPr>
              <w:t>Accrued capital expenditures as a percentage of revenues</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55565A"/>
              </w:rPr>
              <w:t>n/a</w:t>
            </w:r>
          </w:p>
        </w:tc>
        <w:tc>
          <w:tcPr>
            <w:tcW w:w="1640" w:type="dxa"/>
            <w:vAlign w:val="bottom"/>
          </w:tcPr>
          <w:p>
            <w:pPr>
              <w:jc w:val="right"/>
              <w:ind w:right="269"/>
              <w:spacing w:after="0"/>
              <w:rPr>
                <w:sz w:val="20"/>
                <w:szCs w:val="20"/>
                <w:color w:val="auto"/>
              </w:rPr>
            </w:pPr>
            <w:r>
              <w:rPr>
                <w:rFonts w:ascii="Arial" w:cs="Arial" w:eastAsia="Arial" w:hAnsi="Arial"/>
                <w:sz w:val="14"/>
                <w:szCs w:val="14"/>
                <w:color w:val="55565A"/>
              </w:rPr>
              <w:t>n/a</w:t>
            </w:r>
          </w:p>
        </w:tc>
        <w:tc>
          <w:tcPr>
            <w:tcW w:w="1660" w:type="dxa"/>
            <w:vAlign w:val="bottom"/>
          </w:tcPr>
          <w:p>
            <w:pPr>
              <w:jc w:val="right"/>
              <w:ind w:right="309"/>
              <w:spacing w:after="0"/>
              <w:rPr>
                <w:sz w:val="20"/>
                <w:szCs w:val="20"/>
                <w:color w:val="auto"/>
              </w:rPr>
            </w:pPr>
            <w:r>
              <w:rPr>
                <w:rFonts w:ascii="Arial" w:cs="Arial" w:eastAsia="Arial" w:hAnsi="Arial"/>
                <w:sz w:val="14"/>
                <w:szCs w:val="14"/>
                <w:color w:val="55565A"/>
              </w:rPr>
              <w:t>7.8%</w:t>
            </w:r>
          </w:p>
        </w:tc>
        <w:tc>
          <w:tcPr>
            <w:tcW w:w="0" w:type="dxa"/>
            <w:vAlign w:val="bottom"/>
          </w:tcPr>
          <w:p>
            <w:pPr>
              <w:spacing w:after="0"/>
              <w:rPr>
                <w:sz w:val="1"/>
                <w:szCs w:val="1"/>
                <w:color w:val="auto"/>
              </w:rPr>
            </w:pPr>
          </w:p>
        </w:tc>
      </w:tr>
      <w:tr>
        <w:trPr>
          <w:trHeight w:val="28"/>
        </w:trPr>
        <w:tc>
          <w:tcPr>
            <w:tcW w:w="20" w:type="dxa"/>
            <w:vAlign w:val="bottom"/>
            <w:tcBorders>
              <w:bottom w:val="single" w:sz="8" w:color="55565A"/>
            </w:tcBorders>
          </w:tcPr>
          <w:p>
            <w:pPr>
              <w:spacing w:after="0"/>
              <w:rPr>
                <w:sz w:val="2"/>
                <w:szCs w:val="2"/>
                <w:color w:val="auto"/>
              </w:rPr>
            </w:pPr>
          </w:p>
        </w:tc>
        <w:tc>
          <w:tcPr>
            <w:tcW w:w="5600" w:type="dxa"/>
            <w:vAlign w:val="bottom"/>
            <w:tcBorders>
              <w:bottom w:val="single" w:sz="8" w:color="55565A"/>
            </w:tcBorders>
          </w:tcPr>
          <w:p>
            <w:pPr>
              <w:spacing w:after="0"/>
              <w:rPr>
                <w:sz w:val="2"/>
                <w:szCs w:val="2"/>
                <w:color w:val="auto"/>
              </w:rPr>
            </w:pPr>
          </w:p>
        </w:tc>
        <w:tc>
          <w:tcPr>
            <w:tcW w:w="2000" w:type="dxa"/>
            <w:vAlign w:val="bottom"/>
            <w:tcBorders>
              <w:bottom w:val="single" w:sz="8" w:color="55565A"/>
            </w:tcBorders>
          </w:tcPr>
          <w:p>
            <w:pPr>
              <w:spacing w:after="0"/>
              <w:rPr>
                <w:sz w:val="2"/>
                <w:szCs w:val="2"/>
                <w:color w:val="auto"/>
              </w:rPr>
            </w:pPr>
          </w:p>
        </w:tc>
        <w:tc>
          <w:tcPr>
            <w:tcW w:w="1640" w:type="dxa"/>
            <w:vAlign w:val="bottom"/>
            <w:tcBorders>
              <w:bottom w:val="single" w:sz="8" w:color="55565A"/>
            </w:tcBorders>
          </w:tcPr>
          <w:p>
            <w:pPr>
              <w:spacing w:after="0"/>
              <w:rPr>
                <w:sz w:val="2"/>
                <w:szCs w:val="2"/>
                <w:color w:val="auto"/>
              </w:rPr>
            </w:pPr>
          </w:p>
        </w:tc>
        <w:tc>
          <w:tcPr>
            <w:tcW w:w="1660" w:type="dxa"/>
            <w:vAlign w:val="bottom"/>
            <w:tcBorders>
              <w:bottom w:val="single" w:sz="8" w:color="55565A"/>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0" w:type="dxa"/>
            <w:vAlign w:val="bottom"/>
            <w:tcBorders>
              <w:bottom w:val="single" w:sz="8" w:color="55565A"/>
            </w:tcBorders>
          </w:tcPr>
          <w:p>
            <w:pPr>
              <w:spacing w:after="0"/>
              <w:rPr>
                <w:sz w:val="14"/>
                <w:szCs w:val="14"/>
                <w:color w:val="auto"/>
              </w:rPr>
            </w:pPr>
          </w:p>
        </w:tc>
        <w:tc>
          <w:tcPr>
            <w:tcW w:w="2000" w:type="dxa"/>
            <w:vAlign w:val="bottom"/>
            <w:tcBorders>
              <w:bottom w:val="single" w:sz="8" w:color="55565A"/>
            </w:tcBorders>
          </w:tcPr>
          <w:p>
            <w:pPr>
              <w:spacing w:after="0"/>
              <w:rPr>
                <w:sz w:val="14"/>
                <w:szCs w:val="14"/>
                <w:color w:val="auto"/>
              </w:rPr>
            </w:pPr>
          </w:p>
        </w:tc>
        <w:tc>
          <w:tcPr>
            <w:tcW w:w="1640" w:type="dxa"/>
            <w:vAlign w:val="bottom"/>
            <w:tcBorders>
              <w:bottom w:val="single" w:sz="8" w:color="55565A"/>
            </w:tcBorders>
          </w:tcPr>
          <w:p>
            <w:pPr>
              <w:spacing w:after="0"/>
              <w:rPr>
                <w:sz w:val="14"/>
                <w:szCs w:val="14"/>
                <w:color w:val="auto"/>
              </w:rPr>
            </w:pPr>
          </w:p>
        </w:tc>
        <w:tc>
          <w:tcPr>
            <w:tcW w:w="1660" w:type="dxa"/>
            <w:vAlign w:val="bottom"/>
            <w:tcBorders>
              <w:bottom w:val="single" w:sz="8" w:color="55565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080"/>
          </w:cols>
          <w:pgMar w:left="320" w:top="454" w:right="499" w:bottom="1440" w:gutter="0" w:footer="0" w:header="0"/>
        </w:sectPr>
      </w:pPr>
    </w:p>
    <w:p>
      <w:pPr>
        <w:ind w:left="160"/>
        <w:spacing w:after="0"/>
        <w:rPr>
          <w:sz w:val="20"/>
          <w:szCs w:val="20"/>
          <w:color w:val="auto"/>
        </w:rPr>
      </w:pPr>
      <w:r>
        <w:rPr>
          <w:rFonts w:ascii="Arial" w:cs="Arial" w:eastAsia="Arial" w:hAnsi="Arial"/>
          <w:sz w:val="13"/>
          <w:szCs w:val="13"/>
          <w:color w:val="55565A"/>
        </w:rPr>
        <w:t>Page 26</w:t>
      </w:r>
    </w:p>
    <w:p>
      <w:pPr>
        <w:sectPr>
          <w:pgSz w:w="11900" w:h="16838" w:orient="portrait"/>
          <w:cols w:equalWidth="0" w:num="1">
            <w:col w:w="11080"/>
          </w:cols>
          <w:pgMar w:left="320" w:top="454" w:right="4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Reconciliation of net earnings to adjusted earnings and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162560</wp:posOffset>
            </wp:positionV>
            <wp:extent cx="69297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400" w:type="dxa"/>
            <w:vAlign w:val="bottom"/>
            <w:gridSpan w:val="2"/>
          </w:tcPr>
          <w:p>
            <w:pPr>
              <w:jc w:val="right"/>
              <w:ind w:right="469"/>
              <w:spacing w:after="0"/>
              <w:rPr>
                <w:sz w:val="20"/>
                <w:szCs w:val="20"/>
                <w:color w:val="auto"/>
              </w:rPr>
            </w:pPr>
            <w:r>
              <w:rPr>
                <w:rFonts w:ascii="Arial" w:cs="Arial" w:eastAsia="Arial" w:hAnsi="Arial"/>
                <w:sz w:val="14"/>
                <w:szCs w:val="14"/>
                <w:b w:val="1"/>
                <w:bCs w:val="1"/>
                <w:color w:val="55565A"/>
              </w:rPr>
              <w:t>Three months ended</w:t>
            </w:r>
          </w:p>
        </w:tc>
        <w:tc>
          <w:tcPr>
            <w:tcW w:w="1540" w:type="dxa"/>
            <w:vAlign w:val="bottom"/>
          </w:tcPr>
          <w:p>
            <w:pPr>
              <w:jc w:val="right"/>
              <w:ind w:right="289"/>
              <w:spacing w:after="0"/>
              <w:rPr>
                <w:sz w:val="20"/>
                <w:szCs w:val="20"/>
                <w:color w:val="auto"/>
              </w:rPr>
            </w:pPr>
            <w:r>
              <w:rPr>
                <w:rFonts w:ascii="Arial" w:cs="Arial" w:eastAsia="Arial" w:hAnsi="Arial"/>
                <w:sz w:val="14"/>
                <w:szCs w:val="14"/>
                <w:b w:val="1"/>
                <w:bCs w:val="1"/>
                <w:color w:val="55565A"/>
              </w:rPr>
              <w:t>Year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600" w:type="dxa"/>
            <w:vAlign w:val="bottom"/>
          </w:tcPr>
          <w:p>
            <w:pPr>
              <w:jc w:val="right"/>
              <w:ind w:right="29"/>
              <w:spacing w:after="0"/>
              <w:rPr>
                <w:sz w:val="20"/>
                <w:szCs w:val="20"/>
                <w:color w:val="auto"/>
              </w:rPr>
            </w:pPr>
            <w:r>
              <w:rPr>
                <w:rFonts w:ascii="Arial" w:cs="Arial" w:eastAsia="Arial" w:hAnsi="Arial"/>
                <w:sz w:val="14"/>
                <w:szCs w:val="14"/>
                <w:b w:val="1"/>
                <w:bCs w:val="1"/>
                <w:color w:val="55565A"/>
              </w:rPr>
              <w:t>March 31,</w:t>
            </w:r>
          </w:p>
        </w:tc>
        <w:tc>
          <w:tcPr>
            <w:tcW w:w="800" w:type="dxa"/>
            <w:vAlign w:val="bottom"/>
          </w:tcPr>
          <w:p>
            <w:pPr>
              <w:spacing w:after="0"/>
              <w:rPr>
                <w:sz w:val="16"/>
                <w:szCs w:val="16"/>
                <w:color w:val="auto"/>
              </w:rPr>
            </w:pPr>
          </w:p>
        </w:tc>
        <w:tc>
          <w:tcPr>
            <w:tcW w:w="1540" w:type="dxa"/>
            <w:vAlign w:val="bottom"/>
          </w:tcPr>
          <w:p>
            <w:pPr>
              <w:jc w:val="right"/>
              <w:ind w:right="209"/>
              <w:spacing w:after="0"/>
              <w:rPr>
                <w:sz w:val="20"/>
                <w:szCs w:val="20"/>
                <w:color w:val="auto"/>
              </w:rPr>
            </w:pPr>
            <w:r>
              <w:rPr>
                <w:rFonts w:ascii="Arial" w:cs="Arial" w:eastAsia="Arial" w:hAnsi="Arial"/>
                <w:sz w:val="14"/>
                <w:szCs w:val="14"/>
                <w:b w:val="1"/>
                <w:bCs w:val="1"/>
                <w:color w:val="55565A"/>
              </w:rPr>
              <w:t>December 31,</w:t>
            </w:r>
          </w:p>
        </w:tc>
        <w:tc>
          <w:tcPr>
            <w:tcW w:w="0" w:type="dxa"/>
            <w:vAlign w:val="bottom"/>
          </w:tcPr>
          <w:p>
            <w:pPr>
              <w:spacing w:after="0"/>
              <w:rPr>
                <w:sz w:val="1"/>
                <w:szCs w:val="1"/>
                <w:color w:val="auto"/>
              </w:rPr>
            </w:pPr>
          </w:p>
        </w:tc>
      </w:tr>
      <w:tr>
        <w:trPr>
          <w:trHeight w:val="361"/>
        </w:trPr>
        <w:tc>
          <w:tcPr>
            <w:tcW w:w="5980" w:type="dxa"/>
            <w:vAlign w:val="bottom"/>
            <w:gridSpan w:val="2"/>
          </w:tcPr>
          <w:p>
            <w:pPr>
              <w:spacing w:after="0"/>
              <w:rPr>
                <w:sz w:val="20"/>
                <w:szCs w:val="20"/>
                <w:color w:val="auto"/>
              </w:rPr>
            </w:pPr>
            <w:r>
              <w:rPr>
                <w:rFonts w:ascii="Arial" w:cs="Arial" w:eastAsia="Arial" w:hAnsi="Arial"/>
                <w:sz w:val="14"/>
                <w:szCs w:val="14"/>
                <w:b w:val="1"/>
                <w:bCs w:val="1"/>
                <w:color w:val="55565A"/>
              </w:rPr>
              <w:t>(millions of U.S. dollars, except per share amounts and share data)</w:t>
            </w:r>
          </w:p>
        </w:tc>
        <w:tc>
          <w:tcPr>
            <w:tcW w:w="2600" w:type="dxa"/>
            <w:vAlign w:val="bottom"/>
          </w:tcPr>
          <w:p>
            <w:pPr>
              <w:jc w:val="right"/>
              <w:ind w:right="669"/>
              <w:spacing w:after="0"/>
              <w:rPr>
                <w:sz w:val="20"/>
                <w:szCs w:val="20"/>
                <w:color w:val="auto"/>
              </w:rPr>
            </w:pPr>
            <w:r>
              <w:rPr>
                <w:rFonts w:ascii="Arial" w:cs="Arial" w:eastAsia="Arial" w:hAnsi="Arial"/>
                <w:sz w:val="14"/>
                <w:szCs w:val="14"/>
                <w:b w:val="1"/>
                <w:bCs w:val="1"/>
                <w:color w:val="55565A"/>
              </w:rPr>
              <w:t>2024</w:t>
            </w:r>
          </w:p>
        </w:tc>
        <w:tc>
          <w:tcPr>
            <w:tcW w:w="800" w:type="dxa"/>
            <w:vAlign w:val="bottom"/>
          </w:tcPr>
          <w:p>
            <w:pPr>
              <w:jc w:val="right"/>
              <w:ind w:right="269"/>
              <w:spacing w:after="0"/>
              <w:rPr>
                <w:sz w:val="20"/>
                <w:szCs w:val="20"/>
                <w:color w:val="auto"/>
              </w:rPr>
            </w:pPr>
            <w:r>
              <w:rPr>
                <w:rFonts w:ascii="Arial" w:cs="Arial" w:eastAsia="Arial" w:hAnsi="Arial"/>
                <w:sz w:val="14"/>
                <w:szCs w:val="14"/>
                <w:color w:val="55565A"/>
              </w:rPr>
              <w:t>2023</w:t>
            </w:r>
          </w:p>
        </w:tc>
        <w:tc>
          <w:tcPr>
            <w:tcW w:w="1540" w:type="dxa"/>
            <w:vAlign w:val="bottom"/>
          </w:tcPr>
          <w:p>
            <w:pPr>
              <w:jc w:val="right"/>
              <w:ind w:right="209"/>
              <w:spacing w:after="0"/>
              <w:rPr>
                <w:sz w:val="20"/>
                <w:szCs w:val="20"/>
                <w:color w:val="auto"/>
              </w:rPr>
            </w:pPr>
            <w:r>
              <w:rPr>
                <w:rFonts w:ascii="Arial" w:cs="Arial" w:eastAsia="Arial" w:hAnsi="Arial"/>
                <w:sz w:val="14"/>
                <w:szCs w:val="14"/>
                <w:color w:val="55565A"/>
              </w:rPr>
              <w:t>2023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Borders>
              <w:bottom w:val="single" w:sz="8" w:color="88888B"/>
            </w:tcBorders>
          </w:tcPr>
          <w:p>
            <w:pPr>
              <w:spacing w:after="0"/>
              <w:rPr>
                <w:sz w:val="8"/>
                <w:szCs w:val="8"/>
                <w:color w:val="auto"/>
              </w:rPr>
            </w:pPr>
          </w:p>
        </w:tc>
        <w:tc>
          <w:tcPr>
            <w:tcW w:w="2600" w:type="dxa"/>
            <w:vAlign w:val="bottom"/>
            <w:tcBorders>
              <w:bottom w:val="single" w:sz="8" w:color="88888B"/>
            </w:tcBorders>
          </w:tcPr>
          <w:p>
            <w:pPr>
              <w:spacing w:after="0"/>
              <w:rPr>
                <w:sz w:val="8"/>
                <w:szCs w:val="8"/>
                <w:color w:val="auto"/>
              </w:rPr>
            </w:pPr>
          </w:p>
        </w:tc>
        <w:tc>
          <w:tcPr>
            <w:tcW w:w="800" w:type="dxa"/>
            <w:vAlign w:val="bottom"/>
            <w:tcBorders>
              <w:bottom w:val="single" w:sz="8" w:color="88888B"/>
            </w:tcBorders>
          </w:tcPr>
          <w:p>
            <w:pPr>
              <w:spacing w:after="0"/>
              <w:rPr>
                <w:sz w:val="8"/>
                <w:szCs w:val="8"/>
                <w:color w:val="auto"/>
              </w:rPr>
            </w:pPr>
          </w:p>
        </w:tc>
        <w:tc>
          <w:tcPr>
            <w:tcW w:w="1540" w:type="dxa"/>
            <w:vAlign w:val="bottom"/>
            <w:tcBorders>
              <w:bottom w:val="single" w:sz="8" w:color="88888B"/>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Net earnings</w:t>
            </w:r>
          </w:p>
        </w:tc>
        <w:tc>
          <w:tcPr>
            <w:tcW w:w="260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478</w:t>
            </w:r>
          </w:p>
        </w:tc>
        <w:tc>
          <w:tcPr>
            <w:tcW w:w="8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5565A"/>
              </w:rPr>
              <w:t>756</w:t>
            </w:r>
          </w:p>
        </w:tc>
        <w:tc>
          <w:tcPr>
            <w:tcW w:w="15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2,695</w:t>
            </w:r>
          </w:p>
        </w:tc>
        <w:tc>
          <w:tcPr>
            <w:tcW w:w="0" w:type="dxa"/>
            <w:vAlign w:val="bottom"/>
          </w:tcPr>
          <w:p>
            <w:pPr>
              <w:spacing w:after="0"/>
              <w:rPr>
                <w:sz w:val="1"/>
                <w:szCs w:val="1"/>
                <w:color w:val="auto"/>
              </w:rPr>
            </w:pPr>
          </w:p>
        </w:tc>
      </w:tr>
      <w:tr>
        <w:trPr>
          <w:trHeight w:val="239"/>
        </w:trPr>
        <w:tc>
          <w:tcPr>
            <w:tcW w:w="5980" w:type="dxa"/>
            <w:vAlign w:val="bottom"/>
            <w:gridSpan w:val="2"/>
          </w:tcPr>
          <w:p>
            <w:pPr>
              <w:spacing w:after="0"/>
              <w:rPr>
                <w:sz w:val="20"/>
                <w:szCs w:val="20"/>
                <w:color w:val="auto"/>
              </w:rPr>
            </w:pPr>
            <w:r>
              <w:rPr>
                <w:rFonts w:ascii="Arial" w:cs="Arial" w:eastAsia="Arial" w:hAnsi="Arial"/>
                <w:sz w:val="14"/>
                <w:szCs w:val="14"/>
                <w:b w:val="1"/>
                <w:bCs w:val="1"/>
                <w:color w:val="55565A"/>
              </w:rPr>
              <w:t>Adjustments to remove:</w:t>
            </w:r>
          </w:p>
        </w:tc>
        <w:tc>
          <w:tcPr>
            <w:tcW w:w="2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9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line="214" w:lineRule="exact"/>
              <w:rPr>
                <w:sz w:val="20"/>
                <w:szCs w:val="20"/>
                <w:color w:val="auto"/>
              </w:rPr>
            </w:pPr>
            <w:r>
              <w:rPr>
                <w:rFonts w:ascii="Arial" w:cs="Arial" w:eastAsia="Arial" w:hAnsi="Arial"/>
                <w:sz w:val="14"/>
                <w:szCs w:val="14"/>
                <w:color w:val="55565A"/>
              </w:rPr>
              <w:t>Fair value adjustments</w:t>
            </w:r>
            <w:r>
              <w:rPr>
                <w:rFonts w:ascii="Arial" w:cs="Arial" w:eastAsia="Arial" w:hAnsi="Arial"/>
                <w:sz w:val="21"/>
                <w:szCs w:val="21"/>
                <w:color w:val="55565A"/>
                <w:vertAlign w:val="superscript"/>
              </w:rPr>
              <w:t>(1)</w:t>
            </w:r>
          </w:p>
        </w:tc>
        <w:tc>
          <w:tcPr>
            <w:tcW w:w="260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2</w:t>
            </w:r>
          </w:p>
        </w:tc>
        <w:tc>
          <w:tcPr>
            <w:tcW w:w="8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5565A"/>
              </w:rPr>
              <w:t>13</w:t>
            </w:r>
          </w:p>
        </w:tc>
        <w:tc>
          <w:tcPr>
            <w:tcW w:w="15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18</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960" w:type="dxa"/>
            <w:vAlign w:val="bottom"/>
          </w:tcPr>
          <w:p>
            <w:pPr>
              <w:ind w:left="100"/>
              <w:spacing w:after="0"/>
              <w:rPr>
                <w:sz w:val="20"/>
                <w:szCs w:val="20"/>
                <w:color w:val="auto"/>
              </w:rPr>
            </w:pPr>
            <w:r>
              <w:rPr>
                <w:rFonts w:ascii="Arial" w:cs="Arial" w:eastAsia="Arial" w:hAnsi="Arial"/>
                <w:sz w:val="14"/>
                <w:szCs w:val="14"/>
                <w:color w:val="55565A"/>
              </w:rPr>
              <w:t>Amortization of acquired computer software</w:t>
            </w:r>
          </w:p>
        </w:tc>
        <w:tc>
          <w:tcPr>
            <w:tcW w:w="2600" w:type="dxa"/>
            <w:vAlign w:val="bottom"/>
          </w:tcPr>
          <w:p>
            <w:pPr>
              <w:jc w:val="right"/>
              <w:ind w:right="669"/>
              <w:spacing w:after="0"/>
              <w:rPr>
                <w:sz w:val="20"/>
                <w:szCs w:val="20"/>
                <w:color w:val="auto"/>
              </w:rPr>
            </w:pPr>
            <w:r>
              <w:rPr>
                <w:rFonts w:ascii="Arial" w:cs="Arial" w:eastAsia="Arial" w:hAnsi="Arial"/>
                <w:sz w:val="14"/>
                <w:szCs w:val="14"/>
                <w:b w:val="1"/>
                <w:bCs w:val="1"/>
                <w:color w:val="55565A"/>
              </w:rPr>
              <w:t>38</w:t>
            </w:r>
          </w:p>
        </w:tc>
        <w:tc>
          <w:tcPr>
            <w:tcW w:w="800" w:type="dxa"/>
            <w:vAlign w:val="bottom"/>
          </w:tcPr>
          <w:p>
            <w:pPr>
              <w:jc w:val="right"/>
              <w:ind w:right="269"/>
              <w:spacing w:after="0"/>
              <w:rPr>
                <w:sz w:val="20"/>
                <w:szCs w:val="20"/>
                <w:color w:val="auto"/>
              </w:rPr>
            </w:pPr>
            <w:r>
              <w:rPr>
                <w:rFonts w:ascii="Arial" w:cs="Arial" w:eastAsia="Arial" w:hAnsi="Arial"/>
                <w:sz w:val="14"/>
                <w:szCs w:val="14"/>
                <w:color w:val="55565A"/>
              </w:rPr>
              <w:t>7</w:t>
            </w:r>
          </w:p>
        </w:tc>
        <w:tc>
          <w:tcPr>
            <w:tcW w:w="1540" w:type="dxa"/>
            <w:vAlign w:val="bottom"/>
          </w:tcPr>
          <w:p>
            <w:pPr>
              <w:jc w:val="right"/>
              <w:ind w:right="209"/>
              <w:spacing w:after="0"/>
              <w:rPr>
                <w:sz w:val="20"/>
                <w:szCs w:val="20"/>
                <w:color w:val="auto"/>
              </w:rPr>
            </w:pPr>
            <w:r>
              <w:rPr>
                <w:rFonts w:ascii="Arial" w:cs="Arial" w:eastAsia="Arial" w:hAnsi="Arial"/>
                <w:sz w:val="14"/>
                <w:szCs w:val="14"/>
                <w:color w:val="55565A"/>
              </w:rPr>
              <w:t>72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9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4"/>
                <w:szCs w:val="14"/>
                <w:color w:val="55565A"/>
              </w:rPr>
              <w:t>Amortization of other identifiable intangible assets</w:t>
            </w:r>
          </w:p>
        </w:tc>
        <w:tc>
          <w:tcPr>
            <w:tcW w:w="260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25</w:t>
            </w:r>
          </w:p>
        </w:tc>
        <w:tc>
          <w:tcPr>
            <w:tcW w:w="8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5565A"/>
              </w:rPr>
              <w:t>25</w:t>
            </w:r>
          </w:p>
        </w:tc>
        <w:tc>
          <w:tcPr>
            <w:tcW w:w="15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97</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960" w:type="dxa"/>
            <w:vAlign w:val="bottom"/>
          </w:tcPr>
          <w:p>
            <w:pPr>
              <w:ind w:left="100"/>
              <w:spacing w:after="0"/>
              <w:rPr>
                <w:sz w:val="20"/>
                <w:szCs w:val="20"/>
                <w:color w:val="auto"/>
              </w:rPr>
            </w:pPr>
            <w:r>
              <w:rPr>
                <w:rFonts w:ascii="Arial" w:cs="Arial" w:eastAsia="Arial" w:hAnsi="Arial"/>
                <w:sz w:val="14"/>
                <w:szCs w:val="14"/>
                <w:color w:val="55565A"/>
              </w:rPr>
              <w:t>Other operating losses (gains), net</w:t>
            </w:r>
          </w:p>
        </w:tc>
        <w:tc>
          <w:tcPr>
            <w:tcW w:w="2600" w:type="dxa"/>
            <w:vAlign w:val="bottom"/>
          </w:tcPr>
          <w:p>
            <w:pPr>
              <w:jc w:val="right"/>
              <w:ind w:right="669"/>
              <w:spacing w:after="0"/>
              <w:rPr>
                <w:sz w:val="20"/>
                <w:szCs w:val="20"/>
                <w:color w:val="auto"/>
              </w:rPr>
            </w:pPr>
            <w:r>
              <w:rPr>
                <w:rFonts w:ascii="Arial" w:cs="Arial" w:eastAsia="Arial" w:hAnsi="Arial"/>
                <w:sz w:val="14"/>
                <w:szCs w:val="14"/>
                <w:b w:val="1"/>
                <w:bCs w:val="1"/>
                <w:color w:val="55565A"/>
              </w:rPr>
              <w:t>41</w:t>
            </w:r>
          </w:p>
        </w:tc>
        <w:tc>
          <w:tcPr>
            <w:tcW w:w="800" w:type="dxa"/>
            <w:vAlign w:val="bottom"/>
          </w:tcPr>
          <w:p>
            <w:pPr>
              <w:jc w:val="right"/>
              <w:ind w:right="269"/>
              <w:spacing w:after="0"/>
              <w:rPr>
                <w:sz w:val="20"/>
                <w:szCs w:val="20"/>
                <w:color w:val="auto"/>
              </w:rPr>
            </w:pPr>
            <w:r>
              <w:rPr>
                <w:rFonts w:ascii="Arial" w:cs="Arial" w:eastAsia="Arial" w:hAnsi="Arial"/>
                <w:sz w:val="14"/>
                <w:szCs w:val="14"/>
                <w:color w:val="55565A"/>
              </w:rPr>
              <w:t>(17)</w:t>
            </w:r>
          </w:p>
        </w:tc>
        <w:tc>
          <w:tcPr>
            <w:tcW w:w="1540" w:type="dxa"/>
            <w:vAlign w:val="bottom"/>
          </w:tcPr>
          <w:p>
            <w:pPr>
              <w:jc w:val="right"/>
              <w:ind w:right="209"/>
              <w:spacing w:after="0"/>
              <w:rPr>
                <w:sz w:val="20"/>
                <w:szCs w:val="20"/>
                <w:color w:val="auto"/>
              </w:rPr>
            </w:pPr>
            <w:r>
              <w:rPr>
                <w:rFonts w:ascii="Arial" w:cs="Arial" w:eastAsia="Arial" w:hAnsi="Arial"/>
                <w:sz w:val="14"/>
                <w:szCs w:val="14"/>
                <w:color w:val="55565A"/>
              </w:rPr>
              <w:t>(397)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9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line="214" w:lineRule="exact"/>
              <w:rPr>
                <w:sz w:val="20"/>
                <w:szCs w:val="20"/>
                <w:color w:val="auto"/>
              </w:rPr>
            </w:pPr>
            <w:r>
              <w:rPr>
                <w:rFonts w:ascii="Arial" w:cs="Arial" w:eastAsia="Arial" w:hAnsi="Arial"/>
                <w:sz w:val="14"/>
                <w:szCs w:val="14"/>
                <w:color w:val="55565A"/>
              </w:rPr>
              <w:t>Interest benefit impacting comparability</w:t>
            </w:r>
            <w:r>
              <w:rPr>
                <w:rFonts w:ascii="Arial" w:cs="Arial" w:eastAsia="Arial" w:hAnsi="Arial"/>
                <w:sz w:val="21"/>
                <w:szCs w:val="21"/>
                <w:color w:val="55565A"/>
                <w:vertAlign w:val="superscript"/>
              </w:rPr>
              <w:t>(2)(3)</w:t>
            </w:r>
          </w:p>
        </w:tc>
        <w:tc>
          <w:tcPr>
            <w:tcW w:w="260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w:t>
            </w:r>
          </w:p>
        </w:tc>
        <w:tc>
          <w:tcPr>
            <w:tcW w:w="8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5565A"/>
              </w:rPr>
              <w:t>–</w:t>
            </w:r>
          </w:p>
        </w:tc>
        <w:tc>
          <w:tcPr>
            <w:tcW w:w="15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960" w:type="dxa"/>
            <w:vAlign w:val="bottom"/>
          </w:tcPr>
          <w:p>
            <w:pPr>
              <w:ind w:left="100"/>
              <w:spacing w:after="0"/>
              <w:rPr>
                <w:sz w:val="20"/>
                <w:szCs w:val="20"/>
                <w:color w:val="auto"/>
              </w:rPr>
            </w:pPr>
            <w:r>
              <w:rPr>
                <w:rFonts w:ascii="Arial" w:cs="Arial" w:eastAsia="Arial" w:hAnsi="Arial"/>
                <w:sz w:val="14"/>
                <w:szCs w:val="14"/>
                <w:color w:val="55565A"/>
              </w:rPr>
              <w:t>Other finance (income) costs</w:t>
            </w:r>
          </w:p>
        </w:tc>
        <w:tc>
          <w:tcPr>
            <w:tcW w:w="2600" w:type="dxa"/>
            <w:vAlign w:val="bottom"/>
          </w:tcPr>
          <w:p>
            <w:pPr>
              <w:jc w:val="right"/>
              <w:ind w:right="669"/>
              <w:spacing w:after="0"/>
              <w:rPr>
                <w:sz w:val="20"/>
                <w:szCs w:val="20"/>
                <w:color w:val="auto"/>
              </w:rPr>
            </w:pPr>
            <w:r>
              <w:rPr>
                <w:rFonts w:ascii="Arial" w:cs="Arial" w:eastAsia="Arial" w:hAnsi="Arial"/>
                <w:sz w:val="14"/>
                <w:szCs w:val="14"/>
                <w:b w:val="1"/>
                <w:bCs w:val="1"/>
                <w:color w:val="55565A"/>
              </w:rPr>
              <w:t>(22)</w:t>
            </w:r>
          </w:p>
        </w:tc>
        <w:tc>
          <w:tcPr>
            <w:tcW w:w="800" w:type="dxa"/>
            <w:vAlign w:val="bottom"/>
          </w:tcPr>
          <w:p>
            <w:pPr>
              <w:jc w:val="right"/>
              <w:ind w:right="269"/>
              <w:spacing w:after="0"/>
              <w:rPr>
                <w:sz w:val="20"/>
                <w:szCs w:val="20"/>
                <w:color w:val="auto"/>
              </w:rPr>
            </w:pPr>
            <w:r>
              <w:rPr>
                <w:rFonts w:ascii="Arial" w:cs="Arial" w:eastAsia="Arial" w:hAnsi="Arial"/>
                <w:sz w:val="14"/>
                <w:szCs w:val="14"/>
                <w:color w:val="55565A"/>
              </w:rPr>
              <w:t>90</w:t>
            </w:r>
          </w:p>
        </w:tc>
        <w:tc>
          <w:tcPr>
            <w:tcW w:w="1540" w:type="dxa"/>
            <w:vAlign w:val="bottom"/>
          </w:tcPr>
          <w:p>
            <w:pPr>
              <w:jc w:val="right"/>
              <w:ind w:right="209"/>
              <w:spacing w:after="0"/>
              <w:rPr>
                <w:sz w:val="20"/>
                <w:szCs w:val="20"/>
                <w:color w:val="auto"/>
              </w:rPr>
            </w:pPr>
            <w:r>
              <w:rPr>
                <w:rFonts w:ascii="Arial" w:cs="Arial" w:eastAsia="Arial" w:hAnsi="Arial"/>
                <w:sz w:val="14"/>
                <w:szCs w:val="14"/>
                <w:color w:val="55565A"/>
              </w:rPr>
              <w:t>192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9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4"/>
                <w:szCs w:val="14"/>
                <w:color w:val="55565A"/>
              </w:rPr>
              <w:t>Share of post-tax losses (earnings) in equity method investments</w:t>
            </w:r>
          </w:p>
        </w:tc>
        <w:tc>
          <w:tcPr>
            <w:tcW w:w="260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8</w:t>
            </w:r>
          </w:p>
        </w:tc>
        <w:tc>
          <w:tcPr>
            <w:tcW w:w="8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5565A"/>
              </w:rPr>
              <w:t>(570)</w:t>
            </w:r>
          </w:p>
        </w:tc>
        <w:tc>
          <w:tcPr>
            <w:tcW w:w="15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(1,075)</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960" w:type="dxa"/>
            <w:vAlign w:val="bottom"/>
          </w:tcPr>
          <w:p>
            <w:pPr>
              <w:ind w:left="100"/>
              <w:spacing w:after="0"/>
              <w:rPr>
                <w:sz w:val="20"/>
                <w:szCs w:val="20"/>
                <w:color w:val="auto"/>
              </w:rPr>
            </w:pPr>
            <w:r>
              <w:rPr>
                <w:rFonts w:ascii="Arial" w:cs="Arial" w:eastAsia="Arial" w:hAnsi="Arial"/>
                <w:sz w:val="14"/>
                <w:szCs w:val="14"/>
                <w:color w:val="55565A"/>
              </w:rPr>
              <w:t>Tax on above items</w:t>
            </w:r>
            <w:r>
              <w:rPr>
                <w:rFonts w:ascii="Arial" w:cs="Arial" w:eastAsia="Arial" w:hAnsi="Arial"/>
                <w:sz w:val="21"/>
                <w:szCs w:val="21"/>
                <w:color w:val="55565A"/>
                <w:vertAlign w:val="superscript"/>
              </w:rPr>
              <w:t>(3)</w:t>
            </w:r>
          </w:p>
        </w:tc>
        <w:tc>
          <w:tcPr>
            <w:tcW w:w="2600" w:type="dxa"/>
            <w:vAlign w:val="bottom"/>
          </w:tcPr>
          <w:p>
            <w:pPr>
              <w:jc w:val="right"/>
              <w:ind w:right="669"/>
              <w:spacing w:after="0"/>
              <w:rPr>
                <w:sz w:val="20"/>
                <w:szCs w:val="20"/>
                <w:color w:val="auto"/>
              </w:rPr>
            </w:pPr>
            <w:r>
              <w:rPr>
                <w:rFonts w:ascii="Arial" w:cs="Arial" w:eastAsia="Arial" w:hAnsi="Arial"/>
                <w:sz w:val="14"/>
                <w:szCs w:val="14"/>
                <w:b w:val="1"/>
                <w:bCs w:val="1"/>
                <w:color w:val="55565A"/>
              </w:rPr>
              <w:t>(32)</w:t>
            </w:r>
          </w:p>
        </w:tc>
        <w:tc>
          <w:tcPr>
            <w:tcW w:w="800" w:type="dxa"/>
            <w:vAlign w:val="bottom"/>
          </w:tcPr>
          <w:p>
            <w:pPr>
              <w:jc w:val="right"/>
              <w:ind w:right="269"/>
              <w:spacing w:after="0"/>
              <w:rPr>
                <w:sz w:val="20"/>
                <w:szCs w:val="20"/>
                <w:color w:val="auto"/>
              </w:rPr>
            </w:pPr>
            <w:r>
              <w:rPr>
                <w:rFonts w:ascii="Arial" w:cs="Arial" w:eastAsia="Arial" w:hAnsi="Arial"/>
                <w:sz w:val="14"/>
                <w:szCs w:val="14"/>
                <w:color w:val="55565A"/>
              </w:rPr>
              <w:t>110</w:t>
            </w:r>
          </w:p>
        </w:tc>
        <w:tc>
          <w:tcPr>
            <w:tcW w:w="1540" w:type="dxa"/>
            <w:vAlign w:val="bottom"/>
          </w:tcPr>
          <w:p>
            <w:pPr>
              <w:jc w:val="right"/>
              <w:ind w:right="209"/>
              <w:spacing w:after="0"/>
              <w:rPr>
                <w:sz w:val="20"/>
                <w:szCs w:val="20"/>
                <w:color w:val="auto"/>
              </w:rPr>
            </w:pPr>
            <w:r>
              <w:rPr>
                <w:rFonts w:ascii="Arial" w:cs="Arial" w:eastAsia="Arial" w:hAnsi="Arial"/>
                <w:sz w:val="14"/>
                <w:szCs w:val="14"/>
                <w:color w:val="55565A"/>
              </w:rPr>
              <w:t>265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line="214" w:lineRule="exact"/>
              <w:rPr>
                <w:sz w:val="20"/>
                <w:szCs w:val="20"/>
                <w:color w:val="auto"/>
              </w:rPr>
            </w:pPr>
            <w:r>
              <w:rPr>
                <w:rFonts w:ascii="Arial" w:cs="Arial" w:eastAsia="Arial" w:hAnsi="Arial"/>
                <w:sz w:val="14"/>
                <w:szCs w:val="14"/>
                <w:color w:val="55565A"/>
              </w:rPr>
              <w:t>Tax items impacting comparability</w:t>
            </w:r>
            <w:r>
              <w:rPr>
                <w:rFonts w:ascii="Arial" w:cs="Arial" w:eastAsia="Arial" w:hAnsi="Arial"/>
                <w:sz w:val="21"/>
                <w:szCs w:val="21"/>
                <w:color w:val="55565A"/>
                <w:vertAlign w:val="superscript"/>
              </w:rPr>
              <w:t>(2)(3)</w:t>
            </w:r>
          </w:p>
        </w:tc>
        <w:tc>
          <w:tcPr>
            <w:tcW w:w="260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(11)</w:t>
            </w:r>
          </w:p>
        </w:tc>
        <w:tc>
          <w:tcPr>
            <w:tcW w:w="8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5565A"/>
              </w:rPr>
              <w:t>–</w:t>
            </w:r>
          </w:p>
        </w:tc>
        <w:tc>
          <w:tcPr>
            <w:tcW w:w="15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(172)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960" w:type="dxa"/>
            <w:vAlign w:val="bottom"/>
          </w:tcPr>
          <w:p>
            <w:pPr>
              <w:ind w:left="100"/>
              <w:spacing w:after="0"/>
              <w:rPr>
                <w:sz w:val="20"/>
                <w:szCs w:val="20"/>
                <w:color w:val="auto"/>
              </w:rPr>
            </w:pPr>
            <w:r>
              <w:rPr>
                <w:rFonts w:ascii="Arial" w:cs="Arial" w:eastAsia="Arial" w:hAnsi="Arial"/>
                <w:sz w:val="14"/>
                <w:szCs w:val="14"/>
                <w:color w:val="55565A"/>
              </w:rPr>
              <w:t>Earnings from discontinued operations, net of tax</w:t>
            </w:r>
          </w:p>
        </w:tc>
        <w:tc>
          <w:tcPr>
            <w:tcW w:w="2600" w:type="dxa"/>
            <w:vAlign w:val="bottom"/>
          </w:tcPr>
          <w:p>
            <w:pPr>
              <w:jc w:val="right"/>
              <w:ind w:right="669"/>
              <w:spacing w:after="0"/>
              <w:rPr>
                <w:sz w:val="20"/>
                <w:szCs w:val="20"/>
                <w:color w:val="auto"/>
              </w:rPr>
            </w:pPr>
            <w:r>
              <w:rPr>
                <w:rFonts w:ascii="Arial" w:cs="Arial" w:eastAsia="Arial" w:hAnsi="Arial"/>
                <w:sz w:val="14"/>
                <w:szCs w:val="14"/>
                <w:b w:val="1"/>
                <w:bCs w:val="1"/>
                <w:color w:val="55565A"/>
              </w:rPr>
              <w:t>(14)</w:t>
            </w:r>
          </w:p>
        </w:tc>
        <w:tc>
          <w:tcPr>
            <w:tcW w:w="800" w:type="dxa"/>
            <w:vAlign w:val="bottom"/>
          </w:tcPr>
          <w:p>
            <w:pPr>
              <w:jc w:val="right"/>
              <w:ind w:right="269"/>
              <w:spacing w:after="0"/>
              <w:rPr>
                <w:sz w:val="20"/>
                <w:szCs w:val="20"/>
                <w:color w:val="auto"/>
              </w:rPr>
            </w:pPr>
            <w:r>
              <w:rPr>
                <w:rFonts w:ascii="Arial" w:cs="Arial" w:eastAsia="Arial" w:hAnsi="Arial"/>
                <w:sz w:val="14"/>
                <w:szCs w:val="14"/>
                <w:color w:val="55565A"/>
              </w:rPr>
              <w:t>(19)</w:t>
            </w:r>
          </w:p>
        </w:tc>
        <w:tc>
          <w:tcPr>
            <w:tcW w:w="1540" w:type="dxa"/>
            <w:vAlign w:val="bottom"/>
          </w:tcPr>
          <w:p>
            <w:pPr>
              <w:jc w:val="right"/>
              <w:ind w:right="209"/>
              <w:spacing w:after="0"/>
              <w:rPr>
                <w:sz w:val="20"/>
                <w:szCs w:val="20"/>
                <w:color w:val="auto"/>
              </w:rPr>
            </w:pPr>
            <w:r>
              <w:rPr>
                <w:rFonts w:ascii="Arial" w:cs="Arial" w:eastAsia="Arial" w:hAnsi="Arial"/>
                <w:sz w:val="14"/>
                <w:szCs w:val="14"/>
                <w:color w:val="55565A"/>
              </w:rPr>
              <w:t>(49)</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9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line="214" w:lineRule="exact"/>
              <w:rPr>
                <w:sz w:val="20"/>
                <w:szCs w:val="20"/>
                <w:color w:val="auto"/>
              </w:rPr>
            </w:pPr>
            <w:r>
              <w:rPr>
                <w:rFonts w:ascii="Arial" w:cs="Arial" w:eastAsia="Arial" w:hAnsi="Arial"/>
                <w:sz w:val="14"/>
                <w:szCs w:val="14"/>
                <w:b w:val="1"/>
                <w:bCs w:val="1"/>
                <w:color w:val="55565A"/>
              </w:rPr>
              <w:t>Interim period effective tax rate normalization</w:t>
            </w:r>
            <w:r>
              <w:rPr>
                <w:rFonts w:ascii="Arial" w:cs="Arial" w:eastAsia="Arial" w:hAnsi="Arial"/>
                <w:sz w:val="21"/>
                <w:szCs w:val="21"/>
                <w:b w:val="1"/>
                <w:bCs w:val="1"/>
                <w:color w:val="55565A"/>
                <w:vertAlign w:val="superscript"/>
              </w:rPr>
              <w:t>(3)</w:t>
            </w:r>
          </w:p>
        </w:tc>
        <w:tc>
          <w:tcPr>
            <w:tcW w:w="260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(9)</w:t>
            </w:r>
          </w:p>
        </w:tc>
        <w:tc>
          <w:tcPr>
            <w:tcW w:w="8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5565A"/>
              </w:rPr>
              <w:t>2</w:t>
            </w:r>
          </w:p>
        </w:tc>
        <w:tc>
          <w:tcPr>
            <w:tcW w:w="15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w:t>
            </w:r>
          </w:p>
        </w:tc>
        <w:tc>
          <w:tcPr>
            <w:tcW w:w="0" w:type="dxa"/>
            <w:vAlign w:val="bottom"/>
          </w:tcPr>
          <w:p>
            <w:pPr>
              <w:spacing w:after="0"/>
              <w:rPr>
                <w:sz w:val="1"/>
                <w:szCs w:val="1"/>
                <w:color w:val="auto"/>
              </w:rPr>
            </w:pPr>
          </w:p>
        </w:tc>
      </w:tr>
      <w:tr>
        <w:trPr>
          <w:trHeight w:val="239"/>
        </w:trPr>
        <w:tc>
          <w:tcPr>
            <w:tcW w:w="5980" w:type="dxa"/>
            <w:vAlign w:val="bottom"/>
            <w:gridSpan w:val="2"/>
          </w:tcPr>
          <w:p>
            <w:pPr>
              <w:spacing w:after="0"/>
              <w:rPr>
                <w:sz w:val="20"/>
                <w:szCs w:val="20"/>
                <w:color w:val="auto"/>
              </w:rPr>
            </w:pPr>
            <w:r>
              <w:rPr>
                <w:rFonts w:ascii="Arial" w:cs="Arial" w:eastAsia="Arial" w:hAnsi="Arial"/>
                <w:sz w:val="14"/>
                <w:szCs w:val="14"/>
                <w:b w:val="1"/>
                <w:bCs w:val="1"/>
                <w:color w:val="55565A"/>
              </w:rPr>
              <w:t>Dividends declare on preference shares</w:t>
            </w:r>
          </w:p>
        </w:tc>
        <w:tc>
          <w:tcPr>
            <w:tcW w:w="2600" w:type="dxa"/>
            <w:vAlign w:val="bottom"/>
          </w:tcPr>
          <w:p>
            <w:pPr>
              <w:jc w:val="right"/>
              <w:ind w:right="669"/>
              <w:spacing w:after="0"/>
              <w:rPr>
                <w:sz w:val="20"/>
                <w:szCs w:val="20"/>
                <w:color w:val="auto"/>
              </w:rPr>
            </w:pPr>
            <w:r>
              <w:rPr>
                <w:rFonts w:ascii="Arial" w:cs="Arial" w:eastAsia="Arial" w:hAnsi="Arial"/>
                <w:sz w:val="14"/>
                <w:szCs w:val="14"/>
                <w:b w:val="1"/>
                <w:bCs w:val="1"/>
                <w:color w:val="55565A"/>
              </w:rPr>
              <w:t>(1)</w:t>
            </w:r>
          </w:p>
        </w:tc>
        <w:tc>
          <w:tcPr>
            <w:tcW w:w="800" w:type="dxa"/>
            <w:vAlign w:val="bottom"/>
          </w:tcPr>
          <w:p>
            <w:pPr>
              <w:jc w:val="right"/>
              <w:ind w:right="269"/>
              <w:spacing w:after="0"/>
              <w:rPr>
                <w:sz w:val="20"/>
                <w:szCs w:val="20"/>
                <w:color w:val="auto"/>
              </w:rPr>
            </w:pPr>
            <w:r>
              <w:rPr>
                <w:rFonts w:ascii="Arial" w:cs="Arial" w:eastAsia="Arial" w:hAnsi="Arial"/>
                <w:sz w:val="14"/>
                <w:szCs w:val="14"/>
                <w:color w:val="55565A"/>
              </w:rPr>
              <w:t>(1)</w:t>
            </w:r>
          </w:p>
        </w:tc>
        <w:tc>
          <w:tcPr>
            <w:tcW w:w="1540" w:type="dxa"/>
            <w:vAlign w:val="bottom"/>
          </w:tcPr>
          <w:p>
            <w:pPr>
              <w:jc w:val="right"/>
              <w:ind w:right="209"/>
              <w:spacing w:after="0"/>
              <w:rPr>
                <w:sz w:val="20"/>
                <w:szCs w:val="20"/>
                <w:color w:val="auto"/>
              </w:rPr>
            </w:pPr>
            <w:r>
              <w:rPr>
                <w:rFonts w:ascii="Arial" w:cs="Arial" w:eastAsia="Arial" w:hAnsi="Arial"/>
                <w:sz w:val="14"/>
                <w:szCs w:val="14"/>
                <w:color w:val="55565A"/>
              </w:rPr>
              <w:t>(5)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60" w:type="dxa"/>
            <w:vAlign w:val="bottom"/>
            <w:tcBorders>
              <w:bottom w:val="single" w:sz="8" w:color="88888B"/>
            </w:tcBorders>
          </w:tcPr>
          <w:p>
            <w:pPr>
              <w:spacing w:after="0"/>
              <w:rPr>
                <w:sz w:val="2"/>
                <w:szCs w:val="2"/>
                <w:color w:val="auto"/>
              </w:rPr>
            </w:pPr>
          </w:p>
        </w:tc>
        <w:tc>
          <w:tcPr>
            <w:tcW w:w="2600" w:type="dxa"/>
            <w:vAlign w:val="bottom"/>
            <w:tcBorders>
              <w:bottom w:val="single" w:sz="8" w:color="88888B"/>
            </w:tcBorders>
          </w:tcPr>
          <w:p>
            <w:pPr>
              <w:spacing w:after="0"/>
              <w:rPr>
                <w:sz w:val="2"/>
                <w:szCs w:val="2"/>
                <w:color w:val="auto"/>
              </w:rPr>
            </w:pPr>
          </w:p>
        </w:tc>
        <w:tc>
          <w:tcPr>
            <w:tcW w:w="800" w:type="dxa"/>
            <w:vAlign w:val="bottom"/>
            <w:tcBorders>
              <w:bottom w:val="single" w:sz="8" w:color="88888B"/>
            </w:tcBorders>
          </w:tcPr>
          <w:p>
            <w:pPr>
              <w:spacing w:after="0"/>
              <w:rPr>
                <w:sz w:val="2"/>
                <w:szCs w:val="2"/>
                <w:color w:val="auto"/>
              </w:rPr>
            </w:pPr>
          </w:p>
        </w:tc>
        <w:tc>
          <w:tcPr>
            <w:tcW w:w="154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line="214" w:lineRule="exact"/>
              <w:rPr>
                <w:sz w:val="20"/>
                <w:szCs w:val="20"/>
                <w:color w:val="auto"/>
              </w:rPr>
            </w:pPr>
            <w:r>
              <w:rPr>
                <w:rFonts w:ascii="Arial" w:cs="Arial" w:eastAsia="Arial" w:hAnsi="Arial"/>
                <w:sz w:val="14"/>
                <w:szCs w:val="14"/>
                <w:b w:val="1"/>
                <w:bCs w:val="1"/>
                <w:color w:val="55565A"/>
              </w:rPr>
              <w:t>Adjusted earnings</w:t>
            </w:r>
            <w:r>
              <w:rPr>
                <w:rFonts w:ascii="Arial" w:cs="Arial" w:eastAsia="Arial" w:hAnsi="Arial"/>
                <w:sz w:val="21"/>
                <w:szCs w:val="21"/>
                <w:b w:val="1"/>
                <w:bCs w:val="1"/>
                <w:color w:val="55565A"/>
                <w:vertAlign w:val="superscript"/>
              </w:rPr>
              <w:t>(4)</w:t>
            </w:r>
          </w:p>
        </w:tc>
        <w:tc>
          <w:tcPr>
            <w:tcW w:w="260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503</w:t>
            </w:r>
          </w:p>
        </w:tc>
        <w:tc>
          <w:tcPr>
            <w:tcW w:w="8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5565A"/>
              </w:rPr>
              <w:t>396</w:t>
            </w:r>
          </w:p>
        </w:tc>
        <w:tc>
          <w:tcPr>
            <w:tcW w:w="15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1,629</w:t>
            </w:r>
          </w:p>
        </w:tc>
        <w:tc>
          <w:tcPr>
            <w:tcW w:w="0" w:type="dxa"/>
            <w:vAlign w:val="bottom"/>
          </w:tcPr>
          <w:p>
            <w:pPr>
              <w:spacing w:after="0"/>
              <w:rPr>
                <w:sz w:val="1"/>
                <w:szCs w:val="1"/>
                <w:color w:val="auto"/>
              </w:rPr>
            </w:pPr>
          </w:p>
        </w:tc>
      </w:tr>
      <w:tr>
        <w:trPr>
          <w:trHeight w:val="267"/>
        </w:trPr>
        <w:tc>
          <w:tcPr>
            <w:tcW w:w="5980" w:type="dxa"/>
            <w:vAlign w:val="bottom"/>
            <w:gridSpan w:val="2"/>
          </w:tcPr>
          <w:p>
            <w:pPr>
              <w:spacing w:after="0"/>
              <w:rPr>
                <w:sz w:val="20"/>
                <w:szCs w:val="20"/>
                <w:color w:val="auto"/>
              </w:rPr>
            </w:pPr>
            <w:r>
              <w:rPr>
                <w:rFonts w:ascii="Arial" w:cs="Arial" w:eastAsia="Arial" w:hAnsi="Arial"/>
                <w:sz w:val="14"/>
                <w:szCs w:val="14"/>
                <w:b w:val="1"/>
                <w:bCs w:val="1"/>
                <w:color w:val="55565A"/>
              </w:rPr>
              <w:t>Adjusted EPS</w:t>
            </w:r>
            <w:r>
              <w:rPr>
                <w:rFonts w:ascii="Arial" w:cs="Arial" w:eastAsia="Arial" w:hAnsi="Arial"/>
                <w:sz w:val="21"/>
                <w:szCs w:val="21"/>
                <w:b w:val="1"/>
                <w:bCs w:val="1"/>
                <w:color w:val="55565A"/>
                <w:vertAlign w:val="superscript"/>
              </w:rPr>
              <w:t>(4)</w:t>
            </w:r>
          </w:p>
        </w:tc>
        <w:tc>
          <w:tcPr>
            <w:tcW w:w="2600" w:type="dxa"/>
            <w:vAlign w:val="bottom"/>
          </w:tcPr>
          <w:p>
            <w:pPr>
              <w:jc w:val="right"/>
              <w:ind w:right="669"/>
              <w:spacing w:after="0"/>
              <w:rPr>
                <w:sz w:val="20"/>
                <w:szCs w:val="20"/>
                <w:color w:val="auto"/>
              </w:rPr>
            </w:pPr>
            <w:r>
              <w:rPr>
                <w:rFonts w:ascii="Arial" w:cs="Arial" w:eastAsia="Arial" w:hAnsi="Arial"/>
                <w:sz w:val="14"/>
                <w:szCs w:val="14"/>
                <w:b w:val="1"/>
                <w:bCs w:val="1"/>
                <w:color w:val="55565A"/>
              </w:rPr>
              <w:t>$1.11</w:t>
            </w:r>
          </w:p>
        </w:tc>
        <w:tc>
          <w:tcPr>
            <w:tcW w:w="800" w:type="dxa"/>
            <w:vAlign w:val="bottom"/>
          </w:tcPr>
          <w:p>
            <w:pPr>
              <w:jc w:val="right"/>
              <w:ind w:right="269"/>
              <w:spacing w:after="0"/>
              <w:rPr>
                <w:sz w:val="20"/>
                <w:szCs w:val="20"/>
                <w:color w:val="auto"/>
              </w:rPr>
            </w:pPr>
            <w:r>
              <w:rPr>
                <w:rFonts w:ascii="Arial" w:cs="Arial" w:eastAsia="Arial" w:hAnsi="Arial"/>
                <w:sz w:val="14"/>
                <w:szCs w:val="14"/>
                <w:color w:val="55565A"/>
              </w:rPr>
              <w:t>$0.84</w:t>
            </w:r>
          </w:p>
        </w:tc>
        <w:tc>
          <w:tcPr>
            <w:tcW w:w="1540" w:type="dxa"/>
            <w:vAlign w:val="bottom"/>
          </w:tcPr>
          <w:p>
            <w:pPr>
              <w:jc w:val="right"/>
              <w:ind w:right="209"/>
              <w:spacing w:after="0"/>
              <w:rPr>
                <w:sz w:val="20"/>
                <w:szCs w:val="20"/>
                <w:color w:val="auto"/>
              </w:rPr>
            </w:pPr>
            <w:r>
              <w:rPr>
                <w:rFonts w:ascii="Arial" w:cs="Arial" w:eastAsia="Arial" w:hAnsi="Arial"/>
                <w:sz w:val="14"/>
                <w:szCs w:val="14"/>
                <w:color w:val="55565A"/>
              </w:rPr>
              <w:t>$3.51</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960" w:type="dxa"/>
            <w:vAlign w:val="bottom"/>
            <w:tcBorders>
              <w:top w:val="single" w:sz="8" w:color="88888B"/>
            </w:tcBorders>
          </w:tcPr>
          <w:p>
            <w:pPr>
              <w:spacing w:after="0"/>
              <w:rPr>
                <w:sz w:val="2"/>
                <w:szCs w:val="2"/>
                <w:color w:val="auto"/>
              </w:rPr>
            </w:pPr>
          </w:p>
        </w:tc>
        <w:tc>
          <w:tcPr>
            <w:tcW w:w="2600" w:type="dxa"/>
            <w:vAlign w:val="bottom"/>
            <w:tcBorders>
              <w:top w:val="single" w:sz="8" w:color="88888B"/>
            </w:tcBorders>
          </w:tcPr>
          <w:p>
            <w:pPr>
              <w:spacing w:after="0"/>
              <w:rPr>
                <w:sz w:val="2"/>
                <w:szCs w:val="2"/>
                <w:color w:val="auto"/>
              </w:rPr>
            </w:pPr>
          </w:p>
        </w:tc>
        <w:tc>
          <w:tcPr>
            <w:tcW w:w="800" w:type="dxa"/>
            <w:vAlign w:val="bottom"/>
            <w:tcBorders>
              <w:top w:val="single" w:sz="8" w:color="88888B"/>
            </w:tcBorders>
          </w:tcPr>
          <w:p>
            <w:pPr>
              <w:spacing w:after="0"/>
              <w:rPr>
                <w:sz w:val="2"/>
                <w:szCs w:val="2"/>
                <w:color w:val="auto"/>
              </w:rPr>
            </w:pPr>
          </w:p>
        </w:tc>
        <w:tc>
          <w:tcPr>
            <w:tcW w:w="1540" w:type="dxa"/>
            <w:vAlign w:val="bottom"/>
            <w:tcBorders>
              <w:top w:val="single" w:sz="8" w:color="88888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960" w:type="dxa"/>
            <w:vAlign w:val="bottom"/>
            <w:tcBorders>
              <w:bottom w:val="single" w:sz="8" w:color="55565A"/>
            </w:tcBorders>
            <w:shd w:val="clear" w:color="auto" w:fill="CCEEFF"/>
          </w:tcPr>
          <w:p>
            <w:pPr>
              <w:spacing w:after="0"/>
              <w:rPr>
                <w:sz w:val="20"/>
                <w:szCs w:val="20"/>
                <w:color w:val="auto"/>
              </w:rPr>
            </w:pPr>
            <w:r>
              <w:rPr>
                <w:rFonts w:ascii="Arial" w:cs="Arial" w:eastAsia="Arial" w:hAnsi="Arial"/>
                <w:sz w:val="14"/>
                <w:szCs w:val="14"/>
                <w:b w:val="1"/>
                <w:bCs w:val="1"/>
                <w:color w:val="55565A"/>
              </w:rPr>
              <w:t>Diluted weighted-average common shares (millions)</w:t>
            </w:r>
          </w:p>
        </w:tc>
        <w:tc>
          <w:tcPr>
            <w:tcW w:w="2600" w:type="dxa"/>
            <w:vAlign w:val="bottom"/>
            <w:tcBorders>
              <w:bottom w:val="single" w:sz="8" w:color="55565A"/>
            </w:tcBorders>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452.8</w:t>
            </w:r>
          </w:p>
        </w:tc>
        <w:tc>
          <w:tcPr>
            <w:tcW w:w="800" w:type="dxa"/>
            <w:vAlign w:val="bottom"/>
            <w:tcBorders>
              <w:bottom w:val="single" w:sz="8" w:color="55565A"/>
            </w:tcBorders>
            <w:shd w:val="clear" w:color="auto" w:fill="CCEEFF"/>
          </w:tcPr>
          <w:p>
            <w:pPr>
              <w:jc w:val="right"/>
              <w:ind w:right="269"/>
              <w:spacing w:after="0"/>
              <w:rPr>
                <w:sz w:val="20"/>
                <w:szCs w:val="20"/>
                <w:color w:val="auto"/>
              </w:rPr>
            </w:pPr>
            <w:r>
              <w:rPr>
                <w:rFonts w:ascii="Arial" w:cs="Arial" w:eastAsia="Arial" w:hAnsi="Arial"/>
                <w:sz w:val="14"/>
                <w:szCs w:val="14"/>
                <w:color w:val="55565A"/>
              </w:rPr>
              <w:t>474.2</w:t>
            </w:r>
          </w:p>
        </w:tc>
        <w:tc>
          <w:tcPr>
            <w:tcW w:w="1540" w:type="dxa"/>
            <w:vAlign w:val="bottom"/>
            <w:tcBorders>
              <w:bottom w:val="single" w:sz="8" w:color="55565A"/>
            </w:tcBorders>
            <w:shd w:val="clear" w:color="auto" w:fill="CCEEFF"/>
          </w:tcPr>
          <w:p>
            <w:pPr>
              <w:jc w:val="right"/>
              <w:ind w:right="209"/>
              <w:spacing w:after="0"/>
              <w:rPr>
                <w:sz w:val="20"/>
                <w:szCs w:val="20"/>
                <w:color w:val="auto"/>
              </w:rPr>
            </w:pPr>
            <w:r>
              <w:rPr>
                <w:rFonts w:ascii="Arial" w:cs="Arial" w:eastAsia="Arial" w:hAnsi="Arial"/>
                <w:sz w:val="14"/>
                <w:szCs w:val="14"/>
                <w:color w:val="55565A"/>
              </w:rPr>
              <w:t>464.0</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80" w:right="480" w:hanging="313"/>
        <w:spacing w:after="0" w:line="243" w:lineRule="auto"/>
        <w:tabs>
          <w:tab w:leader="none" w:pos="480" w:val="left"/>
        </w:tabs>
        <w:numPr>
          <w:ilvl w:val="0"/>
          <w:numId w:val="24"/>
        </w:numPr>
        <w:rPr>
          <w:rFonts w:ascii="Arial" w:cs="Arial" w:eastAsia="Arial" w:hAnsi="Arial"/>
          <w:sz w:val="12"/>
          <w:szCs w:val="12"/>
          <w:color w:val="55565A"/>
        </w:rPr>
      </w:pPr>
      <w:r>
        <w:rPr>
          <w:rFonts w:ascii="Arial" w:cs="Arial" w:eastAsia="Arial" w:hAnsi="Arial"/>
          <w:sz w:val="12"/>
          <w:szCs w:val="12"/>
          <w:color w:val="55565A"/>
        </w:rPr>
        <w:t>Fair value adjustments primarily represent gains or losses due to changes in foreign currency exchange rates on intercompany balances that arise in the ordinary course of business, a component of operating expenses, as well as adjustments related to acquired deferred revenue.</w:t>
      </w:r>
    </w:p>
    <w:p>
      <w:pPr>
        <w:ind w:left="480" w:hanging="313"/>
        <w:spacing w:after="0" w:line="232" w:lineRule="auto"/>
        <w:tabs>
          <w:tab w:leader="none" w:pos="480" w:val="left"/>
        </w:tabs>
        <w:numPr>
          <w:ilvl w:val="0"/>
          <w:numId w:val="24"/>
        </w:numPr>
        <w:rPr>
          <w:rFonts w:ascii="Arial" w:cs="Arial" w:eastAsia="Arial" w:hAnsi="Arial"/>
          <w:sz w:val="12"/>
          <w:szCs w:val="12"/>
          <w:color w:val="55565A"/>
        </w:rPr>
      </w:pPr>
      <w:r>
        <w:rPr>
          <w:rFonts w:ascii="Arial" w:cs="Arial" w:eastAsia="Arial" w:hAnsi="Arial"/>
          <w:sz w:val="12"/>
          <w:szCs w:val="12"/>
          <w:color w:val="55565A"/>
        </w:rPr>
        <w:t>Release of tax and interest reserves due to the expiration of statutes of limitation.</w:t>
      </w:r>
    </w:p>
    <w:p>
      <w:pPr>
        <w:ind w:left="480" w:hanging="313"/>
        <w:spacing w:after="0" w:line="232" w:lineRule="auto"/>
        <w:tabs>
          <w:tab w:leader="none" w:pos="480" w:val="left"/>
        </w:tabs>
        <w:numPr>
          <w:ilvl w:val="0"/>
          <w:numId w:val="24"/>
        </w:numPr>
        <w:rPr>
          <w:rFonts w:ascii="Arial" w:cs="Arial" w:eastAsia="Arial" w:hAnsi="Arial"/>
          <w:sz w:val="12"/>
          <w:szCs w:val="12"/>
          <w:color w:val="55565A"/>
        </w:rPr>
      </w:pPr>
      <w:r>
        <w:rPr>
          <w:rFonts w:ascii="Arial" w:cs="Arial" w:eastAsia="Arial" w:hAnsi="Arial"/>
          <w:sz w:val="12"/>
          <w:szCs w:val="12"/>
          <w:color w:val="55565A"/>
        </w:rPr>
        <w:t>For three months ended March 31, 2024 and 2023, see the “Results of Operations—Tax expense” section of this management’s discussion and analysis for additional information.</w:t>
      </w:r>
    </w:p>
    <w:p>
      <w:pPr>
        <w:ind w:left="480" w:hanging="313"/>
        <w:spacing w:after="0"/>
        <w:tabs>
          <w:tab w:leader="none" w:pos="480" w:val="left"/>
        </w:tabs>
        <w:numPr>
          <w:ilvl w:val="0"/>
          <w:numId w:val="24"/>
        </w:numPr>
        <w:rPr>
          <w:rFonts w:ascii="Arial" w:cs="Arial" w:eastAsia="Arial" w:hAnsi="Arial"/>
          <w:sz w:val="12"/>
          <w:szCs w:val="12"/>
          <w:color w:val="55565A"/>
        </w:rPr>
      </w:pPr>
      <w:r>
        <w:rPr>
          <w:rFonts w:ascii="Arial" w:cs="Arial" w:eastAsia="Arial" w:hAnsi="Arial"/>
          <w:sz w:val="12"/>
          <w:szCs w:val="12"/>
          <w:color w:val="55565A"/>
        </w:rPr>
        <w:t>The adjusted earnings impact of non-controlling interests, which was applicable only to the three months ended March 31, 2024, was not material.</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Reconciliation of effective tax rate on adjusted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4020" w:type="dxa"/>
            <w:vAlign w:val="bottom"/>
          </w:tcPr>
          <w:p>
            <w:pPr>
              <w:jc w:val="right"/>
              <w:ind w:right="469"/>
              <w:spacing w:after="0"/>
              <w:rPr>
                <w:sz w:val="20"/>
                <w:szCs w:val="20"/>
                <w:color w:val="auto"/>
              </w:rPr>
            </w:pPr>
            <w:r>
              <w:rPr>
                <w:rFonts w:ascii="Arial" w:cs="Arial" w:eastAsia="Arial" w:hAnsi="Arial"/>
                <w:sz w:val="14"/>
                <w:szCs w:val="14"/>
                <w:b w:val="1"/>
                <w:bCs w:val="1"/>
                <w:color w:val="55565A"/>
              </w:rPr>
              <w:t>Year ended December 31,</w:t>
            </w:r>
          </w:p>
        </w:tc>
        <w:tc>
          <w:tcPr>
            <w:tcW w:w="0" w:type="dxa"/>
            <w:vAlign w:val="bottom"/>
          </w:tcPr>
          <w:p>
            <w:pPr>
              <w:spacing w:after="0"/>
              <w:rPr>
                <w:sz w:val="1"/>
                <w:szCs w:val="1"/>
                <w:color w:val="auto"/>
              </w:rPr>
            </w:pPr>
          </w:p>
        </w:tc>
      </w:tr>
      <w:tr>
        <w:trPr>
          <w:trHeight w:val="361"/>
        </w:trPr>
        <w:tc>
          <w:tcPr>
            <w:tcW w:w="6900" w:type="dxa"/>
            <w:vAlign w:val="bottom"/>
            <w:gridSpan w:val="2"/>
          </w:tcPr>
          <w:p>
            <w:pPr>
              <w:spacing w:after="0"/>
              <w:rPr>
                <w:sz w:val="20"/>
                <w:szCs w:val="20"/>
                <w:color w:val="auto"/>
              </w:rPr>
            </w:pPr>
            <w:r>
              <w:rPr>
                <w:rFonts w:ascii="Arial" w:cs="Arial" w:eastAsia="Arial" w:hAnsi="Arial"/>
                <w:sz w:val="14"/>
                <w:szCs w:val="14"/>
                <w:b w:val="1"/>
                <w:bCs w:val="1"/>
                <w:color w:val="55565A"/>
              </w:rPr>
              <w:t>(millions of U.S. dollars, except percentages)</w:t>
            </w:r>
          </w:p>
        </w:tc>
        <w:tc>
          <w:tcPr>
            <w:tcW w:w="4020" w:type="dxa"/>
            <w:vAlign w:val="bottom"/>
          </w:tcPr>
          <w:p>
            <w:pPr>
              <w:jc w:val="right"/>
              <w:ind w:right="469"/>
              <w:spacing w:after="0"/>
              <w:rPr>
                <w:sz w:val="20"/>
                <w:szCs w:val="20"/>
                <w:color w:val="auto"/>
              </w:rPr>
            </w:pPr>
            <w:r>
              <w:rPr>
                <w:rFonts w:ascii="Arial" w:cs="Arial" w:eastAsia="Arial" w:hAnsi="Arial"/>
                <w:sz w:val="14"/>
                <w:szCs w:val="14"/>
                <w:color w:val="55565A"/>
              </w:rPr>
              <w:t>2023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80" w:type="dxa"/>
            <w:vAlign w:val="bottom"/>
            <w:tcBorders>
              <w:bottom w:val="single" w:sz="8" w:color="88888B"/>
            </w:tcBorders>
          </w:tcPr>
          <w:p>
            <w:pPr>
              <w:spacing w:after="0"/>
              <w:rPr>
                <w:sz w:val="8"/>
                <w:szCs w:val="8"/>
                <w:color w:val="auto"/>
              </w:rPr>
            </w:pPr>
          </w:p>
        </w:tc>
        <w:tc>
          <w:tcPr>
            <w:tcW w:w="4020" w:type="dxa"/>
            <w:vAlign w:val="bottom"/>
            <w:tcBorders>
              <w:bottom w:val="single" w:sz="8" w:color="88888B"/>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Adjusted earnings</w:t>
            </w:r>
          </w:p>
        </w:tc>
        <w:tc>
          <w:tcPr>
            <w:tcW w:w="402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1,629</w:t>
            </w:r>
          </w:p>
        </w:tc>
        <w:tc>
          <w:tcPr>
            <w:tcW w:w="0" w:type="dxa"/>
            <w:vAlign w:val="bottom"/>
          </w:tcPr>
          <w:p>
            <w:pPr>
              <w:spacing w:after="0"/>
              <w:rPr>
                <w:sz w:val="1"/>
                <w:szCs w:val="1"/>
                <w:color w:val="auto"/>
              </w:rPr>
            </w:pPr>
          </w:p>
        </w:tc>
      </w:tr>
      <w:tr>
        <w:trPr>
          <w:trHeight w:val="233"/>
        </w:trPr>
        <w:tc>
          <w:tcPr>
            <w:tcW w:w="6900" w:type="dxa"/>
            <w:vAlign w:val="bottom"/>
            <w:gridSpan w:val="2"/>
          </w:tcPr>
          <w:p>
            <w:pPr>
              <w:spacing w:after="0"/>
              <w:rPr>
                <w:sz w:val="20"/>
                <w:szCs w:val="20"/>
                <w:color w:val="auto"/>
              </w:rPr>
            </w:pPr>
            <w:r>
              <w:rPr>
                <w:rFonts w:ascii="Arial" w:cs="Arial" w:eastAsia="Arial" w:hAnsi="Arial"/>
                <w:sz w:val="14"/>
                <w:szCs w:val="14"/>
                <w:color w:val="55565A"/>
              </w:rPr>
              <w:t>Plus: Dividends declared on preference shares</w:t>
            </w:r>
          </w:p>
        </w:tc>
        <w:tc>
          <w:tcPr>
            <w:tcW w:w="4020" w:type="dxa"/>
            <w:vAlign w:val="bottom"/>
          </w:tcPr>
          <w:p>
            <w:pPr>
              <w:jc w:val="right"/>
              <w:ind w:right="469"/>
              <w:spacing w:after="0"/>
              <w:rPr>
                <w:sz w:val="20"/>
                <w:szCs w:val="20"/>
                <w:color w:val="auto"/>
              </w:rPr>
            </w:pPr>
            <w:r>
              <w:rPr>
                <w:rFonts w:ascii="Arial" w:cs="Arial" w:eastAsia="Arial" w:hAnsi="Arial"/>
                <w:sz w:val="14"/>
                <w:szCs w:val="14"/>
                <w:color w:val="55565A"/>
              </w:rPr>
              <w:t>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5565A"/>
              </w:rPr>
              <w:t>Plus: Tax expense on adjusted earnings</w:t>
            </w:r>
          </w:p>
        </w:tc>
        <w:tc>
          <w:tcPr>
            <w:tcW w:w="40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55565A"/>
              </w:rPr>
              <w:t>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88888B"/>
          </w:tcPr>
          <w:p>
            <w:pPr>
              <w:spacing w:after="0" w:line="20" w:lineRule="exact"/>
              <w:rPr>
                <w:sz w:val="1"/>
                <w:szCs w:val="1"/>
                <w:color w:val="auto"/>
              </w:rPr>
            </w:pPr>
          </w:p>
        </w:tc>
        <w:tc>
          <w:tcPr>
            <w:tcW w:w="4020" w:type="dxa"/>
            <w:vAlign w:val="bottom"/>
            <w:shd w:val="clear" w:color="auto" w:fill="8888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900" w:type="dxa"/>
            <w:vAlign w:val="bottom"/>
            <w:gridSpan w:val="2"/>
          </w:tcPr>
          <w:p>
            <w:pPr>
              <w:spacing w:after="0"/>
              <w:rPr>
                <w:sz w:val="20"/>
                <w:szCs w:val="20"/>
                <w:color w:val="auto"/>
              </w:rPr>
            </w:pPr>
            <w:r>
              <w:rPr>
                <w:rFonts w:ascii="Arial" w:cs="Arial" w:eastAsia="Arial" w:hAnsi="Arial"/>
                <w:sz w:val="14"/>
                <w:szCs w:val="14"/>
                <w:b w:val="1"/>
                <w:bCs w:val="1"/>
                <w:color w:val="55565A"/>
              </w:rPr>
              <w:t>Pre-tax adjusted earnings</w:t>
            </w:r>
          </w:p>
        </w:tc>
        <w:tc>
          <w:tcPr>
            <w:tcW w:w="4020" w:type="dxa"/>
            <w:vAlign w:val="bottom"/>
          </w:tcPr>
          <w:p>
            <w:pPr>
              <w:jc w:val="right"/>
              <w:ind w:right="469"/>
              <w:spacing w:after="0"/>
              <w:rPr>
                <w:sz w:val="20"/>
                <w:szCs w:val="20"/>
                <w:color w:val="auto"/>
              </w:rPr>
            </w:pPr>
            <w:r>
              <w:rPr>
                <w:rFonts w:ascii="Arial" w:cs="Arial" w:eastAsia="Arial" w:hAnsi="Arial"/>
                <w:sz w:val="14"/>
                <w:szCs w:val="14"/>
                <w:b w:val="1"/>
                <w:bCs w:val="1"/>
                <w:color w:val="55565A"/>
              </w:rPr>
              <w:t>1,958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880" w:type="dxa"/>
            <w:vAlign w:val="bottom"/>
            <w:tcBorders>
              <w:bottom w:val="single" w:sz="8" w:color="88888B"/>
            </w:tcBorders>
          </w:tcPr>
          <w:p>
            <w:pPr>
              <w:spacing w:after="0"/>
              <w:rPr>
                <w:sz w:val="2"/>
                <w:szCs w:val="2"/>
                <w:color w:val="auto"/>
              </w:rPr>
            </w:pPr>
          </w:p>
        </w:tc>
        <w:tc>
          <w:tcPr>
            <w:tcW w:w="402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6880" w:type="dxa"/>
            <w:vAlign w:val="bottom"/>
          </w:tcPr>
          <w:p>
            <w:pPr>
              <w:spacing w:after="0"/>
              <w:rPr>
                <w:sz w:val="5"/>
                <w:szCs w:val="5"/>
                <w:color w:val="auto"/>
              </w:rPr>
            </w:pPr>
          </w:p>
        </w:tc>
        <w:tc>
          <w:tcPr>
            <w:tcW w:w="4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IFRS tax expense</w:t>
            </w:r>
          </w:p>
        </w:tc>
        <w:tc>
          <w:tcPr>
            <w:tcW w:w="402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417</w:t>
            </w:r>
          </w:p>
        </w:tc>
        <w:tc>
          <w:tcPr>
            <w:tcW w:w="0" w:type="dxa"/>
            <w:vAlign w:val="bottom"/>
          </w:tcPr>
          <w:p>
            <w:pPr>
              <w:spacing w:after="0"/>
              <w:rPr>
                <w:sz w:val="1"/>
                <w:szCs w:val="1"/>
                <w:color w:val="auto"/>
              </w:rPr>
            </w:pPr>
          </w:p>
        </w:tc>
      </w:tr>
      <w:tr>
        <w:trPr>
          <w:trHeight w:val="233"/>
        </w:trPr>
        <w:tc>
          <w:tcPr>
            <w:tcW w:w="6900" w:type="dxa"/>
            <w:vAlign w:val="bottom"/>
            <w:gridSpan w:val="2"/>
          </w:tcPr>
          <w:p>
            <w:pPr>
              <w:spacing w:after="0"/>
              <w:rPr>
                <w:sz w:val="20"/>
                <w:szCs w:val="20"/>
                <w:color w:val="auto"/>
              </w:rPr>
            </w:pPr>
            <w:r>
              <w:rPr>
                <w:rFonts w:ascii="Arial" w:cs="Arial" w:eastAsia="Arial" w:hAnsi="Arial"/>
                <w:sz w:val="14"/>
                <w:szCs w:val="14"/>
                <w:color w:val="55565A"/>
              </w:rPr>
              <w:t>Remove tax related to:</w:t>
            </w: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55565A"/>
              </w:rPr>
              <w:t>Amortization of acquired computer software</w:t>
            </w:r>
          </w:p>
        </w:tc>
        <w:tc>
          <w:tcPr>
            <w:tcW w:w="40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55565A"/>
              </w:rPr>
              <w:t>17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80" w:type="dxa"/>
            <w:vAlign w:val="bottom"/>
          </w:tcPr>
          <w:p>
            <w:pPr>
              <w:ind w:left="140"/>
              <w:spacing w:after="0"/>
              <w:rPr>
                <w:sz w:val="20"/>
                <w:szCs w:val="20"/>
                <w:color w:val="auto"/>
              </w:rPr>
            </w:pPr>
            <w:r>
              <w:rPr>
                <w:rFonts w:ascii="Arial" w:cs="Arial" w:eastAsia="Arial" w:hAnsi="Arial"/>
                <w:sz w:val="14"/>
                <w:szCs w:val="14"/>
                <w:color w:val="55565A"/>
              </w:rPr>
              <w:t>Amortization of other identifiable intangible assets</w:t>
            </w:r>
          </w:p>
        </w:tc>
        <w:tc>
          <w:tcPr>
            <w:tcW w:w="4020" w:type="dxa"/>
            <w:vAlign w:val="bottom"/>
          </w:tcPr>
          <w:p>
            <w:pPr>
              <w:jc w:val="right"/>
              <w:ind w:right="469"/>
              <w:spacing w:after="0"/>
              <w:rPr>
                <w:sz w:val="20"/>
                <w:szCs w:val="20"/>
                <w:color w:val="auto"/>
              </w:rPr>
            </w:pPr>
            <w:r>
              <w:rPr>
                <w:rFonts w:ascii="Arial" w:cs="Arial" w:eastAsia="Arial" w:hAnsi="Arial"/>
                <w:sz w:val="14"/>
                <w:szCs w:val="14"/>
                <w:color w:val="55565A"/>
              </w:rPr>
              <w:t>22</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55565A"/>
              </w:rPr>
              <w:t>Share of post-tax earnings in equity method investments</w:t>
            </w:r>
          </w:p>
        </w:tc>
        <w:tc>
          <w:tcPr>
            <w:tcW w:w="40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55565A"/>
              </w:rPr>
              <w:t>(253)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80" w:type="dxa"/>
            <w:vAlign w:val="bottom"/>
          </w:tcPr>
          <w:p>
            <w:pPr>
              <w:ind w:left="140"/>
              <w:spacing w:after="0"/>
              <w:rPr>
                <w:sz w:val="20"/>
                <w:szCs w:val="20"/>
                <w:color w:val="auto"/>
              </w:rPr>
            </w:pPr>
            <w:r>
              <w:rPr>
                <w:rFonts w:ascii="Arial" w:cs="Arial" w:eastAsia="Arial" w:hAnsi="Arial"/>
                <w:sz w:val="14"/>
                <w:szCs w:val="14"/>
                <w:color w:val="55565A"/>
              </w:rPr>
              <w:t>Other finance costs</w:t>
            </w:r>
          </w:p>
        </w:tc>
        <w:tc>
          <w:tcPr>
            <w:tcW w:w="4020" w:type="dxa"/>
            <w:vAlign w:val="bottom"/>
          </w:tcPr>
          <w:p>
            <w:pPr>
              <w:jc w:val="right"/>
              <w:ind w:right="469"/>
              <w:spacing w:after="0"/>
              <w:rPr>
                <w:sz w:val="20"/>
                <w:szCs w:val="20"/>
                <w:color w:val="auto"/>
              </w:rPr>
            </w:pPr>
            <w:r>
              <w:rPr>
                <w:rFonts w:ascii="Arial" w:cs="Arial" w:eastAsia="Arial" w:hAnsi="Arial"/>
                <w:sz w:val="14"/>
                <w:szCs w:val="14"/>
                <w:color w:val="55565A"/>
              </w:rPr>
              <w:t>31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55565A"/>
              </w:rPr>
              <w:t>Other operating gains, net</w:t>
            </w:r>
          </w:p>
        </w:tc>
        <w:tc>
          <w:tcPr>
            <w:tcW w:w="40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55565A"/>
              </w:rPr>
              <w:t>(81)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80" w:type="dxa"/>
            <w:vAlign w:val="bottom"/>
          </w:tcPr>
          <w:p>
            <w:pPr>
              <w:ind w:left="140"/>
              <w:spacing w:after="0"/>
              <w:rPr>
                <w:sz w:val="20"/>
                <w:szCs w:val="20"/>
                <w:color w:val="auto"/>
              </w:rPr>
            </w:pPr>
            <w:r>
              <w:rPr>
                <w:rFonts w:ascii="Arial" w:cs="Arial" w:eastAsia="Arial" w:hAnsi="Arial"/>
                <w:sz w:val="14"/>
                <w:szCs w:val="14"/>
                <w:color w:val="55565A"/>
              </w:rPr>
              <w:t>Other items</w:t>
            </w:r>
          </w:p>
        </w:tc>
        <w:tc>
          <w:tcPr>
            <w:tcW w:w="4020" w:type="dxa"/>
            <w:vAlign w:val="bottom"/>
          </w:tcPr>
          <w:p>
            <w:pPr>
              <w:jc w:val="right"/>
              <w:ind w:right="469"/>
              <w:spacing w:after="0"/>
              <w:rPr>
                <w:sz w:val="20"/>
                <w:szCs w:val="20"/>
                <w:color w:val="auto"/>
              </w:rPr>
            </w:pPr>
            <w:r>
              <w:rPr>
                <w:rFonts w:ascii="Arial" w:cs="Arial" w:eastAsia="Arial" w:hAnsi="Arial"/>
                <w:sz w:val="14"/>
                <w:szCs w:val="14"/>
                <w:color w:val="55565A"/>
              </w:rPr>
              <w:t>(1)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80" w:type="dxa"/>
            <w:vAlign w:val="bottom"/>
            <w:tcBorders>
              <w:bottom w:val="single" w:sz="8" w:color="88888B"/>
            </w:tcBorders>
          </w:tcPr>
          <w:p>
            <w:pPr>
              <w:spacing w:after="0"/>
              <w:rPr>
                <w:sz w:val="2"/>
                <w:szCs w:val="2"/>
                <w:color w:val="auto"/>
              </w:rPr>
            </w:pPr>
          </w:p>
        </w:tc>
        <w:tc>
          <w:tcPr>
            <w:tcW w:w="402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5565A"/>
              </w:rPr>
              <w:t>Subtotal – Remove tax expense on pre-tax items removed from adjusted earnings</w:t>
            </w:r>
          </w:p>
        </w:tc>
        <w:tc>
          <w:tcPr>
            <w:tcW w:w="40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55565A"/>
              </w:rPr>
              <w:t>(265)</w:t>
            </w:r>
          </w:p>
        </w:tc>
        <w:tc>
          <w:tcPr>
            <w:tcW w:w="0" w:type="dxa"/>
            <w:vAlign w:val="bottom"/>
          </w:tcPr>
          <w:p>
            <w:pPr>
              <w:spacing w:after="0"/>
              <w:rPr>
                <w:sz w:val="1"/>
                <w:szCs w:val="1"/>
                <w:color w:val="auto"/>
              </w:rPr>
            </w:pPr>
          </w:p>
        </w:tc>
      </w:tr>
      <w:tr>
        <w:trPr>
          <w:trHeight w:val="233"/>
        </w:trPr>
        <w:tc>
          <w:tcPr>
            <w:tcW w:w="6900" w:type="dxa"/>
            <w:vAlign w:val="bottom"/>
            <w:gridSpan w:val="2"/>
          </w:tcPr>
          <w:p>
            <w:pPr>
              <w:spacing w:after="0"/>
              <w:rPr>
                <w:sz w:val="20"/>
                <w:szCs w:val="20"/>
                <w:color w:val="auto"/>
              </w:rPr>
            </w:pPr>
            <w:r>
              <w:rPr>
                <w:rFonts w:ascii="Arial" w:cs="Arial" w:eastAsia="Arial" w:hAnsi="Arial"/>
                <w:sz w:val="14"/>
                <w:szCs w:val="14"/>
                <w:color w:val="55565A"/>
              </w:rPr>
              <w:t>Remove: Tax items impacting comparability</w:t>
            </w:r>
          </w:p>
        </w:tc>
        <w:tc>
          <w:tcPr>
            <w:tcW w:w="4020" w:type="dxa"/>
            <w:vAlign w:val="bottom"/>
          </w:tcPr>
          <w:p>
            <w:pPr>
              <w:jc w:val="right"/>
              <w:ind w:right="469"/>
              <w:spacing w:after="0"/>
              <w:rPr>
                <w:sz w:val="20"/>
                <w:szCs w:val="20"/>
                <w:color w:val="auto"/>
              </w:rPr>
            </w:pPr>
            <w:r>
              <w:rPr>
                <w:rFonts w:ascii="Arial" w:cs="Arial" w:eastAsia="Arial" w:hAnsi="Arial"/>
                <w:sz w:val="14"/>
                <w:szCs w:val="14"/>
                <w:color w:val="55565A"/>
              </w:rPr>
              <w:t>172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80" w:type="dxa"/>
            <w:vAlign w:val="bottom"/>
            <w:tcBorders>
              <w:bottom w:val="single" w:sz="8" w:color="88888B"/>
            </w:tcBorders>
          </w:tcPr>
          <w:p>
            <w:pPr>
              <w:spacing w:after="0"/>
              <w:rPr>
                <w:sz w:val="2"/>
                <w:szCs w:val="2"/>
                <w:color w:val="auto"/>
              </w:rPr>
            </w:pPr>
          </w:p>
        </w:tc>
        <w:tc>
          <w:tcPr>
            <w:tcW w:w="402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5565A"/>
              </w:rPr>
              <w:t>Total – Remove all items impacting comparability</w:t>
            </w:r>
          </w:p>
        </w:tc>
        <w:tc>
          <w:tcPr>
            <w:tcW w:w="40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55565A"/>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88888B"/>
          </w:tcPr>
          <w:p>
            <w:pPr>
              <w:spacing w:after="0" w:line="20" w:lineRule="exact"/>
              <w:rPr>
                <w:sz w:val="1"/>
                <w:szCs w:val="1"/>
                <w:color w:val="auto"/>
              </w:rPr>
            </w:pPr>
          </w:p>
        </w:tc>
        <w:tc>
          <w:tcPr>
            <w:tcW w:w="4020" w:type="dxa"/>
            <w:vAlign w:val="bottom"/>
            <w:shd w:val="clear" w:color="auto" w:fill="8888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900" w:type="dxa"/>
            <w:vAlign w:val="bottom"/>
            <w:gridSpan w:val="2"/>
          </w:tcPr>
          <w:p>
            <w:pPr>
              <w:spacing w:after="0"/>
              <w:rPr>
                <w:sz w:val="20"/>
                <w:szCs w:val="20"/>
                <w:color w:val="auto"/>
              </w:rPr>
            </w:pPr>
            <w:r>
              <w:rPr>
                <w:rFonts w:ascii="Arial" w:cs="Arial" w:eastAsia="Arial" w:hAnsi="Arial"/>
                <w:sz w:val="14"/>
                <w:szCs w:val="14"/>
                <w:b w:val="1"/>
                <w:bCs w:val="1"/>
                <w:color w:val="55565A"/>
              </w:rPr>
              <w:t>Tax expense on adjusted earnings</w:t>
            </w:r>
          </w:p>
        </w:tc>
        <w:tc>
          <w:tcPr>
            <w:tcW w:w="4020" w:type="dxa"/>
            <w:vAlign w:val="bottom"/>
          </w:tcPr>
          <w:p>
            <w:pPr>
              <w:jc w:val="right"/>
              <w:ind w:right="469"/>
              <w:spacing w:after="0"/>
              <w:rPr>
                <w:sz w:val="20"/>
                <w:szCs w:val="20"/>
                <w:color w:val="auto"/>
              </w:rPr>
            </w:pPr>
            <w:r>
              <w:rPr>
                <w:rFonts w:ascii="Arial" w:cs="Arial" w:eastAsia="Arial" w:hAnsi="Arial"/>
                <w:sz w:val="14"/>
                <w:szCs w:val="14"/>
                <w:b w:val="1"/>
                <w:bCs w:val="1"/>
                <w:color w:val="55565A"/>
              </w:rPr>
              <w:t>324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880" w:type="dxa"/>
            <w:vAlign w:val="bottom"/>
            <w:tcBorders>
              <w:bottom w:val="single" w:sz="8" w:color="88888B"/>
            </w:tcBorders>
          </w:tcPr>
          <w:p>
            <w:pPr>
              <w:spacing w:after="0"/>
              <w:rPr>
                <w:sz w:val="2"/>
                <w:szCs w:val="2"/>
                <w:color w:val="auto"/>
              </w:rPr>
            </w:pPr>
          </w:p>
        </w:tc>
        <w:tc>
          <w:tcPr>
            <w:tcW w:w="402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6880" w:type="dxa"/>
            <w:vAlign w:val="bottom"/>
            <w:tcBorders>
              <w:bottom w:val="single" w:sz="8" w:color="55565A"/>
            </w:tcBorders>
            <w:shd w:val="clear" w:color="auto" w:fill="CCEEFF"/>
          </w:tcPr>
          <w:p>
            <w:pPr>
              <w:spacing w:after="0"/>
              <w:rPr>
                <w:sz w:val="20"/>
                <w:szCs w:val="20"/>
                <w:color w:val="auto"/>
              </w:rPr>
            </w:pPr>
            <w:r>
              <w:rPr>
                <w:rFonts w:ascii="Arial" w:cs="Arial" w:eastAsia="Arial" w:hAnsi="Arial"/>
                <w:sz w:val="14"/>
                <w:szCs w:val="14"/>
                <w:b w:val="1"/>
                <w:bCs w:val="1"/>
                <w:color w:val="55565A"/>
              </w:rPr>
              <w:t>Effective tax rate on adjusted earnings</w:t>
            </w:r>
          </w:p>
        </w:tc>
        <w:tc>
          <w:tcPr>
            <w:tcW w:w="4020" w:type="dxa"/>
            <w:vAlign w:val="bottom"/>
            <w:tcBorders>
              <w:bottom w:val="single" w:sz="8" w:color="55565A"/>
            </w:tcBorders>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16.5%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80" w:type="dxa"/>
            <w:vAlign w:val="bottom"/>
            <w:tcBorders>
              <w:bottom w:val="single" w:sz="8" w:color="55565A"/>
            </w:tcBorders>
          </w:tcPr>
          <w:p>
            <w:pPr>
              <w:spacing w:after="0"/>
              <w:rPr>
                <w:sz w:val="15"/>
                <w:szCs w:val="15"/>
                <w:color w:val="auto"/>
              </w:rPr>
            </w:pPr>
          </w:p>
        </w:tc>
        <w:tc>
          <w:tcPr>
            <w:tcW w:w="4020" w:type="dxa"/>
            <w:vAlign w:val="bottom"/>
            <w:tcBorders>
              <w:bottom w:val="single" w:sz="8" w:color="55565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080"/>
          </w:cols>
          <w:pgMar w:left="320" w:top="454" w:right="499" w:bottom="590" w:gutter="0" w:footer="0" w:header="0"/>
        </w:sectPr>
      </w:pPr>
    </w:p>
    <w:p>
      <w:pPr>
        <w:ind w:left="10580"/>
        <w:spacing w:after="0"/>
        <w:rPr>
          <w:sz w:val="20"/>
          <w:szCs w:val="20"/>
          <w:color w:val="auto"/>
        </w:rPr>
      </w:pPr>
      <w:r>
        <w:rPr>
          <w:rFonts w:ascii="Arial" w:cs="Arial" w:eastAsia="Arial" w:hAnsi="Arial"/>
          <w:sz w:val="13"/>
          <w:szCs w:val="13"/>
          <w:color w:val="55565A"/>
        </w:rPr>
        <w:t>Page 27</w:t>
      </w:r>
    </w:p>
    <w:p>
      <w:pPr>
        <w:sectPr>
          <w:pgSz w:w="11900" w:h="16838" w:orient="portrait"/>
          <w:cols w:equalWidth="0" w:num="1">
            <w:col w:w="11080"/>
          </w:cols>
          <w:pgMar w:left="320" w:top="454" w:right="499" w:bottom="59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Reconciliation of net cash provided by operating activities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162560</wp:posOffset>
            </wp:positionV>
            <wp:extent cx="69297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620" w:type="dxa"/>
            <w:vAlign w:val="bottom"/>
            <w:gridSpan w:val="2"/>
          </w:tcPr>
          <w:p>
            <w:pPr>
              <w:jc w:val="right"/>
              <w:ind w:right="569"/>
              <w:spacing w:after="0"/>
              <w:rPr>
                <w:sz w:val="20"/>
                <w:szCs w:val="20"/>
                <w:color w:val="auto"/>
              </w:rPr>
            </w:pPr>
            <w:r>
              <w:rPr>
                <w:rFonts w:ascii="Arial" w:cs="Arial" w:eastAsia="Arial" w:hAnsi="Arial"/>
                <w:sz w:val="14"/>
                <w:szCs w:val="14"/>
                <w:b w:val="1"/>
                <w:bCs w:val="1"/>
                <w:color w:val="55565A"/>
              </w:rPr>
              <w:t>Three months ended</w:t>
            </w:r>
          </w:p>
        </w:tc>
        <w:tc>
          <w:tcPr>
            <w:tcW w:w="1620" w:type="dxa"/>
            <w:vAlign w:val="bottom"/>
          </w:tcPr>
          <w:p>
            <w:pPr>
              <w:jc w:val="right"/>
              <w:ind w:right="409"/>
              <w:spacing w:after="0"/>
              <w:rPr>
                <w:sz w:val="20"/>
                <w:szCs w:val="20"/>
                <w:color w:val="auto"/>
              </w:rPr>
            </w:pPr>
            <w:r>
              <w:rPr>
                <w:rFonts w:ascii="Arial" w:cs="Arial" w:eastAsia="Arial" w:hAnsi="Arial"/>
                <w:sz w:val="14"/>
                <w:szCs w:val="14"/>
                <w:b w:val="1"/>
                <w:bCs w:val="1"/>
                <w:color w:val="55565A"/>
              </w:rPr>
              <w:t>Year ended</w:t>
            </w:r>
          </w:p>
        </w:tc>
      </w:tr>
      <w:tr>
        <w:trPr>
          <w:trHeight w:val="195"/>
        </w:trPr>
        <w:tc>
          <w:tcPr>
            <w:tcW w:w="6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jc w:val="right"/>
              <w:ind w:right="949"/>
              <w:spacing w:after="0"/>
              <w:rPr>
                <w:sz w:val="20"/>
                <w:szCs w:val="20"/>
                <w:color w:val="auto"/>
              </w:rPr>
            </w:pPr>
            <w:r>
              <w:rPr>
                <w:rFonts w:ascii="Arial" w:cs="Arial" w:eastAsia="Arial" w:hAnsi="Arial"/>
                <w:sz w:val="14"/>
                <w:szCs w:val="14"/>
                <w:b w:val="1"/>
                <w:bCs w:val="1"/>
                <w:color w:val="55565A"/>
                <w:w w:val="99"/>
              </w:rPr>
              <w:t>March 31,</w:t>
            </w:r>
          </w:p>
        </w:tc>
        <w:tc>
          <w:tcPr>
            <w:tcW w:w="1620" w:type="dxa"/>
            <w:vAlign w:val="bottom"/>
          </w:tcPr>
          <w:p>
            <w:pPr>
              <w:jc w:val="right"/>
              <w:ind w:right="329"/>
              <w:spacing w:after="0"/>
              <w:rPr>
                <w:sz w:val="20"/>
                <w:szCs w:val="20"/>
                <w:color w:val="auto"/>
              </w:rPr>
            </w:pPr>
            <w:r>
              <w:rPr>
                <w:rFonts w:ascii="Arial" w:cs="Arial" w:eastAsia="Arial" w:hAnsi="Arial"/>
                <w:sz w:val="14"/>
                <w:szCs w:val="14"/>
                <w:b w:val="1"/>
                <w:bCs w:val="1"/>
                <w:color w:val="55565A"/>
              </w:rPr>
              <w:t>December 31,</w:t>
            </w:r>
          </w:p>
        </w:tc>
      </w:tr>
      <w:tr>
        <w:trPr>
          <w:trHeight w:val="361"/>
        </w:trPr>
        <w:tc>
          <w:tcPr>
            <w:tcW w:w="6680" w:type="dxa"/>
            <w:vAlign w:val="bottom"/>
          </w:tcPr>
          <w:p>
            <w:pPr>
              <w:spacing w:after="0"/>
              <w:rPr>
                <w:sz w:val="20"/>
                <w:szCs w:val="20"/>
                <w:color w:val="auto"/>
              </w:rPr>
            </w:pPr>
            <w:r>
              <w:rPr>
                <w:rFonts w:ascii="Arial" w:cs="Arial" w:eastAsia="Arial" w:hAnsi="Arial"/>
                <w:sz w:val="14"/>
                <w:szCs w:val="14"/>
                <w:b w:val="1"/>
                <w:bCs w:val="1"/>
                <w:color w:val="55565A"/>
              </w:rPr>
              <w:t>   (millions of U.S. dollars)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55565A"/>
              </w:rPr>
              <w:t>2024</w:t>
            </w:r>
          </w:p>
        </w:tc>
        <w:tc>
          <w:tcPr>
            <w:tcW w:w="1680" w:type="dxa"/>
            <w:vAlign w:val="bottom"/>
          </w:tcPr>
          <w:p>
            <w:pPr>
              <w:jc w:val="right"/>
              <w:ind w:right="309"/>
              <w:spacing w:after="0"/>
              <w:rPr>
                <w:sz w:val="20"/>
                <w:szCs w:val="20"/>
                <w:color w:val="auto"/>
              </w:rPr>
            </w:pPr>
            <w:r>
              <w:rPr>
                <w:rFonts w:ascii="Arial" w:cs="Arial" w:eastAsia="Arial" w:hAnsi="Arial"/>
                <w:sz w:val="14"/>
                <w:szCs w:val="14"/>
                <w:color w:val="55565A"/>
              </w:rPr>
              <w:t>2023</w:t>
            </w:r>
          </w:p>
        </w:tc>
        <w:tc>
          <w:tcPr>
            <w:tcW w:w="1620" w:type="dxa"/>
            <w:vAlign w:val="bottom"/>
          </w:tcPr>
          <w:p>
            <w:pPr>
              <w:jc w:val="right"/>
              <w:ind w:right="309"/>
              <w:spacing w:after="0"/>
              <w:rPr>
                <w:sz w:val="20"/>
                <w:szCs w:val="20"/>
                <w:color w:val="auto"/>
              </w:rPr>
            </w:pPr>
            <w:r>
              <w:rPr>
                <w:rFonts w:ascii="Arial" w:cs="Arial" w:eastAsia="Arial" w:hAnsi="Arial"/>
                <w:sz w:val="14"/>
                <w:szCs w:val="14"/>
                <w:color w:val="55565A"/>
              </w:rPr>
              <w:t>2023</w:t>
            </w:r>
          </w:p>
        </w:tc>
      </w:tr>
      <w:tr>
        <w:trPr>
          <w:trHeight w:val="95"/>
        </w:trPr>
        <w:tc>
          <w:tcPr>
            <w:tcW w:w="6680" w:type="dxa"/>
            <w:vAlign w:val="bottom"/>
            <w:tcBorders>
              <w:bottom w:val="single" w:sz="8" w:color="88888B"/>
            </w:tcBorders>
          </w:tcPr>
          <w:p>
            <w:pPr>
              <w:spacing w:after="0"/>
              <w:rPr>
                <w:sz w:val="8"/>
                <w:szCs w:val="8"/>
                <w:color w:val="auto"/>
              </w:rPr>
            </w:pPr>
          </w:p>
        </w:tc>
        <w:tc>
          <w:tcPr>
            <w:tcW w:w="940" w:type="dxa"/>
            <w:vAlign w:val="bottom"/>
            <w:tcBorders>
              <w:bottom w:val="single" w:sz="8" w:color="88888B"/>
            </w:tcBorders>
          </w:tcPr>
          <w:p>
            <w:pPr>
              <w:spacing w:after="0"/>
              <w:rPr>
                <w:sz w:val="8"/>
                <w:szCs w:val="8"/>
                <w:color w:val="auto"/>
              </w:rPr>
            </w:pPr>
          </w:p>
        </w:tc>
        <w:tc>
          <w:tcPr>
            <w:tcW w:w="1680" w:type="dxa"/>
            <w:vAlign w:val="bottom"/>
            <w:tcBorders>
              <w:bottom w:val="single" w:sz="8" w:color="88888B"/>
            </w:tcBorders>
          </w:tcPr>
          <w:p>
            <w:pPr>
              <w:spacing w:after="0"/>
              <w:rPr>
                <w:sz w:val="8"/>
                <w:szCs w:val="8"/>
                <w:color w:val="auto"/>
              </w:rPr>
            </w:pPr>
          </w:p>
        </w:tc>
        <w:tc>
          <w:tcPr>
            <w:tcW w:w="1620" w:type="dxa"/>
            <w:vAlign w:val="bottom"/>
            <w:tcBorders>
              <w:bottom w:val="single" w:sz="8" w:color="88888B"/>
            </w:tcBorders>
          </w:tcPr>
          <w:p>
            <w:pPr>
              <w:spacing w:after="0"/>
              <w:rPr>
                <w:sz w:val="8"/>
                <w:szCs w:val="8"/>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4"/>
        </w:trPr>
        <w:tc>
          <w:tcPr>
            <w:tcW w:w="66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5565A"/>
              </w:rPr>
              <w:t>Net cash provided by operating activities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55565A"/>
              </w:rPr>
              <w:t>432</w:t>
            </w:r>
          </w:p>
        </w:tc>
        <w:tc>
          <w:tcPr>
            <w:tcW w:w="16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5565A"/>
              </w:rPr>
              <w:t>267</w:t>
            </w:r>
          </w:p>
        </w:tc>
        <w:tc>
          <w:tcPr>
            <w:tcW w:w="162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5565A"/>
              </w:rPr>
              <w:t>2,341</w:t>
            </w:r>
          </w:p>
        </w:tc>
      </w:tr>
      <w:tr>
        <w:trPr>
          <w:trHeight w:val="239"/>
        </w:trPr>
        <w:tc>
          <w:tcPr>
            <w:tcW w:w="6680" w:type="dxa"/>
            <w:vAlign w:val="bottom"/>
          </w:tcPr>
          <w:p>
            <w:pPr>
              <w:ind w:left="120"/>
              <w:spacing w:after="0"/>
              <w:rPr>
                <w:sz w:val="20"/>
                <w:szCs w:val="20"/>
                <w:color w:val="auto"/>
              </w:rPr>
            </w:pPr>
            <w:r>
              <w:rPr>
                <w:rFonts w:ascii="Arial" w:cs="Arial" w:eastAsia="Arial" w:hAnsi="Arial"/>
                <w:sz w:val="14"/>
                <w:szCs w:val="14"/>
                <w:b w:val="1"/>
                <w:bCs w:val="1"/>
                <w:color w:val="55565A"/>
              </w:rPr>
              <w:t>Capital expenditures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55565A"/>
              </w:rPr>
              <w:t>(145)</w:t>
            </w:r>
          </w:p>
        </w:tc>
        <w:tc>
          <w:tcPr>
            <w:tcW w:w="1680" w:type="dxa"/>
            <w:vAlign w:val="bottom"/>
          </w:tcPr>
          <w:p>
            <w:pPr>
              <w:jc w:val="right"/>
              <w:ind w:right="309"/>
              <w:spacing w:after="0"/>
              <w:rPr>
                <w:sz w:val="20"/>
                <w:szCs w:val="20"/>
                <w:color w:val="auto"/>
              </w:rPr>
            </w:pPr>
            <w:r>
              <w:rPr>
                <w:rFonts w:ascii="Arial" w:cs="Arial" w:eastAsia="Arial" w:hAnsi="Arial"/>
                <w:sz w:val="14"/>
                <w:szCs w:val="14"/>
                <w:color w:val="55565A"/>
              </w:rPr>
              <w:t>(140)</w:t>
            </w:r>
          </w:p>
        </w:tc>
        <w:tc>
          <w:tcPr>
            <w:tcW w:w="1620" w:type="dxa"/>
            <w:vAlign w:val="bottom"/>
          </w:tcPr>
          <w:p>
            <w:pPr>
              <w:jc w:val="right"/>
              <w:ind w:right="309"/>
              <w:spacing w:after="0"/>
              <w:rPr>
                <w:sz w:val="20"/>
                <w:szCs w:val="20"/>
                <w:color w:val="auto"/>
              </w:rPr>
            </w:pPr>
            <w:r>
              <w:rPr>
                <w:rFonts w:ascii="Arial" w:cs="Arial" w:eastAsia="Arial" w:hAnsi="Arial"/>
                <w:sz w:val="14"/>
                <w:szCs w:val="14"/>
                <w:color w:val="55565A"/>
              </w:rPr>
              <w:t>(544)</w:t>
            </w:r>
          </w:p>
        </w:tc>
      </w:tr>
      <w:tr>
        <w:trPr>
          <w:trHeight w:val="82"/>
        </w:trPr>
        <w:tc>
          <w:tcPr>
            <w:tcW w:w="6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14"/>
        </w:trPr>
        <w:tc>
          <w:tcPr>
            <w:tcW w:w="66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5565A"/>
              </w:rPr>
              <w:t>Other investing activities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55565A"/>
              </w:rPr>
              <w:t>–</w:t>
            </w:r>
          </w:p>
        </w:tc>
        <w:tc>
          <w:tcPr>
            <w:tcW w:w="16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5565A"/>
              </w:rPr>
              <w:t>23</w:t>
            </w:r>
          </w:p>
        </w:tc>
        <w:tc>
          <w:tcPr>
            <w:tcW w:w="162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5565A"/>
              </w:rPr>
              <w:t>137</w:t>
            </w:r>
          </w:p>
        </w:tc>
      </w:tr>
      <w:tr>
        <w:trPr>
          <w:trHeight w:val="239"/>
        </w:trPr>
        <w:tc>
          <w:tcPr>
            <w:tcW w:w="6680" w:type="dxa"/>
            <w:vAlign w:val="bottom"/>
          </w:tcPr>
          <w:p>
            <w:pPr>
              <w:ind w:left="120"/>
              <w:spacing w:after="0"/>
              <w:rPr>
                <w:sz w:val="20"/>
                <w:szCs w:val="20"/>
                <w:color w:val="auto"/>
              </w:rPr>
            </w:pPr>
            <w:r>
              <w:rPr>
                <w:rFonts w:ascii="Arial" w:cs="Arial" w:eastAsia="Arial" w:hAnsi="Arial"/>
                <w:sz w:val="14"/>
                <w:szCs w:val="14"/>
                <w:b w:val="1"/>
                <w:bCs w:val="1"/>
                <w:color w:val="55565A"/>
              </w:rPr>
              <w:t>Payments of lease principal</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55565A"/>
              </w:rPr>
              <w:t>(15)</w:t>
            </w:r>
          </w:p>
        </w:tc>
        <w:tc>
          <w:tcPr>
            <w:tcW w:w="1680" w:type="dxa"/>
            <w:vAlign w:val="bottom"/>
          </w:tcPr>
          <w:p>
            <w:pPr>
              <w:jc w:val="right"/>
              <w:ind w:right="309"/>
              <w:spacing w:after="0"/>
              <w:rPr>
                <w:sz w:val="20"/>
                <w:szCs w:val="20"/>
                <w:color w:val="auto"/>
              </w:rPr>
            </w:pPr>
            <w:r>
              <w:rPr>
                <w:rFonts w:ascii="Arial" w:cs="Arial" w:eastAsia="Arial" w:hAnsi="Arial"/>
                <w:sz w:val="14"/>
                <w:szCs w:val="14"/>
                <w:color w:val="55565A"/>
              </w:rPr>
              <w:t>(16)</w:t>
            </w:r>
          </w:p>
        </w:tc>
        <w:tc>
          <w:tcPr>
            <w:tcW w:w="1620" w:type="dxa"/>
            <w:vAlign w:val="bottom"/>
          </w:tcPr>
          <w:p>
            <w:pPr>
              <w:jc w:val="right"/>
              <w:ind w:right="309"/>
              <w:spacing w:after="0"/>
              <w:rPr>
                <w:sz w:val="20"/>
                <w:szCs w:val="20"/>
                <w:color w:val="auto"/>
              </w:rPr>
            </w:pPr>
            <w:r>
              <w:rPr>
                <w:rFonts w:ascii="Arial" w:cs="Arial" w:eastAsia="Arial" w:hAnsi="Arial"/>
                <w:sz w:val="14"/>
                <w:szCs w:val="14"/>
                <w:color w:val="55565A"/>
              </w:rPr>
              <w:t>(58)</w:t>
            </w:r>
          </w:p>
        </w:tc>
      </w:tr>
      <w:tr>
        <w:trPr>
          <w:trHeight w:val="82"/>
        </w:trPr>
        <w:tc>
          <w:tcPr>
            <w:tcW w:w="6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07"/>
        </w:trPr>
        <w:tc>
          <w:tcPr>
            <w:tcW w:w="6680" w:type="dxa"/>
            <w:vAlign w:val="bottom"/>
            <w:tcBorders>
              <w:bottom w:val="single" w:sz="8" w:color="88888B"/>
            </w:tcBorders>
            <w:shd w:val="clear" w:color="auto" w:fill="CCEEFF"/>
          </w:tcPr>
          <w:p>
            <w:pPr>
              <w:ind w:left="120"/>
              <w:spacing w:after="0"/>
              <w:rPr>
                <w:sz w:val="20"/>
                <w:szCs w:val="20"/>
                <w:color w:val="auto"/>
              </w:rPr>
            </w:pPr>
            <w:r>
              <w:rPr>
                <w:rFonts w:ascii="Arial" w:cs="Arial" w:eastAsia="Arial" w:hAnsi="Arial"/>
                <w:sz w:val="14"/>
                <w:szCs w:val="14"/>
                <w:b w:val="1"/>
                <w:bCs w:val="1"/>
                <w:color w:val="55565A"/>
              </w:rPr>
              <w:t>Dividends paid on preference shares</w:t>
            </w:r>
          </w:p>
        </w:tc>
        <w:tc>
          <w:tcPr>
            <w:tcW w:w="94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4"/>
                <w:szCs w:val="14"/>
                <w:b w:val="1"/>
                <w:bCs w:val="1"/>
                <w:color w:val="55565A"/>
              </w:rPr>
              <w:t>(1)</w:t>
            </w:r>
          </w:p>
        </w:tc>
        <w:tc>
          <w:tcPr>
            <w:tcW w:w="1680" w:type="dxa"/>
            <w:vAlign w:val="bottom"/>
            <w:tcBorders>
              <w:bottom w:val="single" w:sz="8" w:color="88888B"/>
            </w:tcBorders>
            <w:shd w:val="clear" w:color="auto" w:fill="CCEEFF"/>
          </w:tcPr>
          <w:p>
            <w:pPr>
              <w:jc w:val="right"/>
              <w:ind w:right="309"/>
              <w:spacing w:after="0"/>
              <w:rPr>
                <w:sz w:val="20"/>
                <w:szCs w:val="20"/>
                <w:color w:val="auto"/>
              </w:rPr>
            </w:pPr>
            <w:r>
              <w:rPr>
                <w:rFonts w:ascii="Arial" w:cs="Arial" w:eastAsia="Arial" w:hAnsi="Arial"/>
                <w:sz w:val="14"/>
                <w:szCs w:val="14"/>
                <w:color w:val="55565A"/>
              </w:rPr>
              <w:t>(1)</w:t>
            </w:r>
          </w:p>
        </w:tc>
        <w:tc>
          <w:tcPr>
            <w:tcW w:w="1620" w:type="dxa"/>
            <w:vAlign w:val="bottom"/>
            <w:tcBorders>
              <w:bottom w:val="single" w:sz="8" w:color="88888B"/>
            </w:tcBorders>
            <w:shd w:val="clear" w:color="auto" w:fill="CCEEFF"/>
          </w:tcPr>
          <w:p>
            <w:pPr>
              <w:jc w:val="right"/>
              <w:ind w:right="309"/>
              <w:spacing w:after="0"/>
              <w:rPr>
                <w:sz w:val="20"/>
                <w:szCs w:val="20"/>
                <w:color w:val="auto"/>
              </w:rPr>
            </w:pPr>
            <w:r>
              <w:rPr>
                <w:rFonts w:ascii="Arial" w:cs="Arial" w:eastAsia="Arial" w:hAnsi="Arial"/>
                <w:sz w:val="14"/>
                <w:szCs w:val="14"/>
                <w:color w:val="55565A"/>
              </w:rPr>
              <w:t>(5)</w:t>
            </w:r>
          </w:p>
        </w:tc>
      </w:tr>
      <w:tr>
        <w:trPr>
          <w:trHeight w:val="226"/>
        </w:trPr>
        <w:tc>
          <w:tcPr>
            <w:tcW w:w="6680" w:type="dxa"/>
            <w:vAlign w:val="bottom"/>
          </w:tcPr>
          <w:p>
            <w:pPr>
              <w:ind w:left="120"/>
              <w:spacing w:after="0"/>
              <w:rPr>
                <w:sz w:val="20"/>
                <w:szCs w:val="20"/>
                <w:color w:val="auto"/>
              </w:rPr>
            </w:pPr>
            <w:r>
              <w:rPr>
                <w:rFonts w:ascii="Arial" w:cs="Arial" w:eastAsia="Arial" w:hAnsi="Arial"/>
                <w:sz w:val="14"/>
                <w:szCs w:val="14"/>
                <w:b w:val="1"/>
                <w:bCs w:val="1"/>
                <w:color w:val="55565A"/>
              </w:rPr>
              <w:t>Free cash flow</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55565A"/>
              </w:rPr>
              <w:t>271</w:t>
            </w:r>
          </w:p>
        </w:tc>
        <w:tc>
          <w:tcPr>
            <w:tcW w:w="1680" w:type="dxa"/>
            <w:vAlign w:val="bottom"/>
          </w:tcPr>
          <w:p>
            <w:pPr>
              <w:jc w:val="right"/>
              <w:ind w:right="309"/>
              <w:spacing w:after="0"/>
              <w:rPr>
                <w:sz w:val="20"/>
                <w:szCs w:val="20"/>
                <w:color w:val="auto"/>
              </w:rPr>
            </w:pPr>
            <w:r>
              <w:rPr>
                <w:rFonts w:ascii="Arial" w:cs="Arial" w:eastAsia="Arial" w:hAnsi="Arial"/>
                <w:sz w:val="14"/>
                <w:szCs w:val="14"/>
                <w:color w:val="55565A"/>
              </w:rPr>
              <w:t>133</w:t>
            </w:r>
          </w:p>
        </w:tc>
        <w:tc>
          <w:tcPr>
            <w:tcW w:w="1620" w:type="dxa"/>
            <w:vAlign w:val="bottom"/>
          </w:tcPr>
          <w:p>
            <w:pPr>
              <w:jc w:val="right"/>
              <w:ind w:right="309"/>
              <w:spacing w:after="0"/>
              <w:rPr>
                <w:sz w:val="20"/>
                <w:szCs w:val="20"/>
                <w:color w:val="auto"/>
              </w:rPr>
            </w:pPr>
            <w:r>
              <w:rPr>
                <w:rFonts w:ascii="Arial" w:cs="Arial" w:eastAsia="Arial" w:hAnsi="Arial"/>
                <w:sz w:val="14"/>
                <w:szCs w:val="14"/>
                <w:color w:val="55565A"/>
              </w:rPr>
              <w:t>1,871</w:t>
            </w:r>
          </w:p>
        </w:tc>
      </w:tr>
      <w:tr>
        <w:trPr>
          <w:trHeight w:val="28"/>
        </w:trPr>
        <w:tc>
          <w:tcPr>
            <w:tcW w:w="6680" w:type="dxa"/>
            <w:vAlign w:val="bottom"/>
            <w:tcBorders>
              <w:bottom w:val="single" w:sz="8" w:color="55565A"/>
            </w:tcBorders>
          </w:tcPr>
          <w:p>
            <w:pPr>
              <w:spacing w:after="0"/>
              <w:rPr>
                <w:sz w:val="2"/>
                <w:szCs w:val="2"/>
                <w:color w:val="auto"/>
              </w:rPr>
            </w:pPr>
          </w:p>
        </w:tc>
        <w:tc>
          <w:tcPr>
            <w:tcW w:w="940" w:type="dxa"/>
            <w:vAlign w:val="bottom"/>
            <w:tcBorders>
              <w:bottom w:val="single" w:sz="8" w:color="55565A"/>
            </w:tcBorders>
          </w:tcPr>
          <w:p>
            <w:pPr>
              <w:spacing w:after="0"/>
              <w:rPr>
                <w:sz w:val="2"/>
                <w:szCs w:val="2"/>
                <w:color w:val="auto"/>
              </w:rPr>
            </w:pPr>
          </w:p>
        </w:tc>
        <w:tc>
          <w:tcPr>
            <w:tcW w:w="1680" w:type="dxa"/>
            <w:vAlign w:val="bottom"/>
            <w:tcBorders>
              <w:bottom w:val="single" w:sz="8" w:color="55565A"/>
            </w:tcBorders>
          </w:tcPr>
          <w:p>
            <w:pPr>
              <w:spacing w:after="0"/>
              <w:rPr>
                <w:sz w:val="2"/>
                <w:szCs w:val="2"/>
                <w:color w:val="auto"/>
              </w:rPr>
            </w:pPr>
          </w:p>
        </w:tc>
        <w:tc>
          <w:tcPr>
            <w:tcW w:w="1620" w:type="dxa"/>
            <w:vAlign w:val="bottom"/>
            <w:tcBorders>
              <w:bottom w:val="single" w:sz="8" w:color="55565A"/>
            </w:tcBorders>
          </w:tcPr>
          <w:p>
            <w:pPr>
              <w:spacing w:after="0"/>
              <w:rPr>
                <w:sz w:val="2"/>
                <w:szCs w:val="2"/>
                <w:color w:val="auto"/>
              </w:rPr>
            </w:pPr>
          </w:p>
        </w:tc>
      </w:tr>
      <w:tr>
        <w:trPr>
          <w:trHeight w:val="414"/>
        </w:trPr>
        <w:tc>
          <w:tcPr>
            <w:tcW w:w="6680" w:type="dxa"/>
            <w:vAlign w:val="bottom"/>
          </w:tcPr>
          <w:p>
            <w:pPr>
              <w:spacing w:after="0"/>
              <w:rPr>
                <w:sz w:val="20"/>
                <w:szCs w:val="20"/>
                <w:color w:val="auto"/>
              </w:rPr>
            </w:pPr>
            <w:r>
              <w:rPr>
                <w:rFonts w:ascii="Arial" w:cs="Arial" w:eastAsia="Arial" w:hAnsi="Arial"/>
                <w:sz w:val="16"/>
                <w:szCs w:val="16"/>
                <w:b w:val="1"/>
                <w:bCs w:val="1"/>
                <w:i w:val="1"/>
                <w:iCs w:val="1"/>
                <w:color w:val="55565A"/>
              </w:rPr>
              <w:t>Reconciliation of net debt and leverage ratio of net debt to adjusted EBITDA</w:t>
            </w: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73"/>
        </w:trPr>
        <w:tc>
          <w:tcPr>
            <w:tcW w:w="6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jc w:val="right"/>
              <w:ind w:right="249"/>
              <w:spacing w:after="0"/>
              <w:rPr>
                <w:sz w:val="20"/>
                <w:szCs w:val="20"/>
                <w:color w:val="auto"/>
              </w:rPr>
            </w:pPr>
            <w:r>
              <w:rPr>
                <w:rFonts w:ascii="Arial" w:cs="Arial" w:eastAsia="Arial" w:hAnsi="Arial"/>
                <w:sz w:val="14"/>
                <w:szCs w:val="14"/>
                <w:b w:val="1"/>
                <w:bCs w:val="1"/>
                <w:color w:val="55565A"/>
              </w:rPr>
              <w:t>March 31,</w:t>
            </w:r>
          </w:p>
        </w:tc>
        <w:tc>
          <w:tcPr>
            <w:tcW w:w="1620" w:type="dxa"/>
            <w:vAlign w:val="bottom"/>
          </w:tcPr>
          <w:p>
            <w:pPr>
              <w:jc w:val="right"/>
              <w:ind w:right="229"/>
              <w:spacing w:after="0"/>
              <w:rPr>
                <w:sz w:val="20"/>
                <w:szCs w:val="20"/>
                <w:color w:val="auto"/>
              </w:rPr>
            </w:pPr>
            <w:r>
              <w:rPr>
                <w:rFonts w:ascii="Arial" w:cs="Arial" w:eastAsia="Arial" w:hAnsi="Arial"/>
                <w:sz w:val="14"/>
                <w:szCs w:val="14"/>
                <w:color w:val="55565A"/>
              </w:rPr>
              <w:t>December 31,</w:t>
            </w:r>
          </w:p>
        </w:tc>
      </w:tr>
      <w:tr>
        <w:trPr>
          <w:trHeight w:val="361"/>
        </w:trPr>
        <w:tc>
          <w:tcPr>
            <w:tcW w:w="6680" w:type="dxa"/>
            <w:vAlign w:val="bottom"/>
          </w:tcPr>
          <w:p>
            <w:pPr>
              <w:spacing w:after="0"/>
              <w:rPr>
                <w:sz w:val="20"/>
                <w:szCs w:val="20"/>
                <w:color w:val="auto"/>
              </w:rPr>
            </w:pPr>
            <w:r>
              <w:rPr>
                <w:rFonts w:ascii="Arial" w:cs="Arial" w:eastAsia="Arial" w:hAnsi="Arial"/>
                <w:sz w:val="14"/>
                <w:szCs w:val="14"/>
                <w:b w:val="1"/>
                <w:bCs w:val="1"/>
                <w:color w:val="55565A"/>
              </w:rPr>
              <w:t>   (millions of U.S. dollars)</w:t>
            </w:r>
          </w:p>
        </w:tc>
        <w:tc>
          <w:tcPr>
            <w:tcW w:w="940" w:type="dxa"/>
            <w:vAlign w:val="bottom"/>
          </w:tcPr>
          <w:p>
            <w:pPr>
              <w:spacing w:after="0"/>
              <w:rPr>
                <w:sz w:val="24"/>
                <w:szCs w:val="24"/>
                <w:color w:val="auto"/>
              </w:rPr>
            </w:pPr>
          </w:p>
        </w:tc>
        <w:tc>
          <w:tcPr>
            <w:tcW w:w="1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2024</w:t>
            </w:r>
          </w:p>
        </w:tc>
        <w:tc>
          <w:tcPr>
            <w:tcW w:w="1620" w:type="dxa"/>
            <w:vAlign w:val="bottom"/>
          </w:tcPr>
          <w:p>
            <w:pPr>
              <w:jc w:val="right"/>
              <w:ind w:right="229"/>
              <w:spacing w:after="0"/>
              <w:rPr>
                <w:sz w:val="20"/>
                <w:szCs w:val="20"/>
                <w:color w:val="auto"/>
              </w:rPr>
            </w:pPr>
            <w:r>
              <w:rPr>
                <w:rFonts w:ascii="Arial" w:cs="Arial" w:eastAsia="Arial" w:hAnsi="Arial"/>
                <w:sz w:val="14"/>
                <w:szCs w:val="14"/>
                <w:color w:val="55565A"/>
              </w:rPr>
              <w:t>2023</w:t>
            </w:r>
          </w:p>
        </w:tc>
      </w:tr>
      <w:tr>
        <w:trPr>
          <w:trHeight w:val="95"/>
        </w:trPr>
        <w:tc>
          <w:tcPr>
            <w:tcW w:w="6680" w:type="dxa"/>
            <w:vAlign w:val="bottom"/>
            <w:tcBorders>
              <w:bottom w:val="single" w:sz="8" w:color="88888B"/>
            </w:tcBorders>
          </w:tcPr>
          <w:p>
            <w:pPr>
              <w:spacing w:after="0"/>
              <w:rPr>
                <w:sz w:val="8"/>
                <w:szCs w:val="8"/>
                <w:color w:val="auto"/>
              </w:rPr>
            </w:pPr>
          </w:p>
        </w:tc>
        <w:tc>
          <w:tcPr>
            <w:tcW w:w="940" w:type="dxa"/>
            <w:vAlign w:val="bottom"/>
            <w:tcBorders>
              <w:bottom w:val="single" w:sz="8" w:color="88888B"/>
            </w:tcBorders>
          </w:tcPr>
          <w:p>
            <w:pPr>
              <w:spacing w:after="0"/>
              <w:rPr>
                <w:sz w:val="8"/>
                <w:szCs w:val="8"/>
                <w:color w:val="auto"/>
              </w:rPr>
            </w:pPr>
          </w:p>
        </w:tc>
        <w:tc>
          <w:tcPr>
            <w:tcW w:w="1680" w:type="dxa"/>
            <w:vAlign w:val="bottom"/>
            <w:tcBorders>
              <w:bottom w:val="single" w:sz="8" w:color="88888B"/>
            </w:tcBorders>
          </w:tcPr>
          <w:p>
            <w:pPr>
              <w:spacing w:after="0"/>
              <w:rPr>
                <w:sz w:val="8"/>
                <w:szCs w:val="8"/>
                <w:color w:val="auto"/>
              </w:rPr>
            </w:pPr>
          </w:p>
        </w:tc>
        <w:tc>
          <w:tcPr>
            <w:tcW w:w="1620" w:type="dxa"/>
            <w:vAlign w:val="bottom"/>
            <w:tcBorders>
              <w:bottom w:val="single" w:sz="8" w:color="88888B"/>
            </w:tcBorders>
          </w:tcPr>
          <w:p>
            <w:pPr>
              <w:spacing w:after="0"/>
              <w:rPr>
                <w:sz w:val="8"/>
                <w:szCs w:val="8"/>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4"/>
        </w:trPr>
        <w:tc>
          <w:tcPr>
            <w:tcW w:w="66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5565A"/>
              </w:rPr>
              <w:t>Current indebtedness</w:t>
            </w:r>
          </w:p>
        </w:tc>
        <w:tc>
          <w:tcPr>
            <w:tcW w:w="9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941</w:t>
            </w:r>
          </w:p>
        </w:tc>
        <w:tc>
          <w:tcPr>
            <w:tcW w:w="16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372</w:t>
            </w:r>
          </w:p>
        </w:tc>
      </w:tr>
      <w:tr>
        <w:trPr>
          <w:trHeight w:val="239"/>
        </w:trPr>
        <w:tc>
          <w:tcPr>
            <w:tcW w:w="6680" w:type="dxa"/>
            <w:vAlign w:val="bottom"/>
          </w:tcPr>
          <w:p>
            <w:pPr>
              <w:ind w:left="120"/>
              <w:spacing w:after="0"/>
              <w:rPr>
                <w:sz w:val="20"/>
                <w:szCs w:val="20"/>
                <w:color w:val="auto"/>
              </w:rPr>
            </w:pPr>
            <w:r>
              <w:rPr>
                <w:rFonts w:ascii="Arial" w:cs="Arial" w:eastAsia="Arial" w:hAnsi="Arial"/>
                <w:sz w:val="14"/>
                <w:szCs w:val="14"/>
                <w:b w:val="1"/>
                <w:bCs w:val="1"/>
                <w:color w:val="55565A"/>
              </w:rPr>
              <w:t>Long-term indebtedness</w:t>
            </w:r>
          </w:p>
        </w:tc>
        <w:tc>
          <w:tcPr>
            <w:tcW w:w="940" w:type="dxa"/>
            <w:vAlign w:val="bottom"/>
          </w:tcPr>
          <w:p>
            <w:pPr>
              <w:spacing w:after="0"/>
              <w:rPr>
                <w:sz w:val="20"/>
                <w:szCs w:val="20"/>
                <w:color w:val="auto"/>
              </w:rPr>
            </w:pPr>
          </w:p>
        </w:tc>
        <w:tc>
          <w:tcPr>
            <w:tcW w:w="1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2,879</w:t>
            </w:r>
          </w:p>
        </w:tc>
        <w:tc>
          <w:tcPr>
            <w:tcW w:w="1620" w:type="dxa"/>
            <w:vAlign w:val="bottom"/>
          </w:tcPr>
          <w:p>
            <w:pPr>
              <w:jc w:val="right"/>
              <w:ind w:right="229"/>
              <w:spacing w:after="0"/>
              <w:rPr>
                <w:sz w:val="20"/>
                <w:szCs w:val="20"/>
                <w:color w:val="auto"/>
              </w:rPr>
            </w:pPr>
            <w:r>
              <w:rPr>
                <w:rFonts w:ascii="Arial" w:cs="Arial" w:eastAsia="Arial" w:hAnsi="Arial"/>
                <w:sz w:val="14"/>
                <w:szCs w:val="14"/>
                <w:color w:val="55565A"/>
              </w:rPr>
              <w:t>2,905</w:t>
            </w:r>
          </w:p>
        </w:tc>
      </w:tr>
      <w:tr>
        <w:trPr>
          <w:trHeight w:val="28"/>
        </w:trPr>
        <w:tc>
          <w:tcPr>
            <w:tcW w:w="6680" w:type="dxa"/>
            <w:vAlign w:val="bottom"/>
            <w:tcBorders>
              <w:bottom w:val="single" w:sz="8" w:color="88888B"/>
            </w:tcBorders>
          </w:tcPr>
          <w:p>
            <w:pPr>
              <w:spacing w:after="0"/>
              <w:rPr>
                <w:sz w:val="2"/>
                <w:szCs w:val="2"/>
                <w:color w:val="auto"/>
              </w:rPr>
            </w:pPr>
          </w:p>
        </w:tc>
        <w:tc>
          <w:tcPr>
            <w:tcW w:w="940" w:type="dxa"/>
            <w:vAlign w:val="bottom"/>
            <w:tcBorders>
              <w:bottom w:val="single" w:sz="8" w:color="88888B"/>
            </w:tcBorders>
          </w:tcPr>
          <w:p>
            <w:pPr>
              <w:spacing w:after="0"/>
              <w:rPr>
                <w:sz w:val="2"/>
                <w:szCs w:val="2"/>
                <w:color w:val="auto"/>
              </w:rPr>
            </w:pPr>
          </w:p>
        </w:tc>
        <w:tc>
          <w:tcPr>
            <w:tcW w:w="1680" w:type="dxa"/>
            <w:vAlign w:val="bottom"/>
            <w:tcBorders>
              <w:bottom w:val="single" w:sz="8" w:color="88888B"/>
            </w:tcBorders>
          </w:tcPr>
          <w:p>
            <w:pPr>
              <w:spacing w:after="0"/>
              <w:rPr>
                <w:sz w:val="2"/>
                <w:szCs w:val="2"/>
                <w:color w:val="auto"/>
              </w:rPr>
            </w:pPr>
          </w:p>
        </w:tc>
        <w:tc>
          <w:tcPr>
            <w:tcW w:w="1620" w:type="dxa"/>
            <w:vAlign w:val="bottom"/>
            <w:tcBorders>
              <w:bottom w:val="single" w:sz="8" w:color="88888B"/>
            </w:tcBorders>
          </w:tcPr>
          <w:p>
            <w:pPr>
              <w:spacing w:after="0"/>
              <w:rPr>
                <w:sz w:val="2"/>
                <w:szCs w:val="2"/>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4"/>
        </w:trPr>
        <w:tc>
          <w:tcPr>
            <w:tcW w:w="66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5565A"/>
              </w:rPr>
              <w:t>Total debt</w:t>
            </w:r>
          </w:p>
        </w:tc>
        <w:tc>
          <w:tcPr>
            <w:tcW w:w="9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3,820</w:t>
            </w:r>
          </w:p>
        </w:tc>
        <w:tc>
          <w:tcPr>
            <w:tcW w:w="16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3,277</w:t>
            </w:r>
          </w:p>
        </w:tc>
      </w:tr>
      <w:tr>
        <w:trPr>
          <w:trHeight w:val="239"/>
        </w:trPr>
        <w:tc>
          <w:tcPr>
            <w:tcW w:w="6680" w:type="dxa"/>
            <w:vAlign w:val="bottom"/>
          </w:tcPr>
          <w:p>
            <w:pPr>
              <w:ind w:left="120"/>
              <w:spacing w:after="0"/>
              <w:rPr>
                <w:sz w:val="20"/>
                <w:szCs w:val="20"/>
                <w:color w:val="auto"/>
              </w:rPr>
            </w:pPr>
            <w:r>
              <w:rPr>
                <w:rFonts w:ascii="Arial" w:cs="Arial" w:eastAsia="Arial" w:hAnsi="Arial"/>
                <w:sz w:val="14"/>
                <w:szCs w:val="14"/>
                <w:b w:val="1"/>
                <w:bCs w:val="1"/>
                <w:color w:val="55565A"/>
              </w:rPr>
              <w:t>Swaps</w:t>
            </w:r>
          </w:p>
        </w:tc>
        <w:tc>
          <w:tcPr>
            <w:tcW w:w="940" w:type="dxa"/>
            <w:vAlign w:val="bottom"/>
          </w:tcPr>
          <w:p>
            <w:pPr>
              <w:spacing w:after="0"/>
              <w:rPr>
                <w:sz w:val="20"/>
                <w:szCs w:val="20"/>
                <w:color w:val="auto"/>
              </w:rPr>
            </w:pPr>
          </w:p>
        </w:tc>
        <w:tc>
          <w:tcPr>
            <w:tcW w:w="1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(42)</w:t>
            </w:r>
          </w:p>
        </w:tc>
        <w:tc>
          <w:tcPr>
            <w:tcW w:w="1620" w:type="dxa"/>
            <w:vAlign w:val="bottom"/>
          </w:tcPr>
          <w:p>
            <w:pPr>
              <w:jc w:val="right"/>
              <w:ind w:right="229"/>
              <w:spacing w:after="0"/>
              <w:rPr>
                <w:sz w:val="20"/>
                <w:szCs w:val="20"/>
                <w:color w:val="auto"/>
              </w:rPr>
            </w:pPr>
            <w:r>
              <w:rPr>
                <w:rFonts w:ascii="Arial" w:cs="Arial" w:eastAsia="Arial" w:hAnsi="Arial"/>
                <w:sz w:val="14"/>
                <w:szCs w:val="14"/>
                <w:color w:val="55565A"/>
              </w:rPr>
              <w:t>(65)</w:t>
            </w:r>
          </w:p>
        </w:tc>
      </w:tr>
      <w:tr>
        <w:trPr>
          <w:trHeight w:val="28"/>
        </w:trPr>
        <w:tc>
          <w:tcPr>
            <w:tcW w:w="6680" w:type="dxa"/>
            <w:vAlign w:val="bottom"/>
            <w:tcBorders>
              <w:bottom w:val="single" w:sz="8" w:color="88888B"/>
            </w:tcBorders>
          </w:tcPr>
          <w:p>
            <w:pPr>
              <w:spacing w:after="0"/>
              <w:rPr>
                <w:sz w:val="2"/>
                <w:szCs w:val="2"/>
                <w:color w:val="auto"/>
              </w:rPr>
            </w:pPr>
          </w:p>
        </w:tc>
        <w:tc>
          <w:tcPr>
            <w:tcW w:w="940" w:type="dxa"/>
            <w:vAlign w:val="bottom"/>
            <w:tcBorders>
              <w:bottom w:val="single" w:sz="8" w:color="88888B"/>
            </w:tcBorders>
          </w:tcPr>
          <w:p>
            <w:pPr>
              <w:spacing w:after="0"/>
              <w:rPr>
                <w:sz w:val="2"/>
                <w:szCs w:val="2"/>
                <w:color w:val="auto"/>
              </w:rPr>
            </w:pPr>
          </w:p>
        </w:tc>
        <w:tc>
          <w:tcPr>
            <w:tcW w:w="1680" w:type="dxa"/>
            <w:vAlign w:val="bottom"/>
            <w:tcBorders>
              <w:bottom w:val="single" w:sz="8" w:color="88888B"/>
            </w:tcBorders>
          </w:tcPr>
          <w:p>
            <w:pPr>
              <w:spacing w:after="0"/>
              <w:rPr>
                <w:sz w:val="2"/>
                <w:szCs w:val="2"/>
                <w:color w:val="auto"/>
              </w:rPr>
            </w:pPr>
          </w:p>
        </w:tc>
        <w:tc>
          <w:tcPr>
            <w:tcW w:w="1620" w:type="dxa"/>
            <w:vAlign w:val="bottom"/>
            <w:tcBorders>
              <w:bottom w:val="single" w:sz="8" w:color="88888B"/>
            </w:tcBorders>
          </w:tcPr>
          <w:p>
            <w:pPr>
              <w:spacing w:after="0"/>
              <w:rPr>
                <w:sz w:val="2"/>
                <w:szCs w:val="2"/>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4"/>
        </w:trPr>
        <w:tc>
          <w:tcPr>
            <w:tcW w:w="66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5565A"/>
              </w:rPr>
              <w:t>Total debt after swaps</w:t>
            </w:r>
          </w:p>
        </w:tc>
        <w:tc>
          <w:tcPr>
            <w:tcW w:w="9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3,778</w:t>
            </w:r>
          </w:p>
        </w:tc>
        <w:tc>
          <w:tcPr>
            <w:tcW w:w="16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3,212</w:t>
            </w:r>
          </w:p>
        </w:tc>
      </w:tr>
      <w:tr>
        <w:trPr>
          <w:trHeight w:val="267"/>
        </w:trPr>
        <w:tc>
          <w:tcPr>
            <w:tcW w:w="6680" w:type="dxa"/>
            <w:vAlign w:val="bottom"/>
            <w:tcBorders>
              <w:bottom w:val="single" w:sz="8" w:color="88888B"/>
            </w:tcBorders>
          </w:tcPr>
          <w:p>
            <w:pPr>
              <w:ind w:left="120"/>
              <w:spacing w:after="0"/>
              <w:rPr>
                <w:sz w:val="20"/>
                <w:szCs w:val="20"/>
                <w:color w:val="auto"/>
              </w:rPr>
            </w:pPr>
            <w:r>
              <w:rPr>
                <w:rFonts w:ascii="Arial" w:cs="Arial" w:eastAsia="Arial" w:hAnsi="Arial"/>
                <w:sz w:val="14"/>
                <w:szCs w:val="14"/>
                <w:b w:val="1"/>
                <w:bCs w:val="1"/>
                <w:color w:val="55565A"/>
              </w:rPr>
              <w:t>Remove fair value adjustments for hedges</w:t>
            </w:r>
            <w:r>
              <w:rPr>
                <w:rFonts w:ascii="Arial" w:cs="Arial" w:eastAsia="Arial" w:hAnsi="Arial"/>
                <w:sz w:val="21"/>
                <w:szCs w:val="21"/>
                <w:b w:val="1"/>
                <w:bCs w:val="1"/>
                <w:color w:val="55565A"/>
                <w:vertAlign w:val="superscript"/>
              </w:rPr>
              <w:t>(1)</w:t>
            </w:r>
          </w:p>
        </w:tc>
        <w:tc>
          <w:tcPr>
            <w:tcW w:w="940" w:type="dxa"/>
            <w:vAlign w:val="bottom"/>
            <w:tcBorders>
              <w:bottom w:val="single" w:sz="8" w:color="88888B"/>
            </w:tcBorders>
          </w:tcPr>
          <w:p>
            <w:pPr>
              <w:spacing w:after="0"/>
              <w:rPr>
                <w:sz w:val="23"/>
                <w:szCs w:val="23"/>
                <w:color w:val="auto"/>
              </w:rPr>
            </w:pPr>
          </w:p>
        </w:tc>
        <w:tc>
          <w:tcPr>
            <w:tcW w:w="168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b w:val="1"/>
                <w:bCs w:val="1"/>
                <w:color w:val="55565A"/>
              </w:rPr>
              <w:t>7</w:t>
            </w:r>
          </w:p>
        </w:tc>
        <w:tc>
          <w:tcPr>
            <w:tcW w:w="162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2</w:t>
            </w: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4"/>
        </w:trPr>
        <w:tc>
          <w:tcPr>
            <w:tcW w:w="66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5565A"/>
              </w:rPr>
              <w:t>Total debt after currency hedging arrangements</w:t>
            </w:r>
          </w:p>
        </w:tc>
        <w:tc>
          <w:tcPr>
            <w:tcW w:w="9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3,785</w:t>
            </w:r>
          </w:p>
        </w:tc>
        <w:tc>
          <w:tcPr>
            <w:tcW w:w="16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3,214</w:t>
            </w:r>
          </w:p>
        </w:tc>
      </w:tr>
      <w:tr>
        <w:trPr>
          <w:trHeight w:val="239"/>
        </w:trPr>
        <w:tc>
          <w:tcPr>
            <w:tcW w:w="6680" w:type="dxa"/>
            <w:vAlign w:val="bottom"/>
          </w:tcPr>
          <w:p>
            <w:pPr>
              <w:ind w:left="120"/>
              <w:spacing w:after="0"/>
              <w:rPr>
                <w:sz w:val="20"/>
                <w:szCs w:val="20"/>
                <w:color w:val="auto"/>
              </w:rPr>
            </w:pPr>
            <w:r>
              <w:rPr>
                <w:rFonts w:ascii="Arial" w:cs="Arial" w:eastAsia="Arial" w:hAnsi="Arial"/>
                <w:sz w:val="14"/>
                <w:szCs w:val="14"/>
                <w:b w:val="1"/>
                <w:bCs w:val="1"/>
                <w:color w:val="55565A"/>
              </w:rPr>
              <w:t>Remove transaction costs, premiums or discounts included in the carrying value of debt</w:t>
            </w:r>
          </w:p>
        </w:tc>
        <w:tc>
          <w:tcPr>
            <w:tcW w:w="940" w:type="dxa"/>
            <w:vAlign w:val="bottom"/>
          </w:tcPr>
          <w:p>
            <w:pPr>
              <w:spacing w:after="0"/>
              <w:rPr>
                <w:sz w:val="20"/>
                <w:szCs w:val="20"/>
                <w:color w:val="auto"/>
              </w:rPr>
            </w:pPr>
          </w:p>
        </w:tc>
        <w:tc>
          <w:tcPr>
            <w:tcW w:w="1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26</w:t>
            </w:r>
          </w:p>
        </w:tc>
        <w:tc>
          <w:tcPr>
            <w:tcW w:w="1620" w:type="dxa"/>
            <w:vAlign w:val="bottom"/>
          </w:tcPr>
          <w:p>
            <w:pPr>
              <w:jc w:val="right"/>
              <w:ind w:right="229"/>
              <w:spacing w:after="0"/>
              <w:rPr>
                <w:sz w:val="20"/>
                <w:szCs w:val="20"/>
                <w:color w:val="auto"/>
              </w:rPr>
            </w:pPr>
            <w:r>
              <w:rPr>
                <w:rFonts w:ascii="Arial" w:cs="Arial" w:eastAsia="Arial" w:hAnsi="Arial"/>
                <w:sz w:val="14"/>
                <w:szCs w:val="14"/>
                <w:color w:val="55565A"/>
              </w:rPr>
              <w:t>26</w:t>
            </w:r>
          </w:p>
        </w:tc>
      </w:tr>
      <w:tr>
        <w:trPr>
          <w:trHeight w:val="82"/>
        </w:trPr>
        <w:tc>
          <w:tcPr>
            <w:tcW w:w="6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14"/>
        </w:trPr>
        <w:tc>
          <w:tcPr>
            <w:tcW w:w="66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5565A"/>
              </w:rPr>
              <w:t>Add: Lease liabilities (current and non-current)</w:t>
            </w:r>
          </w:p>
        </w:tc>
        <w:tc>
          <w:tcPr>
            <w:tcW w:w="9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275</w:t>
            </w:r>
          </w:p>
        </w:tc>
        <w:tc>
          <w:tcPr>
            <w:tcW w:w="16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265</w:t>
            </w:r>
          </w:p>
        </w:tc>
      </w:tr>
      <w:tr>
        <w:trPr>
          <w:trHeight w:val="267"/>
        </w:trPr>
        <w:tc>
          <w:tcPr>
            <w:tcW w:w="6680" w:type="dxa"/>
            <w:vAlign w:val="bottom"/>
            <w:tcBorders>
              <w:bottom w:val="single" w:sz="8" w:color="88888B"/>
            </w:tcBorders>
          </w:tcPr>
          <w:p>
            <w:pPr>
              <w:ind w:left="120"/>
              <w:spacing w:after="0"/>
              <w:rPr>
                <w:sz w:val="20"/>
                <w:szCs w:val="20"/>
                <w:color w:val="auto"/>
              </w:rPr>
            </w:pPr>
            <w:r>
              <w:rPr>
                <w:rFonts w:ascii="Arial" w:cs="Arial" w:eastAsia="Arial" w:hAnsi="Arial"/>
                <w:sz w:val="14"/>
                <w:szCs w:val="14"/>
                <w:b w:val="1"/>
                <w:bCs w:val="1"/>
                <w:color w:val="55565A"/>
              </w:rPr>
              <w:t>Less: Cash and cash equivalents</w:t>
            </w:r>
            <w:r>
              <w:rPr>
                <w:rFonts w:ascii="Arial" w:cs="Arial" w:eastAsia="Arial" w:hAnsi="Arial"/>
                <w:sz w:val="21"/>
                <w:szCs w:val="21"/>
                <w:b w:val="1"/>
                <w:bCs w:val="1"/>
                <w:color w:val="55565A"/>
                <w:vertAlign w:val="superscript"/>
              </w:rPr>
              <w:t>(2)</w:t>
            </w:r>
          </w:p>
        </w:tc>
        <w:tc>
          <w:tcPr>
            <w:tcW w:w="940" w:type="dxa"/>
            <w:vAlign w:val="bottom"/>
            <w:tcBorders>
              <w:bottom w:val="single" w:sz="8" w:color="88888B"/>
            </w:tcBorders>
          </w:tcPr>
          <w:p>
            <w:pPr>
              <w:spacing w:after="0"/>
              <w:rPr>
                <w:sz w:val="23"/>
                <w:szCs w:val="23"/>
                <w:color w:val="auto"/>
              </w:rPr>
            </w:pPr>
          </w:p>
        </w:tc>
        <w:tc>
          <w:tcPr>
            <w:tcW w:w="168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b w:val="1"/>
                <w:bCs w:val="1"/>
                <w:color w:val="55565A"/>
              </w:rPr>
              <w:t>(1,901)</w:t>
            </w:r>
          </w:p>
        </w:tc>
        <w:tc>
          <w:tcPr>
            <w:tcW w:w="162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(1,298)</w:t>
            </w: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7"/>
        </w:trPr>
        <w:tc>
          <w:tcPr>
            <w:tcW w:w="6680" w:type="dxa"/>
            <w:vAlign w:val="bottom"/>
            <w:tcBorders>
              <w:bottom w:val="single" w:sz="8" w:color="88888B"/>
            </w:tcBorders>
            <w:shd w:val="clear" w:color="auto" w:fill="CCEEFF"/>
          </w:tcPr>
          <w:p>
            <w:pPr>
              <w:ind w:left="120"/>
              <w:spacing w:after="0"/>
              <w:rPr>
                <w:sz w:val="20"/>
                <w:szCs w:val="20"/>
                <w:color w:val="auto"/>
              </w:rPr>
            </w:pPr>
            <w:r>
              <w:rPr>
                <w:rFonts w:ascii="Arial" w:cs="Arial" w:eastAsia="Arial" w:hAnsi="Arial"/>
                <w:sz w:val="14"/>
                <w:szCs w:val="14"/>
                <w:b w:val="1"/>
                <w:bCs w:val="1"/>
                <w:color w:val="55565A"/>
              </w:rPr>
              <w:t>Net debt</w:t>
            </w:r>
          </w:p>
        </w:tc>
        <w:tc>
          <w:tcPr>
            <w:tcW w:w="940" w:type="dxa"/>
            <w:vAlign w:val="bottom"/>
            <w:tcBorders>
              <w:bottom w:val="single" w:sz="8" w:color="88888B"/>
            </w:tcBorders>
            <w:shd w:val="clear" w:color="auto" w:fill="CCEEFF"/>
          </w:tcPr>
          <w:p>
            <w:pPr>
              <w:spacing w:after="0"/>
              <w:rPr>
                <w:sz w:val="18"/>
                <w:szCs w:val="18"/>
                <w:color w:val="auto"/>
              </w:rPr>
            </w:pPr>
          </w:p>
        </w:tc>
        <w:tc>
          <w:tcPr>
            <w:tcW w:w="168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2,185</w:t>
            </w:r>
          </w:p>
        </w:tc>
        <w:tc>
          <w:tcPr>
            <w:tcW w:w="162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2,207</w:t>
            </w:r>
          </w:p>
        </w:tc>
      </w:tr>
      <w:tr>
        <w:trPr>
          <w:trHeight w:val="226"/>
        </w:trPr>
        <w:tc>
          <w:tcPr>
            <w:tcW w:w="6680" w:type="dxa"/>
            <w:vAlign w:val="bottom"/>
          </w:tcPr>
          <w:p>
            <w:pPr>
              <w:ind w:left="120"/>
              <w:spacing w:after="0"/>
              <w:rPr>
                <w:sz w:val="20"/>
                <w:szCs w:val="20"/>
                <w:color w:val="auto"/>
              </w:rPr>
            </w:pPr>
            <w:r>
              <w:rPr>
                <w:rFonts w:ascii="Arial" w:cs="Arial" w:eastAsia="Arial" w:hAnsi="Arial"/>
                <w:sz w:val="14"/>
                <w:szCs w:val="14"/>
                <w:b w:val="1"/>
                <w:bCs w:val="1"/>
                <w:color w:val="55565A"/>
              </w:rPr>
              <w:t>Leverage ratio of net debt to adjusted EBITDA</w:t>
            </w:r>
          </w:p>
        </w:tc>
        <w:tc>
          <w:tcPr>
            <w:tcW w:w="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82"/>
        </w:trPr>
        <w:tc>
          <w:tcPr>
            <w:tcW w:w="6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14"/>
        </w:trPr>
        <w:tc>
          <w:tcPr>
            <w:tcW w:w="66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5565A"/>
              </w:rPr>
              <w:t>Adjusted EBITDA</w:t>
            </w:r>
          </w:p>
        </w:tc>
        <w:tc>
          <w:tcPr>
            <w:tcW w:w="9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2,807</w:t>
            </w:r>
          </w:p>
        </w:tc>
        <w:tc>
          <w:tcPr>
            <w:tcW w:w="16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2,678</w:t>
            </w:r>
          </w:p>
        </w:tc>
      </w:tr>
      <w:tr>
        <w:trPr>
          <w:trHeight w:val="239"/>
        </w:trPr>
        <w:tc>
          <w:tcPr>
            <w:tcW w:w="6680" w:type="dxa"/>
            <w:vAlign w:val="bottom"/>
          </w:tcPr>
          <w:p>
            <w:pPr>
              <w:ind w:left="120"/>
              <w:spacing w:after="0"/>
              <w:rPr>
                <w:sz w:val="20"/>
                <w:szCs w:val="20"/>
                <w:color w:val="auto"/>
              </w:rPr>
            </w:pPr>
            <w:r>
              <w:rPr>
                <w:rFonts w:ascii="Arial" w:cs="Arial" w:eastAsia="Arial" w:hAnsi="Arial"/>
                <w:sz w:val="14"/>
                <w:szCs w:val="14"/>
                <w:b w:val="1"/>
                <w:bCs w:val="1"/>
                <w:color w:val="55565A"/>
              </w:rPr>
              <w:t>Net debt/adjusted EBITDA</w:t>
            </w:r>
          </w:p>
        </w:tc>
        <w:tc>
          <w:tcPr>
            <w:tcW w:w="940" w:type="dxa"/>
            <w:vAlign w:val="bottom"/>
          </w:tcPr>
          <w:p>
            <w:pPr>
              <w:spacing w:after="0"/>
              <w:rPr>
                <w:sz w:val="20"/>
                <w:szCs w:val="20"/>
                <w:color w:val="auto"/>
              </w:rPr>
            </w:pPr>
          </w:p>
        </w:tc>
        <w:tc>
          <w:tcPr>
            <w:tcW w:w="1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0.8:1</w:t>
            </w:r>
          </w:p>
        </w:tc>
        <w:tc>
          <w:tcPr>
            <w:tcW w:w="1620" w:type="dxa"/>
            <w:vAlign w:val="bottom"/>
          </w:tcPr>
          <w:p>
            <w:pPr>
              <w:jc w:val="right"/>
              <w:ind w:right="229"/>
              <w:spacing w:after="0"/>
              <w:rPr>
                <w:sz w:val="20"/>
                <w:szCs w:val="20"/>
                <w:color w:val="auto"/>
              </w:rPr>
            </w:pPr>
            <w:r>
              <w:rPr>
                <w:rFonts w:ascii="Arial" w:cs="Arial" w:eastAsia="Arial" w:hAnsi="Arial"/>
                <w:sz w:val="14"/>
                <w:szCs w:val="14"/>
                <w:color w:val="55565A"/>
              </w:rPr>
              <w:t>0.8:1</w:t>
            </w:r>
          </w:p>
        </w:tc>
      </w:tr>
      <w:tr>
        <w:trPr>
          <w:trHeight w:val="28"/>
        </w:trPr>
        <w:tc>
          <w:tcPr>
            <w:tcW w:w="6680" w:type="dxa"/>
            <w:vAlign w:val="bottom"/>
            <w:tcBorders>
              <w:bottom w:val="single" w:sz="8" w:color="88888B"/>
            </w:tcBorders>
          </w:tcPr>
          <w:p>
            <w:pPr>
              <w:spacing w:after="0"/>
              <w:rPr>
                <w:sz w:val="2"/>
                <w:szCs w:val="2"/>
                <w:color w:val="auto"/>
              </w:rPr>
            </w:pPr>
          </w:p>
        </w:tc>
        <w:tc>
          <w:tcPr>
            <w:tcW w:w="940" w:type="dxa"/>
            <w:vAlign w:val="bottom"/>
            <w:tcBorders>
              <w:bottom w:val="single" w:sz="8" w:color="88888B"/>
            </w:tcBorders>
          </w:tcPr>
          <w:p>
            <w:pPr>
              <w:spacing w:after="0"/>
              <w:rPr>
                <w:sz w:val="2"/>
                <w:szCs w:val="2"/>
                <w:color w:val="auto"/>
              </w:rPr>
            </w:pPr>
          </w:p>
        </w:tc>
        <w:tc>
          <w:tcPr>
            <w:tcW w:w="1680" w:type="dxa"/>
            <w:vAlign w:val="bottom"/>
            <w:tcBorders>
              <w:bottom w:val="single" w:sz="8" w:color="88888B"/>
            </w:tcBorders>
          </w:tcPr>
          <w:p>
            <w:pPr>
              <w:spacing w:after="0"/>
              <w:rPr>
                <w:sz w:val="2"/>
                <w:szCs w:val="2"/>
                <w:color w:val="auto"/>
              </w:rPr>
            </w:pPr>
          </w:p>
        </w:tc>
        <w:tc>
          <w:tcPr>
            <w:tcW w:w="1620" w:type="dxa"/>
            <w:vAlign w:val="bottom"/>
            <w:tcBorders>
              <w:bottom w:val="single" w:sz="8" w:color="88888B"/>
            </w:tcBorders>
          </w:tcPr>
          <w:p>
            <w:pPr>
              <w:spacing w:after="0"/>
              <w:rPr>
                <w:sz w:val="2"/>
                <w:szCs w:val="2"/>
                <w:color w:val="auto"/>
              </w:rPr>
            </w:pPr>
          </w:p>
        </w:tc>
      </w:tr>
    </w:tbl>
    <w:p>
      <w:pPr>
        <w:spacing w:after="0" w:line="102" w:lineRule="exact"/>
        <w:rPr>
          <w:sz w:val="20"/>
          <w:szCs w:val="20"/>
          <w:color w:val="auto"/>
        </w:rPr>
      </w:pPr>
    </w:p>
    <w:p>
      <w:pPr>
        <w:ind w:left="480" w:hanging="313"/>
        <w:spacing w:after="0"/>
        <w:tabs>
          <w:tab w:leader="none" w:pos="480" w:val="left"/>
        </w:tabs>
        <w:numPr>
          <w:ilvl w:val="0"/>
          <w:numId w:val="25"/>
        </w:numPr>
        <w:rPr>
          <w:rFonts w:ascii="Arial" w:cs="Arial" w:eastAsia="Arial" w:hAnsi="Arial"/>
          <w:sz w:val="12"/>
          <w:szCs w:val="12"/>
          <w:color w:val="55565A"/>
        </w:rPr>
      </w:pPr>
      <w:r>
        <w:rPr>
          <w:rFonts w:ascii="Arial" w:cs="Arial" w:eastAsia="Arial" w:hAnsi="Arial"/>
          <w:sz w:val="12"/>
          <w:szCs w:val="12"/>
          <w:color w:val="55565A"/>
        </w:rPr>
        <w:t>Represents the interest-related fair value component of hedging instruments that are removed to reflect net cash outflow upon maturity.</w:t>
      </w:r>
    </w:p>
    <w:p>
      <w:pPr>
        <w:spacing w:after="0" w:line="7" w:lineRule="exact"/>
        <w:rPr>
          <w:rFonts w:ascii="Arial" w:cs="Arial" w:eastAsia="Arial" w:hAnsi="Arial"/>
          <w:sz w:val="12"/>
          <w:szCs w:val="12"/>
          <w:color w:val="55565A"/>
        </w:rPr>
      </w:pPr>
    </w:p>
    <w:p>
      <w:pPr>
        <w:ind w:left="480" w:right="500" w:hanging="313"/>
        <w:spacing w:after="0" w:line="258" w:lineRule="auto"/>
        <w:tabs>
          <w:tab w:leader="none" w:pos="480" w:val="left"/>
        </w:tabs>
        <w:numPr>
          <w:ilvl w:val="0"/>
          <w:numId w:val="25"/>
        </w:numPr>
        <w:rPr>
          <w:rFonts w:ascii="Arial" w:cs="Arial" w:eastAsia="Arial" w:hAnsi="Arial"/>
          <w:sz w:val="12"/>
          <w:szCs w:val="12"/>
          <w:color w:val="55565A"/>
        </w:rPr>
      </w:pPr>
      <w:r>
        <w:rPr>
          <w:rFonts w:ascii="Arial" w:cs="Arial" w:eastAsia="Arial" w:hAnsi="Arial"/>
          <w:sz w:val="12"/>
          <w:szCs w:val="12"/>
          <w:color w:val="55565A"/>
        </w:rPr>
        <w:t>Includes cash and cash equivalents of $111 million and $100 million as of March 31, 2024 and December 31, 2023, respectively, held in subsidiaries which have regulatory restrictions, contractual restrictions or operate in countries where exchange controls and other legal restrictions apply and are therefore not available for general use by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95885</wp:posOffset>
            </wp:positionV>
            <wp:extent cx="69297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28</w:t>
      </w:r>
    </w:p>
    <w:p>
      <w:pPr>
        <w:sectPr>
          <w:pgSz w:w="11900" w:h="16838" w:orient="portrait"/>
          <w:cols w:equalWidth="0" w:num="1">
            <w:col w:w="11080"/>
          </w:cols>
          <w:pgMar w:left="320" w:top="454"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0" w:right="680"/>
        <w:spacing w:after="0" w:line="290" w:lineRule="auto"/>
        <w:rPr>
          <w:sz w:val="20"/>
          <w:szCs w:val="20"/>
          <w:color w:val="auto"/>
        </w:rPr>
      </w:pPr>
      <w:r>
        <w:rPr>
          <w:rFonts w:ascii="Arial" w:cs="Arial" w:eastAsia="Arial" w:hAnsi="Arial"/>
          <w:sz w:val="16"/>
          <w:szCs w:val="16"/>
          <w:b w:val="1"/>
          <w:bCs w:val="1"/>
          <w:i w:val="1"/>
          <w:iCs w:val="1"/>
          <w:color w:val="55565A"/>
        </w:rPr>
        <w:t>Reconciliation of changes in revenues to changes in revenues excluding the effects of foreign currency (constant currency) as well as acquisitions/divestitures (organic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60" w:type="dxa"/>
            <w:vAlign w:val="bottom"/>
            <w:gridSpan w:val="2"/>
          </w:tcPr>
          <w:p>
            <w:pPr>
              <w:jc w:val="right"/>
              <w:ind w:right="89"/>
              <w:spacing w:after="0"/>
              <w:rPr>
                <w:sz w:val="20"/>
                <w:szCs w:val="20"/>
                <w:color w:val="auto"/>
              </w:rPr>
            </w:pPr>
            <w:r>
              <w:rPr>
                <w:rFonts w:ascii="Arial" w:cs="Arial" w:eastAsia="Arial" w:hAnsi="Arial"/>
                <w:sz w:val="14"/>
                <w:szCs w:val="14"/>
                <w:b w:val="1"/>
                <w:bCs w:val="1"/>
                <w:color w:val="55565A"/>
              </w:rPr>
              <w:t>Three months ended March 31,</w:t>
            </w: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55565A"/>
              </w:rPr>
              <w:t>Change</w:t>
            </w:r>
          </w:p>
        </w:tc>
        <w:tc>
          <w:tcPr>
            <w:tcW w:w="1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55565A"/>
              </w:rPr>
              <w:t>Subtotal</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jc w:val="right"/>
              <w:ind w:right="169"/>
              <w:spacing w:after="0"/>
              <w:rPr>
                <w:sz w:val="20"/>
                <w:szCs w:val="20"/>
                <w:color w:val="auto"/>
              </w:rPr>
            </w:pPr>
            <w:r>
              <w:rPr>
                <w:rFonts w:ascii="Arial" w:cs="Arial" w:eastAsia="Arial" w:hAnsi="Arial"/>
                <w:sz w:val="14"/>
                <w:szCs w:val="14"/>
                <w:color w:val="55565A"/>
              </w:rPr>
              <w:t>Foreign</w:t>
            </w:r>
          </w:p>
        </w:tc>
        <w:tc>
          <w:tcPr>
            <w:tcW w:w="1160" w:type="dxa"/>
            <w:vAlign w:val="bottom"/>
          </w:tcPr>
          <w:p>
            <w:pPr>
              <w:jc w:val="center"/>
              <w:ind w:right="9"/>
              <w:spacing w:after="0"/>
              <w:rPr>
                <w:sz w:val="20"/>
                <w:szCs w:val="20"/>
                <w:color w:val="auto"/>
              </w:rPr>
            </w:pPr>
            <w:r>
              <w:rPr>
                <w:rFonts w:ascii="Arial" w:cs="Arial" w:eastAsia="Arial" w:hAnsi="Arial"/>
                <w:sz w:val="14"/>
                <w:szCs w:val="14"/>
                <w:color w:val="55565A"/>
                <w:w w:val="99"/>
              </w:rPr>
              <w:t>Constant</w:t>
            </w:r>
          </w:p>
        </w:tc>
        <w:tc>
          <w:tcPr>
            <w:tcW w:w="1280" w:type="dxa"/>
            <w:vAlign w:val="bottom"/>
          </w:tcPr>
          <w:p>
            <w:pPr>
              <w:jc w:val="right"/>
              <w:ind w:right="249"/>
              <w:spacing w:after="0"/>
              <w:rPr>
                <w:sz w:val="20"/>
                <w:szCs w:val="20"/>
                <w:color w:val="auto"/>
              </w:rPr>
            </w:pPr>
            <w:r>
              <w:rPr>
                <w:rFonts w:ascii="Arial" w:cs="Arial" w:eastAsia="Arial" w:hAnsi="Arial"/>
                <w:sz w:val="14"/>
                <w:szCs w:val="14"/>
                <w:color w:val="55565A"/>
              </w:rPr>
              <w:t>Acquisitions/</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00" w:type="dxa"/>
            <w:vAlign w:val="bottom"/>
            <w:gridSpan w:val="6"/>
          </w:tcPr>
          <w:p>
            <w:pPr>
              <w:spacing w:after="0"/>
              <w:rPr>
                <w:sz w:val="20"/>
                <w:szCs w:val="20"/>
                <w:color w:val="auto"/>
              </w:rPr>
            </w:pPr>
            <w:r>
              <w:rPr>
                <w:rFonts w:ascii="Arial" w:cs="Arial" w:eastAsia="Arial" w:hAnsi="Arial"/>
                <w:sz w:val="14"/>
                <w:szCs w:val="14"/>
                <w:b w:val="1"/>
                <w:bCs w:val="1"/>
                <w:color w:val="55565A"/>
              </w:rPr>
              <w:t>(millions of U.S. dollars)</w:t>
            </w: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55565A"/>
              </w:rPr>
              <w:t>2024</w:t>
            </w:r>
          </w:p>
        </w:tc>
        <w:tc>
          <w:tcPr>
            <w:tcW w:w="800" w:type="dxa"/>
            <w:vAlign w:val="bottom"/>
          </w:tcPr>
          <w:p>
            <w:pPr>
              <w:jc w:val="right"/>
              <w:ind w:right="189"/>
              <w:spacing w:after="0"/>
              <w:rPr>
                <w:sz w:val="20"/>
                <w:szCs w:val="20"/>
                <w:color w:val="auto"/>
              </w:rPr>
            </w:pPr>
            <w:r>
              <w:rPr>
                <w:rFonts w:ascii="Arial" w:cs="Arial" w:eastAsia="Arial" w:hAnsi="Arial"/>
                <w:sz w:val="14"/>
                <w:szCs w:val="14"/>
                <w:color w:val="55565A"/>
              </w:rPr>
              <w:t>2023</w:t>
            </w:r>
          </w:p>
        </w:tc>
        <w:tc>
          <w:tcPr>
            <w:tcW w:w="760" w:type="dxa"/>
            <w:vAlign w:val="bottom"/>
          </w:tcPr>
          <w:p>
            <w:pPr>
              <w:jc w:val="right"/>
              <w:ind w:right="49"/>
              <w:spacing w:after="0"/>
              <w:rPr>
                <w:sz w:val="20"/>
                <w:szCs w:val="20"/>
                <w:color w:val="auto"/>
              </w:rPr>
            </w:pPr>
            <w:r>
              <w:rPr>
                <w:rFonts w:ascii="Arial" w:cs="Arial" w:eastAsia="Arial" w:hAnsi="Arial"/>
                <w:sz w:val="14"/>
                <w:szCs w:val="14"/>
                <w:color w:val="55565A"/>
              </w:rPr>
              <w:t>Total</w:t>
            </w:r>
          </w:p>
        </w:tc>
        <w:tc>
          <w:tcPr>
            <w:tcW w:w="1200" w:type="dxa"/>
            <w:vAlign w:val="bottom"/>
          </w:tcPr>
          <w:p>
            <w:pPr>
              <w:jc w:val="right"/>
              <w:ind w:right="169"/>
              <w:spacing w:after="0"/>
              <w:rPr>
                <w:sz w:val="20"/>
                <w:szCs w:val="20"/>
                <w:color w:val="auto"/>
              </w:rPr>
            </w:pPr>
            <w:r>
              <w:rPr>
                <w:rFonts w:ascii="Arial" w:cs="Arial" w:eastAsia="Arial" w:hAnsi="Arial"/>
                <w:sz w:val="14"/>
                <w:szCs w:val="14"/>
                <w:color w:val="55565A"/>
              </w:rPr>
              <w:t>Currency</w:t>
            </w:r>
          </w:p>
        </w:tc>
        <w:tc>
          <w:tcPr>
            <w:tcW w:w="1160" w:type="dxa"/>
            <w:vAlign w:val="bottom"/>
          </w:tcPr>
          <w:p>
            <w:pPr>
              <w:jc w:val="right"/>
              <w:ind w:right="269"/>
              <w:spacing w:after="0"/>
              <w:rPr>
                <w:sz w:val="20"/>
                <w:szCs w:val="20"/>
                <w:color w:val="auto"/>
              </w:rPr>
            </w:pPr>
            <w:r>
              <w:rPr>
                <w:rFonts w:ascii="Arial" w:cs="Arial" w:eastAsia="Arial" w:hAnsi="Arial"/>
                <w:sz w:val="14"/>
                <w:szCs w:val="14"/>
                <w:color w:val="55565A"/>
              </w:rPr>
              <w:t>Currency</w:t>
            </w:r>
          </w:p>
        </w:tc>
        <w:tc>
          <w:tcPr>
            <w:tcW w:w="1280" w:type="dxa"/>
            <w:vAlign w:val="bottom"/>
          </w:tcPr>
          <w:p>
            <w:pPr>
              <w:jc w:val="right"/>
              <w:ind w:right="249"/>
              <w:spacing w:after="0"/>
              <w:rPr>
                <w:sz w:val="20"/>
                <w:szCs w:val="20"/>
                <w:color w:val="auto"/>
              </w:rPr>
            </w:pPr>
            <w:r>
              <w:rPr>
                <w:rFonts w:ascii="Arial" w:cs="Arial" w:eastAsia="Arial" w:hAnsi="Arial"/>
                <w:sz w:val="14"/>
                <w:szCs w:val="14"/>
                <w:color w:val="55565A"/>
              </w:rPr>
              <w:t>Divestitures</w:t>
            </w:r>
          </w:p>
        </w:tc>
        <w:tc>
          <w:tcPr>
            <w:tcW w:w="980" w:type="dxa"/>
            <w:vAlign w:val="bottom"/>
          </w:tcPr>
          <w:p>
            <w:pPr>
              <w:jc w:val="right"/>
              <w:ind w:right="129"/>
              <w:spacing w:after="0"/>
              <w:rPr>
                <w:sz w:val="20"/>
                <w:szCs w:val="20"/>
                <w:color w:val="auto"/>
              </w:rPr>
            </w:pPr>
            <w:r>
              <w:rPr>
                <w:rFonts w:ascii="Arial" w:cs="Arial" w:eastAsia="Arial" w:hAnsi="Arial"/>
                <w:sz w:val="14"/>
                <w:szCs w:val="14"/>
                <w:color w:val="55565A"/>
              </w:rPr>
              <w:t>Organic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Borders>
              <w:bottom w:val="single" w:sz="8" w:color="88888B"/>
            </w:tcBorders>
          </w:tcPr>
          <w:p>
            <w:pPr>
              <w:spacing w:after="0"/>
              <w:rPr>
                <w:sz w:val="8"/>
                <w:szCs w:val="8"/>
                <w:color w:val="auto"/>
              </w:rPr>
            </w:pPr>
          </w:p>
        </w:tc>
        <w:tc>
          <w:tcPr>
            <w:tcW w:w="680" w:type="dxa"/>
            <w:vAlign w:val="bottom"/>
            <w:tcBorders>
              <w:bottom w:val="single" w:sz="8" w:color="88888B"/>
            </w:tcBorders>
          </w:tcPr>
          <w:p>
            <w:pPr>
              <w:spacing w:after="0"/>
              <w:rPr>
                <w:sz w:val="8"/>
                <w:szCs w:val="8"/>
                <w:color w:val="auto"/>
              </w:rPr>
            </w:pPr>
          </w:p>
        </w:tc>
        <w:tc>
          <w:tcPr>
            <w:tcW w:w="720" w:type="dxa"/>
            <w:vAlign w:val="bottom"/>
            <w:tcBorders>
              <w:bottom w:val="single" w:sz="8" w:color="88888B"/>
            </w:tcBorders>
          </w:tcPr>
          <w:p>
            <w:pPr>
              <w:spacing w:after="0"/>
              <w:rPr>
                <w:sz w:val="8"/>
                <w:szCs w:val="8"/>
                <w:color w:val="auto"/>
              </w:rPr>
            </w:pPr>
          </w:p>
        </w:tc>
        <w:tc>
          <w:tcPr>
            <w:tcW w:w="200" w:type="dxa"/>
            <w:vAlign w:val="bottom"/>
            <w:tcBorders>
              <w:bottom w:val="single" w:sz="8" w:color="88888B"/>
            </w:tcBorders>
          </w:tcPr>
          <w:p>
            <w:pPr>
              <w:spacing w:after="0"/>
              <w:rPr>
                <w:sz w:val="8"/>
                <w:szCs w:val="8"/>
                <w:color w:val="auto"/>
              </w:rPr>
            </w:pPr>
          </w:p>
        </w:tc>
        <w:tc>
          <w:tcPr>
            <w:tcW w:w="1600" w:type="dxa"/>
            <w:vAlign w:val="bottom"/>
            <w:tcBorders>
              <w:bottom w:val="single" w:sz="8" w:color="88888B"/>
            </w:tcBorders>
          </w:tcPr>
          <w:p>
            <w:pPr>
              <w:spacing w:after="0"/>
              <w:rPr>
                <w:sz w:val="8"/>
                <w:szCs w:val="8"/>
                <w:color w:val="auto"/>
              </w:rPr>
            </w:pPr>
          </w:p>
        </w:tc>
        <w:tc>
          <w:tcPr>
            <w:tcW w:w="1440" w:type="dxa"/>
            <w:vAlign w:val="bottom"/>
            <w:tcBorders>
              <w:bottom w:val="single" w:sz="8" w:color="88888B"/>
            </w:tcBorders>
          </w:tcPr>
          <w:p>
            <w:pPr>
              <w:spacing w:after="0"/>
              <w:rPr>
                <w:sz w:val="8"/>
                <w:szCs w:val="8"/>
                <w:color w:val="auto"/>
              </w:rPr>
            </w:pPr>
          </w:p>
        </w:tc>
        <w:tc>
          <w:tcPr>
            <w:tcW w:w="800" w:type="dxa"/>
            <w:vAlign w:val="bottom"/>
            <w:tcBorders>
              <w:bottom w:val="single" w:sz="8" w:color="88888B"/>
            </w:tcBorders>
          </w:tcPr>
          <w:p>
            <w:pPr>
              <w:spacing w:after="0"/>
              <w:rPr>
                <w:sz w:val="8"/>
                <w:szCs w:val="8"/>
                <w:color w:val="auto"/>
              </w:rPr>
            </w:pPr>
          </w:p>
        </w:tc>
        <w:tc>
          <w:tcPr>
            <w:tcW w:w="760" w:type="dxa"/>
            <w:vAlign w:val="bottom"/>
            <w:tcBorders>
              <w:bottom w:val="single" w:sz="8" w:color="88888B"/>
            </w:tcBorders>
          </w:tcPr>
          <w:p>
            <w:pPr>
              <w:spacing w:after="0"/>
              <w:rPr>
                <w:sz w:val="8"/>
                <w:szCs w:val="8"/>
                <w:color w:val="auto"/>
              </w:rPr>
            </w:pPr>
          </w:p>
        </w:tc>
        <w:tc>
          <w:tcPr>
            <w:tcW w:w="1200" w:type="dxa"/>
            <w:vAlign w:val="bottom"/>
            <w:tcBorders>
              <w:bottom w:val="single" w:sz="8" w:color="88888B"/>
            </w:tcBorders>
          </w:tcPr>
          <w:p>
            <w:pPr>
              <w:spacing w:after="0"/>
              <w:rPr>
                <w:sz w:val="8"/>
                <w:szCs w:val="8"/>
                <w:color w:val="auto"/>
              </w:rPr>
            </w:pPr>
          </w:p>
        </w:tc>
        <w:tc>
          <w:tcPr>
            <w:tcW w:w="1160" w:type="dxa"/>
            <w:vAlign w:val="bottom"/>
            <w:tcBorders>
              <w:bottom w:val="single" w:sz="8" w:color="88888B"/>
            </w:tcBorders>
          </w:tcPr>
          <w:p>
            <w:pPr>
              <w:spacing w:after="0"/>
              <w:rPr>
                <w:sz w:val="8"/>
                <w:szCs w:val="8"/>
                <w:color w:val="auto"/>
              </w:rPr>
            </w:pPr>
          </w:p>
        </w:tc>
        <w:tc>
          <w:tcPr>
            <w:tcW w:w="1280" w:type="dxa"/>
            <w:vAlign w:val="bottom"/>
            <w:tcBorders>
              <w:bottom w:val="single" w:sz="8" w:color="88888B"/>
            </w:tcBorders>
          </w:tcPr>
          <w:p>
            <w:pPr>
              <w:spacing w:after="0"/>
              <w:rPr>
                <w:sz w:val="8"/>
                <w:szCs w:val="8"/>
                <w:color w:val="auto"/>
              </w:rPr>
            </w:pPr>
          </w:p>
        </w:tc>
        <w:tc>
          <w:tcPr>
            <w:tcW w:w="980" w:type="dxa"/>
            <w:vAlign w:val="bottom"/>
            <w:tcBorders>
              <w:bottom w:val="single" w:sz="8" w:color="88888B"/>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3280" w:type="dxa"/>
            <w:vAlign w:val="bottom"/>
            <w:gridSpan w:val="5"/>
            <w:shd w:val="clear" w:color="auto" w:fill="CCEEFF"/>
          </w:tcPr>
          <w:p>
            <w:pPr>
              <w:spacing w:after="0" w:line="147" w:lineRule="exact"/>
              <w:rPr>
                <w:sz w:val="20"/>
                <w:szCs w:val="20"/>
                <w:color w:val="auto"/>
              </w:rPr>
            </w:pPr>
            <w:r>
              <w:rPr>
                <w:rFonts w:ascii="Arial" w:cs="Arial" w:eastAsia="Arial" w:hAnsi="Arial"/>
                <w:sz w:val="14"/>
                <w:szCs w:val="14"/>
                <w:b w:val="1"/>
                <w:bCs w:val="1"/>
                <w:color w:val="55565A"/>
              </w:rPr>
              <w:t>   Revenues</w:t>
            </w:r>
          </w:p>
        </w:tc>
        <w:tc>
          <w:tcPr>
            <w:tcW w:w="1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55565A"/>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gridSpan w:val="4"/>
          </w:tcPr>
          <w:p>
            <w:pPr>
              <w:ind w:left="60"/>
              <w:spacing w:after="0"/>
              <w:rPr>
                <w:sz w:val="20"/>
                <w:szCs w:val="20"/>
                <w:color w:val="auto"/>
              </w:rPr>
            </w:pPr>
            <w:r>
              <w:rPr>
                <w:rFonts w:ascii="Arial" w:cs="Arial" w:eastAsia="Arial" w:hAnsi="Arial"/>
                <w:sz w:val="14"/>
                <w:szCs w:val="14"/>
                <w:b w:val="1"/>
                <w:bCs w:val="1"/>
                <w:color w:val="55565A"/>
              </w:rPr>
              <w:t>   Legal Professionals</w:t>
            </w: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55565A"/>
              </w:rPr>
              <w:t>721</w:t>
            </w:r>
          </w:p>
        </w:tc>
        <w:tc>
          <w:tcPr>
            <w:tcW w:w="800" w:type="dxa"/>
            <w:vAlign w:val="bottom"/>
          </w:tcPr>
          <w:p>
            <w:pPr>
              <w:jc w:val="right"/>
              <w:ind w:right="189"/>
              <w:spacing w:after="0"/>
              <w:rPr>
                <w:sz w:val="20"/>
                <w:szCs w:val="20"/>
                <w:color w:val="auto"/>
              </w:rPr>
            </w:pPr>
            <w:r>
              <w:rPr>
                <w:rFonts w:ascii="Arial" w:cs="Arial" w:eastAsia="Arial" w:hAnsi="Arial"/>
                <w:sz w:val="14"/>
                <w:szCs w:val="14"/>
                <w:color w:val="55565A"/>
              </w:rPr>
              <w:t>714</w:t>
            </w:r>
          </w:p>
        </w:tc>
        <w:tc>
          <w:tcPr>
            <w:tcW w:w="760" w:type="dxa"/>
            <w:vAlign w:val="bottom"/>
          </w:tcPr>
          <w:p>
            <w:pPr>
              <w:jc w:val="right"/>
              <w:ind w:right="49"/>
              <w:spacing w:after="0"/>
              <w:rPr>
                <w:sz w:val="20"/>
                <w:szCs w:val="20"/>
                <w:color w:val="auto"/>
              </w:rPr>
            </w:pPr>
            <w:r>
              <w:rPr>
                <w:rFonts w:ascii="Arial" w:cs="Arial" w:eastAsia="Arial" w:hAnsi="Arial"/>
                <w:sz w:val="14"/>
                <w:szCs w:val="14"/>
                <w:color w:val="55565A"/>
              </w:rPr>
              <w:t>1%</w:t>
            </w:r>
          </w:p>
        </w:tc>
        <w:tc>
          <w:tcPr>
            <w:tcW w:w="1200" w:type="dxa"/>
            <w:vAlign w:val="bottom"/>
          </w:tcPr>
          <w:p>
            <w:pPr>
              <w:jc w:val="right"/>
              <w:ind w:right="169"/>
              <w:spacing w:after="0"/>
              <w:rPr>
                <w:sz w:val="20"/>
                <w:szCs w:val="20"/>
                <w:color w:val="auto"/>
              </w:rPr>
            </w:pPr>
            <w:r>
              <w:rPr>
                <w:rFonts w:ascii="Arial" w:cs="Arial" w:eastAsia="Arial" w:hAnsi="Arial"/>
                <w:sz w:val="14"/>
                <w:szCs w:val="14"/>
                <w:color w:val="55565A"/>
              </w:rPr>
              <w:t>–</w:t>
            </w:r>
          </w:p>
        </w:tc>
        <w:tc>
          <w:tcPr>
            <w:tcW w:w="1160" w:type="dxa"/>
            <w:vAlign w:val="bottom"/>
          </w:tcPr>
          <w:p>
            <w:pPr>
              <w:jc w:val="right"/>
              <w:ind w:right="269"/>
              <w:spacing w:after="0"/>
              <w:rPr>
                <w:sz w:val="20"/>
                <w:szCs w:val="20"/>
                <w:color w:val="auto"/>
              </w:rPr>
            </w:pPr>
            <w:r>
              <w:rPr>
                <w:rFonts w:ascii="Arial" w:cs="Arial" w:eastAsia="Arial" w:hAnsi="Arial"/>
                <w:sz w:val="14"/>
                <w:szCs w:val="14"/>
                <w:color w:val="55565A"/>
              </w:rPr>
              <w:t>1%</w:t>
            </w:r>
          </w:p>
        </w:tc>
        <w:tc>
          <w:tcPr>
            <w:tcW w:w="1280" w:type="dxa"/>
            <w:vAlign w:val="bottom"/>
          </w:tcPr>
          <w:p>
            <w:pPr>
              <w:jc w:val="right"/>
              <w:ind w:right="249"/>
              <w:spacing w:after="0"/>
              <w:rPr>
                <w:sz w:val="20"/>
                <w:szCs w:val="20"/>
                <w:color w:val="auto"/>
              </w:rPr>
            </w:pPr>
            <w:r>
              <w:rPr>
                <w:rFonts w:ascii="Arial" w:cs="Arial" w:eastAsia="Arial" w:hAnsi="Arial"/>
                <w:sz w:val="14"/>
                <w:szCs w:val="14"/>
                <w:color w:val="55565A"/>
              </w:rPr>
              <w:t>(6%)</w:t>
            </w:r>
          </w:p>
        </w:tc>
        <w:tc>
          <w:tcPr>
            <w:tcW w:w="980" w:type="dxa"/>
            <w:vAlign w:val="bottom"/>
          </w:tcPr>
          <w:p>
            <w:pPr>
              <w:jc w:val="right"/>
              <w:ind w:right="129"/>
              <w:spacing w:after="0"/>
              <w:rPr>
                <w:sz w:val="20"/>
                <w:szCs w:val="20"/>
                <w:color w:val="auto"/>
              </w:rPr>
            </w:pPr>
            <w:r>
              <w:rPr>
                <w:rFonts w:ascii="Arial" w:cs="Arial" w:eastAsia="Arial" w:hAnsi="Arial"/>
                <w:sz w:val="14"/>
                <w:szCs w:val="14"/>
                <w:color w:val="55565A"/>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Corporates</w:t>
            </w:r>
          </w:p>
        </w:tc>
        <w:tc>
          <w:tcPr>
            <w:tcW w:w="14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507</w:t>
            </w:r>
          </w:p>
        </w:tc>
        <w:tc>
          <w:tcPr>
            <w:tcW w:w="8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435</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55565A"/>
              </w:rPr>
              <w:t>17%</w:t>
            </w:r>
          </w:p>
        </w:tc>
        <w:tc>
          <w:tcPr>
            <w:tcW w:w="12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55565A"/>
              </w:rPr>
              <w:t>1%</w:t>
            </w:r>
          </w:p>
        </w:tc>
        <w:tc>
          <w:tcPr>
            <w:tcW w:w="116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55565A"/>
              </w:rPr>
              <w:t>16%</w:t>
            </w:r>
          </w:p>
        </w:tc>
        <w:tc>
          <w:tcPr>
            <w:tcW w:w="12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5565A"/>
              </w:rPr>
              <w:t>4%</w:t>
            </w: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5565A"/>
              </w:rPr>
              <w:t>12%</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gridSpan w:val="4"/>
          </w:tcPr>
          <w:p>
            <w:pPr>
              <w:ind w:left="60"/>
              <w:spacing w:after="0"/>
              <w:rPr>
                <w:sz w:val="20"/>
                <w:szCs w:val="20"/>
                <w:color w:val="auto"/>
              </w:rPr>
            </w:pPr>
            <w:r>
              <w:rPr>
                <w:rFonts w:ascii="Arial" w:cs="Arial" w:eastAsia="Arial" w:hAnsi="Arial"/>
                <w:sz w:val="14"/>
                <w:szCs w:val="14"/>
                <w:b w:val="1"/>
                <w:bCs w:val="1"/>
                <w:color w:val="55565A"/>
              </w:rPr>
              <w:t>   Tax &amp; Accounting Professionals</w:t>
            </w: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55565A"/>
              </w:rPr>
              <w:t>328</w:t>
            </w:r>
          </w:p>
        </w:tc>
        <w:tc>
          <w:tcPr>
            <w:tcW w:w="800" w:type="dxa"/>
            <w:vAlign w:val="bottom"/>
          </w:tcPr>
          <w:p>
            <w:pPr>
              <w:jc w:val="right"/>
              <w:ind w:right="189"/>
              <w:spacing w:after="0"/>
              <w:rPr>
                <w:sz w:val="20"/>
                <w:szCs w:val="20"/>
                <w:color w:val="auto"/>
              </w:rPr>
            </w:pPr>
            <w:r>
              <w:rPr>
                <w:rFonts w:ascii="Arial" w:cs="Arial" w:eastAsia="Arial" w:hAnsi="Arial"/>
                <w:sz w:val="14"/>
                <w:szCs w:val="14"/>
                <w:color w:val="55565A"/>
              </w:rPr>
              <w:t>282</w:t>
            </w:r>
          </w:p>
        </w:tc>
        <w:tc>
          <w:tcPr>
            <w:tcW w:w="760" w:type="dxa"/>
            <w:vAlign w:val="bottom"/>
          </w:tcPr>
          <w:p>
            <w:pPr>
              <w:jc w:val="right"/>
              <w:ind w:right="49"/>
              <w:spacing w:after="0"/>
              <w:rPr>
                <w:sz w:val="20"/>
                <w:szCs w:val="20"/>
                <w:color w:val="auto"/>
              </w:rPr>
            </w:pPr>
            <w:r>
              <w:rPr>
                <w:rFonts w:ascii="Arial" w:cs="Arial" w:eastAsia="Arial" w:hAnsi="Arial"/>
                <w:sz w:val="14"/>
                <w:szCs w:val="14"/>
                <w:color w:val="55565A"/>
              </w:rPr>
              <w:t>16%</w:t>
            </w:r>
          </w:p>
        </w:tc>
        <w:tc>
          <w:tcPr>
            <w:tcW w:w="1200" w:type="dxa"/>
            <w:vAlign w:val="bottom"/>
          </w:tcPr>
          <w:p>
            <w:pPr>
              <w:jc w:val="right"/>
              <w:ind w:right="169"/>
              <w:spacing w:after="0"/>
              <w:rPr>
                <w:sz w:val="20"/>
                <w:szCs w:val="20"/>
                <w:color w:val="auto"/>
              </w:rPr>
            </w:pPr>
            <w:r>
              <w:rPr>
                <w:rFonts w:ascii="Arial" w:cs="Arial" w:eastAsia="Arial" w:hAnsi="Arial"/>
                <w:sz w:val="14"/>
                <w:szCs w:val="14"/>
                <w:color w:val="55565A"/>
              </w:rPr>
              <w:t>(1%)</w:t>
            </w:r>
          </w:p>
        </w:tc>
        <w:tc>
          <w:tcPr>
            <w:tcW w:w="1160" w:type="dxa"/>
            <w:vAlign w:val="bottom"/>
          </w:tcPr>
          <w:p>
            <w:pPr>
              <w:jc w:val="right"/>
              <w:ind w:right="269"/>
              <w:spacing w:after="0"/>
              <w:rPr>
                <w:sz w:val="20"/>
                <w:szCs w:val="20"/>
                <w:color w:val="auto"/>
              </w:rPr>
            </w:pPr>
            <w:r>
              <w:rPr>
                <w:rFonts w:ascii="Arial" w:cs="Arial" w:eastAsia="Arial" w:hAnsi="Arial"/>
                <w:sz w:val="14"/>
                <w:szCs w:val="14"/>
                <w:color w:val="55565A"/>
              </w:rPr>
              <w:t>17%</w:t>
            </w:r>
          </w:p>
        </w:tc>
        <w:tc>
          <w:tcPr>
            <w:tcW w:w="1280" w:type="dxa"/>
            <w:vAlign w:val="bottom"/>
          </w:tcPr>
          <w:p>
            <w:pPr>
              <w:jc w:val="right"/>
              <w:ind w:right="249"/>
              <w:spacing w:after="0"/>
              <w:rPr>
                <w:sz w:val="20"/>
                <w:szCs w:val="20"/>
                <w:color w:val="auto"/>
              </w:rPr>
            </w:pPr>
            <w:r>
              <w:rPr>
                <w:rFonts w:ascii="Arial" w:cs="Arial" w:eastAsia="Arial" w:hAnsi="Arial"/>
                <w:sz w:val="14"/>
                <w:szCs w:val="14"/>
                <w:color w:val="55565A"/>
              </w:rPr>
              <w:t>3%</w:t>
            </w:r>
          </w:p>
        </w:tc>
        <w:tc>
          <w:tcPr>
            <w:tcW w:w="980" w:type="dxa"/>
            <w:vAlign w:val="bottom"/>
          </w:tcPr>
          <w:p>
            <w:pPr>
              <w:jc w:val="right"/>
              <w:ind w:right="129"/>
              <w:spacing w:after="0"/>
              <w:rPr>
                <w:sz w:val="20"/>
                <w:szCs w:val="20"/>
                <w:color w:val="auto"/>
              </w:rPr>
            </w:pPr>
            <w:r>
              <w:rPr>
                <w:rFonts w:ascii="Arial" w:cs="Arial" w:eastAsia="Arial" w:hAnsi="Arial"/>
                <w:sz w:val="14"/>
                <w:szCs w:val="14"/>
                <w:color w:val="55565A"/>
              </w:rPr>
              <w:t>14%</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88888B"/>
            </w:tcBorders>
          </w:tcPr>
          <w:p>
            <w:pPr>
              <w:spacing w:after="0"/>
              <w:rPr>
                <w:sz w:val="3"/>
                <w:szCs w:val="3"/>
                <w:color w:val="auto"/>
              </w:rPr>
            </w:pPr>
          </w:p>
        </w:tc>
        <w:tc>
          <w:tcPr>
            <w:tcW w:w="680" w:type="dxa"/>
            <w:vAlign w:val="bottom"/>
            <w:tcBorders>
              <w:bottom w:val="single" w:sz="8" w:color="88888B"/>
            </w:tcBorders>
          </w:tcPr>
          <w:p>
            <w:pPr>
              <w:spacing w:after="0"/>
              <w:rPr>
                <w:sz w:val="3"/>
                <w:szCs w:val="3"/>
                <w:color w:val="auto"/>
              </w:rPr>
            </w:pPr>
          </w:p>
        </w:tc>
        <w:tc>
          <w:tcPr>
            <w:tcW w:w="720" w:type="dxa"/>
            <w:vAlign w:val="bottom"/>
            <w:tcBorders>
              <w:bottom w:val="single" w:sz="8" w:color="88888B"/>
            </w:tcBorders>
          </w:tcPr>
          <w:p>
            <w:pPr>
              <w:spacing w:after="0"/>
              <w:rPr>
                <w:sz w:val="3"/>
                <w:szCs w:val="3"/>
                <w:color w:val="auto"/>
              </w:rPr>
            </w:pPr>
          </w:p>
        </w:tc>
        <w:tc>
          <w:tcPr>
            <w:tcW w:w="200" w:type="dxa"/>
            <w:vAlign w:val="bottom"/>
            <w:tcBorders>
              <w:bottom w:val="single" w:sz="8" w:color="88888B"/>
            </w:tcBorders>
          </w:tcPr>
          <w:p>
            <w:pPr>
              <w:spacing w:after="0"/>
              <w:rPr>
                <w:sz w:val="3"/>
                <w:szCs w:val="3"/>
                <w:color w:val="auto"/>
              </w:rPr>
            </w:pPr>
          </w:p>
        </w:tc>
        <w:tc>
          <w:tcPr>
            <w:tcW w:w="1600" w:type="dxa"/>
            <w:vAlign w:val="bottom"/>
            <w:tcBorders>
              <w:bottom w:val="single" w:sz="8" w:color="88888B"/>
            </w:tcBorders>
          </w:tcPr>
          <w:p>
            <w:pPr>
              <w:spacing w:after="0"/>
              <w:rPr>
                <w:sz w:val="3"/>
                <w:szCs w:val="3"/>
                <w:color w:val="auto"/>
              </w:rPr>
            </w:pPr>
          </w:p>
        </w:tc>
        <w:tc>
          <w:tcPr>
            <w:tcW w:w="1440" w:type="dxa"/>
            <w:vAlign w:val="bottom"/>
            <w:tcBorders>
              <w:bottom w:val="single" w:sz="8" w:color="88888B"/>
            </w:tcBorders>
          </w:tcPr>
          <w:p>
            <w:pPr>
              <w:spacing w:after="0"/>
              <w:rPr>
                <w:sz w:val="3"/>
                <w:szCs w:val="3"/>
                <w:color w:val="auto"/>
              </w:rPr>
            </w:pPr>
          </w:p>
        </w:tc>
        <w:tc>
          <w:tcPr>
            <w:tcW w:w="800" w:type="dxa"/>
            <w:vAlign w:val="bottom"/>
            <w:tcBorders>
              <w:bottom w:val="single" w:sz="8" w:color="88888B"/>
            </w:tcBorders>
          </w:tcPr>
          <w:p>
            <w:pPr>
              <w:spacing w:after="0"/>
              <w:rPr>
                <w:sz w:val="3"/>
                <w:szCs w:val="3"/>
                <w:color w:val="auto"/>
              </w:rPr>
            </w:pPr>
          </w:p>
        </w:tc>
        <w:tc>
          <w:tcPr>
            <w:tcW w:w="760" w:type="dxa"/>
            <w:vAlign w:val="bottom"/>
            <w:tcBorders>
              <w:bottom w:val="single" w:sz="8" w:color="88888B"/>
            </w:tcBorders>
          </w:tcPr>
          <w:p>
            <w:pPr>
              <w:spacing w:after="0"/>
              <w:rPr>
                <w:sz w:val="3"/>
                <w:szCs w:val="3"/>
                <w:color w:val="auto"/>
              </w:rPr>
            </w:pPr>
          </w:p>
        </w:tc>
        <w:tc>
          <w:tcPr>
            <w:tcW w:w="1200" w:type="dxa"/>
            <w:vAlign w:val="bottom"/>
            <w:tcBorders>
              <w:bottom w:val="single" w:sz="8" w:color="88888B"/>
            </w:tcBorders>
          </w:tcPr>
          <w:p>
            <w:pPr>
              <w:spacing w:after="0"/>
              <w:rPr>
                <w:sz w:val="3"/>
                <w:szCs w:val="3"/>
                <w:color w:val="auto"/>
              </w:rPr>
            </w:pPr>
          </w:p>
        </w:tc>
        <w:tc>
          <w:tcPr>
            <w:tcW w:w="1160" w:type="dxa"/>
            <w:vAlign w:val="bottom"/>
            <w:tcBorders>
              <w:bottom w:val="single" w:sz="8" w:color="88888B"/>
            </w:tcBorders>
          </w:tcPr>
          <w:p>
            <w:pPr>
              <w:spacing w:after="0"/>
              <w:rPr>
                <w:sz w:val="3"/>
                <w:szCs w:val="3"/>
                <w:color w:val="auto"/>
              </w:rPr>
            </w:pPr>
          </w:p>
        </w:tc>
        <w:tc>
          <w:tcPr>
            <w:tcW w:w="1280" w:type="dxa"/>
            <w:vAlign w:val="bottom"/>
            <w:tcBorders>
              <w:bottom w:val="single" w:sz="8" w:color="88888B"/>
            </w:tcBorders>
          </w:tcPr>
          <w:p>
            <w:pPr>
              <w:spacing w:after="0"/>
              <w:rPr>
                <w:sz w:val="3"/>
                <w:szCs w:val="3"/>
                <w:color w:val="auto"/>
              </w:rPr>
            </w:pPr>
          </w:p>
        </w:tc>
        <w:tc>
          <w:tcPr>
            <w:tcW w:w="980" w:type="dxa"/>
            <w:vAlign w:val="bottom"/>
            <w:tcBorders>
              <w:bottom w:val="single" w:sz="8" w:color="88888B"/>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55565A"/>
              </w:rPr>
              <w:t>   “Big 3” Segments Combined</w:t>
            </w:r>
          </w:p>
        </w:tc>
        <w:tc>
          <w:tcPr>
            <w:tcW w:w="14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1,556</w:t>
            </w:r>
          </w:p>
        </w:tc>
        <w:tc>
          <w:tcPr>
            <w:tcW w:w="8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1,431</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55565A"/>
              </w:rPr>
              <w:t>9%</w:t>
            </w:r>
          </w:p>
        </w:tc>
        <w:tc>
          <w:tcPr>
            <w:tcW w:w="12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55565A"/>
              </w:rPr>
              <w:t>–</w:t>
            </w:r>
          </w:p>
        </w:tc>
        <w:tc>
          <w:tcPr>
            <w:tcW w:w="116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55565A"/>
              </w:rPr>
              <w:t>9%</w:t>
            </w:r>
          </w:p>
        </w:tc>
        <w:tc>
          <w:tcPr>
            <w:tcW w:w="12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5565A"/>
              </w:rPr>
              <w:t>(1%)</w:t>
            </w: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5565A"/>
              </w:rPr>
              <w:t>10%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gridSpan w:val="4"/>
          </w:tcPr>
          <w:p>
            <w:pPr>
              <w:ind w:left="60"/>
              <w:spacing w:after="0"/>
              <w:rPr>
                <w:sz w:val="20"/>
                <w:szCs w:val="20"/>
                <w:color w:val="auto"/>
              </w:rPr>
            </w:pPr>
            <w:r>
              <w:rPr>
                <w:rFonts w:ascii="Arial" w:cs="Arial" w:eastAsia="Arial" w:hAnsi="Arial"/>
                <w:sz w:val="14"/>
                <w:szCs w:val="14"/>
                <w:b w:val="1"/>
                <w:bCs w:val="1"/>
                <w:color w:val="55565A"/>
              </w:rPr>
              <w:t>   Reuters News</w:t>
            </w: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55565A"/>
              </w:rPr>
              <w:t>210</w:t>
            </w:r>
          </w:p>
        </w:tc>
        <w:tc>
          <w:tcPr>
            <w:tcW w:w="800" w:type="dxa"/>
            <w:vAlign w:val="bottom"/>
          </w:tcPr>
          <w:p>
            <w:pPr>
              <w:jc w:val="right"/>
              <w:ind w:right="189"/>
              <w:spacing w:after="0"/>
              <w:rPr>
                <w:sz w:val="20"/>
                <w:szCs w:val="20"/>
                <w:color w:val="auto"/>
              </w:rPr>
            </w:pPr>
            <w:r>
              <w:rPr>
                <w:rFonts w:ascii="Arial" w:cs="Arial" w:eastAsia="Arial" w:hAnsi="Arial"/>
                <w:sz w:val="14"/>
                <w:szCs w:val="14"/>
                <w:color w:val="55565A"/>
              </w:rPr>
              <w:t>175</w:t>
            </w:r>
          </w:p>
        </w:tc>
        <w:tc>
          <w:tcPr>
            <w:tcW w:w="760" w:type="dxa"/>
            <w:vAlign w:val="bottom"/>
          </w:tcPr>
          <w:p>
            <w:pPr>
              <w:jc w:val="right"/>
              <w:ind w:right="49"/>
              <w:spacing w:after="0"/>
              <w:rPr>
                <w:sz w:val="20"/>
                <w:szCs w:val="20"/>
                <w:color w:val="auto"/>
              </w:rPr>
            </w:pPr>
            <w:r>
              <w:rPr>
                <w:rFonts w:ascii="Arial" w:cs="Arial" w:eastAsia="Arial" w:hAnsi="Arial"/>
                <w:sz w:val="14"/>
                <w:szCs w:val="14"/>
                <w:color w:val="55565A"/>
              </w:rPr>
              <w:t>20%</w:t>
            </w:r>
          </w:p>
        </w:tc>
        <w:tc>
          <w:tcPr>
            <w:tcW w:w="1200" w:type="dxa"/>
            <w:vAlign w:val="bottom"/>
          </w:tcPr>
          <w:p>
            <w:pPr>
              <w:jc w:val="right"/>
              <w:ind w:right="169"/>
              <w:spacing w:after="0"/>
              <w:rPr>
                <w:sz w:val="20"/>
                <w:szCs w:val="20"/>
                <w:color w:val="auto"/>
              </w:rPr>
            </w:pPr>
            <w:r>
              <w:rPr>
                <w:rFonts w:ascii="Arial" w:cs="Arial" w:eastAsia="Arial" w:hAnsi="Arial"/>
                <w:sz w:val="14"/>
                <w:szCs w:val="14"/>
                <w:color w:val="55565A"/>
              </w:rPr>
              <w:t>–</w:t>
            </w:r>
          </w:p>
        </w:tc>
        <w:tc>
          <w:tcPr>
            <w:tcW w:w="1160" w:type="dxa"/>
            <w:vAlign w:val="bottom"/>
          </w:tcPr>
          <w:p>
            <w:pPr>
              <w:jc w:val="right"/>
              <w:ind w:right="269"/>
              <w:spacing w:after="0"/>
              <w:rPr>
                <w:sz w:val="20"/>
                <w:szCs w:val="20"/>
                <w:color w:val="auto"/>
              </w:rPr>
            </w:pPr>
            <w:r>
              <w:rPr>
                <w:rFonts w:ascii="Arial" w:cs="Arial" w:eastAsia="Arial" w:hAnsi="Arial"/>
                <w:sz w:val="14"/>
                <w:szCs w:val="14"/>
                <w:color w:val="55565A"/>
              </w:rPr>
              <w:t>21%</w:t>
            </w:r>
          </w:p>
        </w:tc>
        <w:tc>
          <w:tcPr>
            <w:tcW w:w="1280" w:type="dxa"/>
            <w:vAlign w:val="bottom"/>
          </w:tcPr>
          <w:p>
            <w:pPr>
              <w:jc w:val="right"/>
              <w:ind w:right="249"/>
              <w:spacing w:after="0"/>
              <w:rPr>
                <w:sz w:val="20"/>
                <w:szCs w:val="20"/>
                <w:color w:val="auto"/>
              </w:rPr>
            </w:pPr>
            <w:r>
              <w:rPr>
                <w:rFonts w:ascii="Arial" w:cs="Arial" w:eastAsia="Arial" w:hAnsi="Arial"/>
                <w:sz w:val="14"/>
                <w:szCs w:val="14"/>
                <w:color w:val="55565A"/>
              </w:rPr>
              <w:t>4%</w:t>
            </w:r>
          </w:p>
        </w:tc>
        <w:tc>
          <w:tcPr>
            <w:tcW w:w="980" w:type="dxa"/>
            <w:vAlign w:val="bottom"/>
          </w:tcPr>
          <w:p>
            <w:pPr>
              <w:jc w:val="right"/>
              <w:ind w:right="129"/>
              <w:spacing w:after="0"/>
              <w:rPr>
                <w:sz w:val="20"/>
                <w:szCs w:val="20"/>
                <w:color w:val="auto"/>
              </w:rPr>
            </w:pPr>
            <w:r>
              <w:rPr>
                <w:rFonts w:ascii="Arial" w:cs="Arial" w:eastAsia="Arial" w:hAnsi="Arial"/>
                <w:sz w:val="14"/>
                <w:szCs w:val="14"/>
                <w:color w:val="55565A"/>
              </w:rPr>
              <w:t>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Global Print</w:t>
            </w:r>
          </w:p>
        </w:tc>
        <w:tc>
          <w:tcPr>
            <w:tcW w:w="14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124</w:t>
            </w:r>
          </w:p>
        </w:tc>
        <w:tc>
          <w:tcPr>
            <w:tcW w:w="8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138</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55565A"/>
              </w:rPr>
              <w:t>(10%)</w:t>
            </w:r>
          </w:p>
        </w:tc>
        <w:tc>
          <w:tcPr>
            <w:tcW w:w="12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55565A"/>
              </w:rPr>
              <w:t>–</w:t>
            </w:r>
          </w:p>
        </w:tc>
        <w:tc>
          <w:tcPr>
            <w:tcW w:w="116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55565A"/>
              </w:rPr>
              <w:t>(10%)</w:t>
            </w:r>
          </w:p>
        </w:tc>
        <w:tc>
          <w:tcPr>
            <w:tcW w:w="12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5565A"/>
              </w:rPr>
              <w:t>–</w:t>
            </w: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5565A"/>
              </w:rPr>
              <w:t>(10%)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gridSpan w:val="4"/>
          </w:tcPr>
          <w:p>
            <w:pPr>
              <w:ind w:left="60"/>
              <w:spacing w:after="0"/>
              <w:rPr>
                <w:sz w:val="20"/>
                <w:szCs w:val="20"/>
                <w:color w:val="auto"/>
              </w:rPr>
            </w:pPr>
            <w:r>
              <w:rPr>
                <w:rFonts w:ascii="Arial" w:cs="Arial" w:eastAsia="Arial" w:hAnsi="Arial"/>
                <w:sz w:val="14"/>
                <w:szCs w:val="14"/>
                <w:b w:val="1"/>
                <w:bCs w:val="1"/>
                <w:color w:val="55565A"/>
              </w:rPr>
              <w:t>   Eliminations/Rounding</w:t>
            </w: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55565A"/>
              </w:rPr>
              <w:t>(5)</w:t>
            </w:r>
          </w:p>
        </w:tc>
        <w:tc>
          <w:tcPr>
            <w:tcW w:w="800" w:type="dxa"/>
            <w:vAlign w:val="bottom"/>
          </w:tcPr>
          <w:p>
            <w:pPr>
              <w:jc w:val="right"/>
              <w:ind w:right="189"/>
              <w:spacing w:after="0"/>
              <w:rPr>
                <w:sz w:val="20"/>
                <w:szCs w:val="20"/>
                <w:color w:val="auto"/>
              </w:rPr>
            </w:pPr>
            <w:r>
              <w:rPr>
                <w:rFonts w:ascii="Arial" w:cs="Arial" w:eastAsia="Arial" w:hAnsi="Arial"/>
                <w:sz w:val="14"/>
                <w:szCs w:val="14"/>
                <w:color w:val="55565A"/>
              </w:rPr>
              <w:t>(6)</w:t>
            </w: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88888B"/>
            </w:tcBorders>
          </w:tcPr>
          <w:p>
            <w:pPr>
              <w:spacing w:after="0"/>
              <w:rPr>
                <w:sz w:val="3"/>
                <w:szCs w:val="3"/>
                <w:color w:val="auto"/>
              </w:rPr>
            </w:pPr>
          </w:p>
        </w:tc>
        <w:tc>
          <w:tcPr>
            <w:tcW w:w="680" w:type="dxa"/>
            <w:vAlign w:val="bottom"/>
            <w:tcBorders>
              <w:bottom w:val="single" w:sz="8" w:color="88888B"/>
            </w:tcBorders>
          </w:tcPr>
          <w:p>
            <w:pPr>
              <w:spacing w:after="0"/>
              <w:rPr>
                <w:sz w:val="3"/>
                <w:szCs w:val="3"/>
                <w:color w:val="auto"/>
              </w:rPr>
            </w:pPr>
          </w:p>
        </w:tc>
        <w:tc>
          <w:tcPr>
            <w:tcW w:w="720" w:type="dxa"/>
            <w:vAlign w:val="bottom"/>
            <w:tcBorders>
              <w:bottom w:val="single" w:sz="8" w:color="88888B"/>
            </w:tcBorders>
          </w:tcPr>
          <w:p>
            <w:pPr>
              <w:spacing w:after="0"/>
              <w:rPr>
                <w:sz w:val="3"/>
                <w:szCs w:val="3"/>
                <w:color w:val="auto"/>
              </w:rPr>
            </w:pPr>
          </w:p>
        </w:tc>
        <w:tc>
          <w:tcPr>
            <w:tcW w:w="200" w:type="dxa"/>
            <w:vAlign w:val="bottom"/>
            <w:tcBorders>
              <w:bottom w:val="single" w:sz="8" w:color="88888B"/>
            </w:tcBorders>
          </w:tcPr>
          <w:p>
            <w:pPr>
              <w:spacing w:after="0"/>
              <w:rPr>
                <w:sz w:val="3"/>
                <w:szCs w:val="3"/>
                <w:color w:val="auto"/>
              </w:rPr>
            </w:pPr>
          </w:p>
        </w:tc>
        <w:tc>
          <w:tcPr>
            <w:tcW w:w="1600" w:type="dxa"/>
            <w:vAlign w:val="bottom"/>
            <w:tcBorders>
              <w:bottom w:val="single" w:sz="8" w:color="88888B"/>
            </w:tcBorders>
          </w:tcPr>
          <w:p>
            <w:pPr>
              <w:spacing w:after="0"/>
              <w:rPr>
                <w:sz w:val="3"/>
                <w:szCs w:val="3"/>
                <w:color w:val="auto"/>
              </w:rPr>
            </w:pPr>
          </w:p>
        </w:tc>
        <w:tc>
          <w:tcPr>
            <w:tcW w:w="1440" w:type="dxa"/>
            <w:vAlign w:val="bottom"/>
            <w:tcBorders>
              <w:bottom w:val="single" w:sz="8" w:color="88888B"/>
            </w:tcBorders>
          </w:tcPr>
          <w:p>
            <w:pPr>
              <w:spacing w:after="0"/>
              <w:rPr>
                <w:sz w:val="3"/>
                <w:szCs w:val="3"/>
                <w:color w:val="auto"/>
              </w:rPr>
            </w:pPr>
          </w:p>
        </w:tc>
        <w:tc>
          <w:tcPr>
            <w:tcW w:w="800" w:type="dxa"/>
            <w:vAlign w:val="bottom"/>
            <w:tcBorders>
              <w:bottom w:val="single" w:sz="8" w:color="88888B"/>
            </w:tcBorders>
          </w:tcPr>
          <w:p>
            <w:pPr>
              <w:spacing w:after="0"/>
              <w:rPr>
                <w:sz w:val="3"/>
                <w:szCs w:val="3"/>
                <w:color w:val="auto"/>
              </w:rPr>
            </w:pPr>
          </w:p>
        </w:tc>
        <w:tc>
          <w:tcPr>
            <w:tcW w:w="760" w:type="dxa"/>
            <w:vAlign w:val="bottom"/>
            <w:tcBorders>
              <w:bottom w:val="single" w:sz="8" w:color="88888B"/>
            </w:tcBorders>
          </w:tcPr>
          <w:p>
            <w:pPr>
              <w:spacing w:after="0"/>
              <w:rPr>
                <w:sz w:val="3"/>
                <w:szCs w:val="3"/>
                <w:color w:val="auto"/>
              </w:rPr>
            </w:pPr>
          </w:p>
        </w:tc>
        <w:tc>
          <w:tcPr>
            <w:tcW w:w="1200" w:type="dxa"/>
            <w:vAlign w:val="bottom"/>
            <w:tcBorders>
              <w:bottom w:val="single" w:sz="8" w:color="88888B"/>
            </w:tcBorders>
          </w:tcPr>
          <w:p>
            <w:pPr>
              <w:spacing w:after="0"/>
              <w:rPr>
                <w:sz w:val="3"/>
                <w:szCs w:val="3"/>
                <w:color w:val="auto"/>
              </w:rPr>
            </w:pPr>
          </w:p>
        </w:tc>
        <w:tc>
          <w:tcPr>
            <w:tcW w:w="1160" w:type="dxa"/>
            <w:vAlign w:val="bottom"/>
            <w:tcBorders>
              <w:bottom w:val="single" w:sz="8" w:color="88888B"/>
            </w:tcBorders>
          </w:tcPr>
          <w:p>
            <w:pPr>
              <w:spacing w:after="0"/>
              <w:rPr>
                <w:sz w:val="3"/>
                <w:szCs w:val="3"/>
                <w:color w:val="auto"/>
              </w:rPr>
            </w:pPr>
          </w:p>
        </w:tc>
        <w:tc>
          <w:tcPr>
            <w:tcW w:w="1280" w:type="dxa"/>
            <w:vAlign w:val="bottom"/>
            <w:tcBorders>
              <w:bottom w:val="single" w:sz="8" w:color="88888B"/>
            </w:tcBorders>
          </w:tcPr>
          <w:p>
            <w:pPr>
              <w:spacing w:after="0"/>
              <w:rPr>
                <w:sz w:val="3"/>
                <w:szCs w:val="3"/>
                <w:color w:val="auto"/>
              </w:rPr>
            </w:pPr>
          </w:p>
        </w:tc>
        <w:tc>
          <w:tcPr>
            <w:tcW w:w="980" w:type="dxa"/>
            <w:vAlign w:val="bottom"/>
            <w:tcBorders>
              <w:bottom w:val="single" w:sz="8" w:color="88888B"/>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55565A"/>
              </w:rPr>
              <w:t>   Total revenues</w:t>
            </w:r>
          </w:p>
        </w:tc>
        <w:tc>
          <w:tcPr>
            <w:tcW w:w="14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1,885</w:t>
            </w:r>
          </w:p>
        </w:tc>
        <w:tc>
          <w:tcPr>
            <w:tcW w:w="8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1,738</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55565A"/>
              </w:rPr>
              <w:t>8%</w:t>
            </w:r>
          </w:p>
        </w:tc>
        <w:tc>
          <w:tcPr>
            <w:tcW w:w="12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55565A"/>
              </w:rPr>
              <w:t>–</w:t>
            </w:r>
          </w:p>
        </w:tc>
        <w:tc>
          <w:tcPr>
            <w:tcW w:w="116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55565A"/>
              </w:rPr>
              <w:t>8%</w:t>
            </w:r>
          </w:p>
        </w:tc>
        <w:tc>
          <w:tcPr>
            <w:tcW w:w="12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5565A"/>
              </w:rPr>
              <w:t>(1%)</w:t>
            </w: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5565A"/>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88888B"/>
          </w:tcPr>
          <w:p>
            <w:pPr>
              <w:spacing w:after="0" w:line="20" w:lineRule="exact"/>
              <w:rPr>
                <w:sz w:val="1"/>
                <w:szCs w:val="1"/>
                <w:color w:val="auto"/>
              </w:rPr>
            </w:pPr>
          </w:p>
        </w:tc>
        <w:tc>
          <w:tcPr>
            <w:tcW w:w="680" w:type="dxa"/>
            <w:vAlign w:val="bottom"/>
            <w:shd w:val="clear" w:color="auto" w:fill="88888B"/>
          </w:tcPr>
          <w:p>
            <w:pPr>
              <w:spacing w:after="0" w:line="20" w:lineRule="exact"/>
              <w:rPr>
                <w:sz w:val="1"/>
                <w:szCs w:val="1"/>
                <w:color w:val="auto"/>
              </w:rPr>
            </w:pPr>
          </w:p>
        </w:tc>
        <w:tc>
          <w:tcPr>
            <w:tcW w:w="720" w:type="dxa"/>
            <w:vAlign w:val="bottom"/>
            <w:shd w:val="clear" w:color="auto" w:fill="88888B"/>
          </w:tcPr>
          <w:p>
            <w:pPr>
              <w:spacing w:after="0" w:line="20" w:lineRule="exact"/>
              <w:rPr>
                <w:sz w:val="1"/>
                <w:szCs w:val="1"/>
                <w:color w:val="auto"/>
              </w:rPr>
            </w:pPr>
          </w:p>
        </w:tc>
        <w:tc>
          <w:tcPr>
            <w:tcW w:w="200" w:type="dxa"/>
            <w:vAlign w:val="bottom"/>
            <w:shd w:val="clear" w:color="auto" w:fill="88888B"/>
          </w:tcPr>
          <w:p>
            <w:pPr>
              <w:spacing w:after="0" w:line="20" w:lineRule="exact"/>
              <w:rPr>
                <w:sz w:val="1"/>
                <w:szCs w:val="1"/>
                <w:color w:val="auto"/>
              </w:rPr>
            </w:pPr>
          </w:p>
        </w:tc>
        <w:tc>
          <w:tcPr>
            <w:tcW w:w="1600" w:type="dxa"/>
            <w:vAlign w:val="bottom"/>
            <w:shd w:val="clear" w:color="auto" w:fill="88888B"/>
          </w:tcPr>
          <w:p>
            <w:pPr>
              <w:spacing w:after="0" w:line="20" w:lineRule="exact"/>
              <w:rPr>
                <w:sz w:val="1"/>
                <w:szCs w:val="1"/>
                <w:color w:val="auto"/>
              </w:rPr>
            </w:pPr>
          </w:p>
        </w:tc>
        <w:tc>
          <w:tcPr>
            <w:tcW w:w="1440" w:type="dxa"/>
            <w:vAlign w:val="bottom"/>
            <w:shd w:val="clear" w:color="auto" w:fill="88888B"/>
          </w:tcPr>
          <w:p>
            <w:pPr>
              <w:spacing w:after="0" w:line="20" w:lineRule="exact"/>
              <w:rPr>
                <w:sz w:val="1"/>
                <w:szCs w:val="1"/>
                <w:color w:val="auto"/>
              </w:rPr>
            </w:pPr>
          </w:p>
        </w:tc>
        <w:tc>
          <w:tcPr>
            <w:tcW w:w="800" w:type="dxa"/>
            <w:vAlign w:val="bottom"/>
            <w:shd w:val="clear" w:color="auto" w:fill="88888B"/>
          </w:tcPr>
          <w:p>
            <w:pPr>
              <w:spacing w:after="0" w:line="20" w:lineRule="exact"/>
              <w:rPr>
                <w:sz w:val="1"/>
                <w:szCs w:val="1"/>
                <w:color w:val="auto"/>
              </w:rPr>
            </w:pPr>
          </w:p>
        </w:tc>
        <w:tc>
          <w:tcPr>
            <w:tcW w:w="760" w:type="dxa"/>
            <w:vAlign w:val="bottom"/>
            <w:shd w:val="clear" w:color="auto" w:fill="88888B"/>
          </w:tcPr>
          <w:p>
            <w:pPr>
              <w:spacing w:after="0" w:line="20" w:lineRule="exact"/>
              <w:rPr>
                <w:sz w:val="1"/>
                <w:szCs w:val="1"/>
                <w:color w:val="auto"/>
              </w:rPr>
            </w:pPr>
          </w:p>
        </w:tc>
        <w:tc>
          <w:tcPr>
            <w:tcW w:w="1200" w:type="dxa"/>
            <w:vAlign w:val="bottom"/>
            <w:shd w:val="clear" w:color="auto" w:fill="88888B"/>
          </w:tcPr>
          <w:p>
            <w:pPr>
              <w:spacing w:after="0" w:line="20" w:lineRule="exact"/>
              <w:rPr>
                <w:sz w:val="1"/>
                <w:szCs w:val="1"/>
                <w:color w:val="auto"/>
              </w:rPr>
            </w:pPr>
          </w:p>
        </w:tc>
        <w:tc>
          <w:tcPr>
            <w:tcW w:w="1160" w:type="dxa"/>
            <w:vAlign w:val="bottom"/>
            <w:shd w:val="clear" w:color="auto" w:fill="88888B"/>
          </w:tcPr>
          <w:p>
            <w:pPr>
              <w:spacing w:after="0" w:line="20" w:lineRule="exact"/>
              <w:rPr>
                <w:sz w:val="1"/>
                <w:szCs w:val="1"/>
                <w:color w:val="auto"/>
              </w:rPr>
            </w:pPr>
          </w:p>
        </w:tc>
        <w:tc>
          <w:tcPr>
            <w:tcW w:w="1280" w:type="dxa"/>
            <w:vAlign w:val="bottom"/>
            <w:shd w:val="clear" w:color="auto" w:fill="88888B"/>
          </w:tcPr>
          <w:p>
            <w:pPr>
              <w:spacing w:after="0" w:line="20" w:lineRule="exact"/>
              <w:rPr>
                <w:sz w:val="1"/>
                <w:szCs w:val="1"/>
                <w:color w:val="auto"/>
              </w:rPr>
            </w:pPr>
          </w:p>
        </w:tc>
        <w:tc>
          <w:tcPr>
            <w:tcW w:w="980" w:type="dxa"/>
            <w:vAlign w:val="bottom"/>
            <w:shd w:val="clear" w:color="auto" w:fill="8888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00" w:type="dxa"/>
            <w:vAlign w:val="bottom"/>
            <w:gridSpan w:val="6"/>
          </w:tcPr>
          <w:p>
            <w:pPr>
              <w:spacing w:after="0"/>
              <w:rPr>
                <w:sz w:val="20"/>
                <w:szCs w:val="20"/>
                <w:color w:val="auto"/>
              </w:rPr>
            </w:pPr>
            <w:r>
              <w:rPr>
                <w:rFonts w:ascii="Arial" w:cs="Arial" w:eastAsia="Arial" w:hAnsi="Arial"/>
                <w:sz w:val="14"/>
                <w:szCs w:val="14"/>
                <w:b w:val="1"/>
                <w:bCs w:val="1"/>
                <w:color w:val="55565A"/>
              </w:rPr>
              <w:t>   Recurring Revenues</w:t>
            </w:r>
          </w:p>
        </w:tc>
        <w:tc>
          <w:tcPr>
            <w:tcW w:w="1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55565A"/>
            </w:tcBorders>
          </w:tcPr>
          <w:p>
            <w:pPr>
              <w:spacing w:after="0"/>
              <w:rPr>
                <w:sz w:val="11"/>
                <w:szCs w:val="11"/>
                <w:color w:val="auto"/>
              </w:rPr>
            </w:pPr>
          </w:p>
        </w:tc>
        <w:tc>
          <w:tcPr>
            <w:tcW w:w="720" w:type="dxa"/>
            <w:vAlign w:val="bottom"/>
            <w:tcBorders>
              <w:top w:val="single" w:sz="8" w:color="55565A"/>
            </w:tcBorders>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Legal Professionals</w:t>
            </w:r>
          </w:p>
        </w:tc>
        <w:tc>
          <w:tcPr>
            <w:tcW w:w="14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698</w:t>
            </w:r>
          </w:p>
        </w:tc>
        <w:tc>
          <w:tcPr>
            <w:tcW w:w="8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672</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55565A"/>
              </w:rPr>
              <w:t>4%</w:t>
            </w:r>
          </w:p>
        </w:tc>
        <w:tc>
          <w:tcPr>
            <w:tcW w:w="12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55565A"/>
              </w:rPr>
              <w:t>–</w:t>
            </w:r>
          </w:p>
        </w:tc>
        <w:tc>
          <w:tcPr>
            <w:tcW w:w="116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55565A"/>
              </w:rPr>
              <w:t>4%</w:t>
            </w:r>
          </w:p>
        </w:tc>
        <w:tc>
          <w:tcPr>
            <w:tcW w:w="12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5565A"/>
              </w:rPr>
              <w:t>(4%)</w:t>
            </w: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5565A"/>
              </w:rPr>
              <w:t>7%</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gridSpan w:val="4"/>
          </w:tcPr>
          <w:p>
            <w:pPr>
              <w:ind w:left="60"/>
              <w:spacing w:after="0"/>
              <w:rPr>
                <w:sz w:val="20"/>
                <w:szCs w:val="20"/>
                <w:color w:val="auto"/>
              </w:rPr>
            </w:pPr>
            <w:r>
              <w:rPr>
                <w:rFonts w:ascii="Arial" w:cs="Arial" w:eastAsia="Arial" w:hAnsi="Arial"/>
                <w:sz w:val="14"/>
                <w:szCs w:val="14"/>
                <w:b w:val="1"/>
                <w:bCs w:val="1"/>
                <w:color w:val="55565A"/>
              </w:rPr>
              <w:t>   Corporates</w:t>
            </w: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55565A"/>
              </w:rPr>
              <w:t>370</w:t>
            </w:r>
          </w:p>
        </w:tc>
        <w:tc>
          <w:tcPr>
            <w:tcW w:w="800" w:type="dxa"/>
            <w:vAlign w:val="bottom"/>
          </w:tcPr>
          <w:p>
            <w:pPr>
              <w:jc w:val="right"/>
              <w:ind w:right="189"/>
              <w:spacing w:after="0"/>
              <w:rPr>
                <w:sz w:val="20"/>
                <w:szCs w:val="20"/>
                <w:color w:val="auto"/>
              </w:rPr>
            </w:pPr>
            <w:r>
              <w:rPr>
                <w:rFonts w:ascii="Arial" w:cs="Arial" w:eastAsia="Arial" w:hAnsi="Arial"/>
                <w:sz w:val="14"/>
                <w:szCs w:val="14"/>
                <w:color w:val="55565A"/>
              </w:rPr>
              <w:t>326</w:t>
            </w:r>
          </w:p>
        </w:tc>
        <w:tc>
          <w:tcPr>
            <w:tcW w:w="760" w:type="dxa"/>
            <w:vAlign w:val="bottom"/>
          </w:tcPr>
          <w:p>
            <w:pPr>
              <w:jc w:val="right"/>
              <w:ind w:right="49"/>
              <w:spacing w:after="0"/>
              <w:rPr>
                <w:sz w:val="20"/>
                <w:szCs w:val="20"/>
                <w:color w:val="auto"/>
              </w:rPr>
            </w:pPr>
            <w:r>
              <w:rPr>
                <w:rFonts w:ascii="Arial" w:cs="Arial" w:eastAsia="Arial" w:hAnsi="Arial"/>
                <w:sz w:val="14"/>
                <w:szCs w:val="14"/>
                <w:color w:val="55565A"/>
              </w:rPr>
              <w:t>13%</w:t>
            </w:r>
          </w:p>
        </w:tc>
        <w:tc>
          <w:tcPr>
            <w:tcW w:w="1200" w:type="dxa"/>
            <w:vAlign w:val="bottom"/>
          </w:tcPr>
          <w:p>
            <w:pPr>
              <w:jc w:val="right"/>
              <w:ind w:right="169"/>
              <w:spacing w:after="0"/>
              <w:rPr>
                <w:sz w:val="20"/>
                <w:szCs w:val="20"/>
                <w:color w:val="auto"/>
              </w:rPr>
            </w:pPr>
            <w:r>
              <w:rPr>
                <w:rFonts w:ascii="Arial" w:cs="Arial" w:eastAsia="Arial" w:hAnsi="Arial"/>
                <w:sz w:val="14"/>
                <w:szCs w:val="14"/>
                <w:color w:val="55565A"/>
              </w:rPr>
              <w:t>1%</w:t>
            </w:r>
          </w:p>
        </w:tc>
        <w:tc>
          <w:tcPr>
            <w:tcW w:w="1160" w:type="dxa"/>
            <w:vAlign w:val="bottom"/>
          </w:tcPr>
          <w:p>
            <w:pPr>
              <w:jc w:val="right"/>
              <w:ind w:right="269"/>
              <w:spacing w:after="0"/>
              <w:rPr>
                <w:sz w:val="20"/>
                <w:szCs w:val="20"/>
                <w:color w:val="auto"/>
              </w:rPr>
            </w:pPr>
            <w:r>
              <w:rPr>
                <w:rFonts w:ascii="Arial" w:cs="Arial" w:eastAsia="Arial" w:hAnsi="Arial"/>
                <w:sz w:val="14"/>
                <w:szCs w:val="14"/>
                <w:color w:val="55565A"/>
              </w:rPr>
              <w:t>13%</w:t>
            </w:r>
          </w:p>
        </w:tc>
        <w:tc>
          <w:tcPr>
            <w:tcW w:w="1280" w:type="dxa"/>
            <w:vAlign w:val="bottom"/>
          </w:tcPr>
          <w:p>
            <w:pPr>
              <w:jc w:val="right"/>
              <w:ind w:right="249"/>
              <w:spacing w:after="0"/>
              <w:rPr>
                <w:sz w:val="20"/>
                <w:szCs w:val="20"/>
                <w:color w:val="auto"/>
              </w:rPr>
            </w:pPr>
            <w:r>
              <w:rPr>
                <w:rFonts w:ascii="Arial" w:cs="Arial" w:eastAsia="Arial" w:hAnsi="Arial"/>
                <w:sz w:val="14"/>
                <w:szCs w:val="14"/>
                <w:color w:val="55565A"/>
              </w:rPr>
              <w:t>2%</w:t>
            </w:r>
          </w:p>
        </w:tc>
        <w:tc>
          <w:tcPr>
            <w:tcW w:w="980" w:type="dxa"/>
            <w:vAlign w:val="bottom"/>
          </w:tcPr>
          <w:p>
            <w:pPr>
              <w:jc w:val="right"/>
              <w:ind w:right="129"/>
              <w:spacing w:after="0"/>
              <w:rPr>
                <w:sz w:val="20"/>
                <w:szCs w:val="20"/>
                <w:color w:val="auto"/>
              </w:rPr>
            </w:pPr>
            <w:r>
              <w:rPr>
                <w:rFonts w:ascii="Arial" w:cs="Arial" w:eastAsia="Arial" w:hAnsi="Arial"/>
                <w:sz w:val="14"/>
                <w:szCs w:val="14"/>
                <w:color w:val="55565A"/>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Tax &amp; Accounting Professionals</w:t>
            </w:r>
          </w:p>
        </w:tc>
        <w:tc>
          <w:tcPr>
            <w:tcW w:w="14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199</w:t>
            </w:r>
          </w:p>
        </w:tc>
        <w:tc>
          <w:tcPr>
            <w:tcW w:w="8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176</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55565A"/>
              </w:rPr>
              <w:t>13%</w:t>
            </w:r>
          </w:p>
        </w:tc>
        <w:tc>
          <w:tcPr>
            <w:tcW w:w="12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55565A"/>
              </w:rPr>
              <w:t>(1%)</w:t>
            </w:r>
          </w:p>
        </w:tc>
        <w:tc>
          <w:tcPr>
            <w:tcW w:w="116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55565A"/>
              </w:rPr>
              <w:t>14%</w:t>
            </w:r>
          </w:p>
        </w:tc>
        <w:tc>
          <w:tcPr>
            <w:tcW w:w="12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5565A"/>
              </w:rPr>
              <w:t>–</w:t>
            </w: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5565A"/>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88888B"/>
          </w:tcPr>
          <w:p>
            <w:pPr>
              <w:spacing w:after="0" w:line="20" w:lineRule="exact"/>
              <w:rPr>
                <w:sz w:val="1"/>
                <w:szCs w:val="1"/>
                <w:color w:val="auto"/>
              </w:rPr>
            </w:pPr>
          </w:p>
        </w:tc>
        <w:tc>
          <w:tcPr>
            <w:tcW w:w="680" w:type="dxa"/>
            <w:vAlign w:val="bottom"/>
            <w:shd w:val="clear" w:color="auto" w:fill="88888B"/>
          </w:tcPr>
          <w:p>
            <w:pPr>
              <w:spacing w:after="0" w:line="20" w:lineRule="exact"/>
              <w:rPr>
                <w:sz w:val="1"/>
                <w:szCs w:val="1"/>
                <w:color w:val="auto"/>
              </w:rPr>
            </w:pPr>
          </w:p>
        </w:tc>
        <w:tc>
          <w:tcPr>
            <w:tcW w:w="720" w:type="dxa"/>
            <w:vAlign w:val="bottom"/>
            <w:shd w:val="clear" w:color="auto" w:fill="88888B"/>
          </w:tcPr>
          <w:p>
            <w:pPr>
              <w:spacing w:after="0" w:line="20" w:lineRule="exact"/>
              <w:rPr>
                <w:sz w:val="1"/>
                <w:szCs w:val="1"/>
                <w:color w:val="auto"/>
              </w:rPr>
            </w:pPr>
          </w:p>
        </w:tc>
        <w:tc>
          <w:tcPr>
            <w:tcW w:w="200" w:type="dxa"/>
            <w:vAlign w:val="bottom"/>
            <w:shd w:val="clear" w:color="auto" w:fill="88888B"/>
          </w:tcPr>
          <w:p>
            <w:pPr>
              <w:spacing w:after="0" w:line="20" w:lineRule="exact"/>
              <w:rPr>
                <w:sz w:val="1"/>
                <w:szCs w:val="1"/>
                <w:color w:val="auto"/>
              </w:rPr>
            </w:pPr>
          </w:p>
        </w:tc>
        <w:tc>
          <w:tcPr>
            <w:tcW w:w="1600" w:type="dxa"/>
            <w:vAlign w:val="bottom"/>
            <w:shd w:val="clear" w:color="auto" w:fill="88888B"/>
          </w:tcPr>
          <w:p>
            <w:pPr>
              <w:spacing w:after="0" w:line="20" w:lineRule="exact"/>
              <w:rPr>
                <w:sz w:val="1"/>
                <w:szCs w:val="1"/>
                <w:color w:val="auto"/>
              </w:rPr>
            </w:pPr>
          </w:p>
        </w:tc>
        <w:tc>
          <w:tcPr>
            <w:tcW w:w="1440" w:type="dxa"/>
            <w:vAlign w:val="bottom"/>
            <w:shd w:val="clear" w:color="auto" w:fill="88888B"/>
          </w:tcPr>
          <w:p>
            <w:pPr>
              <w:spacing w:after="0" w:line="20" w:lineRule="exact"/>
              <w:rPr>
                <w:sz w:val="1"/>
                <w:szCs w:val="1"/>
                <w:color w:val="auto"/>
              </w:rPr>
            </w:pPr>
          </w:p>
        </w:tc>
        <w:tc>
          <w:tcPr>
            <w:tcW w:w="800" w:type="dxa"/>
            <w:vAlign w:val="bottom"/>
            <w:shd w:val="clear" w:color="auto" w:fill="88888B"/>
          </w:tcPr>
          <w:p>
            <w:pPr>
              <w:spacing w:after="0" w:line="20" w:lineRule="exact"/>
              <w:rPr>
                <w:sz w:val="1"/>
                <w:szCs w:val="1"/>
                <w:color w:val="auto"/>
              </w:rPr>
            </w:pPr>
          </w:p>
        </w:tc>
        <w:tc>
          <w:tcPr>
            <w:tcW w:w="760" w:type="dxa"/>
            <w:vAlign w:val="bottom"/>
            <w:shd w:val="clear" w:color="auto" w:fill="88888B"/>
          </w:tcPr>
          <w:p>
            <w:pPr>
              <w:spacing w:after="0" w:line="20" w:lineRule="exact"/>
              <w:rPr>
                <w:sz w:val="1"/>
                <w:szCs w:val="1"/>
                <w:color w:val="auto"/>
              </w:rPr>
            </w:pPr>
          </w:p>
        </w:tc>
        <w:tc>
          <w:tcPr>
            <w:tcW w:w="1200" w:type="dxa"/>
            <w:vAlign w:val="bottom"/>
            <w:shd w:val="clear" w:color="auto" w:fill="88888B"/>
          </w:tcPr>
          <w:p>
            <w:pPr>
              <w:spacing w:after="0" w:line="20" w:lineRule="exact"/>
              <w:rPr>
                <w:sz w:val="1"/>
                <w:szCs w:val="1"/>
                <w:color w:val="auto"/>
              </w:rPr>
            </w:pPr>
          </w:p>
        </w:tc>
        <w:tc>
          <w:tcPr>
            <w:tcW w:w="1160" w:type="dxa"/>
            <w:vAlign w:val="bottom"/>
            <w:shd w:val="clear" w:color="auto" w:fill="88888B"/>
          </w:tcPr>
          <w:p>
            <w:pPr>
              <w:spacing w:after="0" w:line="20" w:lineRule="exact"/>
              <w:rPr>
                <w:sz w:val="1"/>
                <w:szCs w:val="1"/>
                <w:color w:val="auto"/>
              </w:rPr>
            </w:pPr>
          </w:p>
        </w:tc>
        <w:tc>
          <w:tcPr>
            <w:tcW w:w="1280" w:type="dxa"/>
            <w:vAlign w:val="bottom"/>
            <w:shd w:val="clear" w:color="auto" w:fill="88888B"/>
          </w:tcPr>
          <w:p>
            <w:pPr>
              <w:spacing w:after="0" w:line="20" w:lineRule="exact"/>
              <w:rPr>
                <w:sz w:val="1"/>
                <w:szCs w:val="1"/>
                <w:color w:val="auto"/>
              </w:rPr>
            </w:pPr>
          </w:p>
        </w:tc>
        <w:tc>
          <w:tcPr>
            <w:tcW w:w="980" w:type="dxa"/>
            <w:vAlign w:val="bottom"/>
            <w:shd w:val="clear" w:color="auto" w:fill="8888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300" w:type="dxa"/>
            <w:vAlign w:val="bottom"/>
            <w:gridSpan w:val="6"/>
          </w:tcPr>
          <w:p>
            <w:pPr>
              <w:spacing w:after="0"/>
              <w:rPr>
                <w:sz w:val="20"/>
                <w:szCs w:val="20"/>
                <w:color w:val="auto"/>
              </w:rPr>
            </w:pPr>
            <w:r>
              <w:rPr>
                <w:rFonts w:ascii="Arial" w:cs="Arial" w:eastAsia="Arial" w:hAnsi="Arial"/>
                <w:sz w:val="14"/>
                <w:szCs w:val="14"/>
                <w:b w:val="1"/>
                <w:bCs w:val="1"/>
                <w:color w:val="55565A"/>
              </w:rPr>
              <w:t>   “Big 3” Segments Combined</w:t>
            </w: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55565A"/>
              </w:rPr>
              <w:t>1,267</w:t>
            </w:r>
          </w:p>
        </w:tc>
        <w:tc>
          <w:tcPr>
            <w:tcW w:w="800" w:type="dxa"/>
            <w:vAlign w:val="bottom"/>
          </w:tcPr>
          <w:p>
            <w:pPr>
              <w:jc w:val="right"/>
              <w:ind w:right="189"/>
              <w:spacing w:after="0"/>
              <w:rPr>
                <w:sz w:val="20"/>
                <w:szCs w:val="20"/>
                <w:color w:val="auto"/>
              </w:rPr>
            </w:pPr>
            <w:r>
              <w:rPr>
                <w:rFonts w:ascii="Arial" w:cs="Arial" w:eastAsia="Arial" w:hAnsi="Arial"/>
                <w:sz w:val="14"/>
                <w:szCs w:val="14"/>
                <w:color w:val="55565A"/>
              </w:rPr>
              <w:t>1,174</w:t>
            </w:r>
          </w:p>
        </w:tc>
        <w:tc>
          <w:tcPr>
            <w:tcW w:w="760" w:type="dxa"/>
            <w:vAlign w:val="bottom"/>
          </w:tcPr>
          <w:p>
            <w:pPr>
              <w:jc w:val="right"/>
              <w:ind w:right="49"/>
              <w:spacing w:after="0"/>
              <w:rPr>
                <w:sz w:val="20"/>
                <w:szCs w:val="20"/>
                <w:color w:val="auto"/>
              </w:rPr>
            </w:pPr>
            <w:r>
              <w:rPr>
                <w:rFonts w:ascii="Arial" w:cs="Arial" w:eastAsia="Arial" w:hAnsi="Arial"/>
                <w:sz w:val="14"/>
                <w:szCs w:val="14"/>
                <w:color w:val="55565A"/>
              </w:rPr>
              <w:t>8%</w:t>
            </w:r>
          </w:p>
        </w:tc>
        <w:tc>
          <w:tcPr>
            <w:tcW w:w="1200" w:type="dxa"/>
            <w:vAlign w:val="bottom"/>
          </w:tcPr>
          <w:p>
            <w:pPr>
              <w:jc w:val="right"/>
              <w:ind w:right="169"/>
              <w:spacing w:after="0"/>
              <w:rPr>
                <w:sz w:val="20"/>
                <w:szCs w:val="20"/>
                <w:color w:val="auto"/>
              </w:rPr>
            </w:pPr>
            <w:r>
              <w:rPr>
                <w:rFonts w:ascii="Arial" w:cs="Arial" w:eastAsia="Arial" w:hAnsi="Arial"/>
                <w:sz w:val="14"/>
                <w:szCs w:val="14"/>
                <w:color w:val="55565A"/>
              </w:rPr>
              <w:t>–</w:t>
            </w:r>
          </w:p>
        </w:tc>
        <w:tc>
          <w:tcPr>
            <w:tcW w:w="1160" w:type="dxa"/>
            <w:vAlign w:val="bottom"/>
          </w:tcPr>
          <w:p>
            <w:pPr>
              <w:jc w:val="right"/>
              <w:ind w:right="269"/>
              <w:spacing w:after="0"/>
              <w:rPr>
                <w:sz w:val="20"/>
                <w:szCs w:val="20"/>
                <w:color w:val="auto"/>
              </w:rPr>
            </w:pPr>
            <w:r>
              <w:rPr>
                <w:rFonts w:ascii="Arial" w:cs="Arial" w:eastAsia="Arial" w:hAnsi="Arial"/>
                <w:sz w:val="14"/>
                <w:szCs w:val="14"/>
                <w:color w:val="55565A"/>
              </w:rPr>
              <w:t>8%</w:t>
            </w:r>
          </w:p>
        </w:tc>
        <w:tc>
          <w:tcPr>
            <w:tcW w:w="1280" w:type="dxa"/>
            <w:vAlign w:val="bottom"/>
          </w:tcPr>
          <w:p>
            <w:pPr>
              <w:jc w:val="right"/>
              <w:ind w:right="249"/>
              <w:spacing w:after="0"/>
              <w:rPr>
                <w:sz w:val="20"/>
                <w:szCs w:val="20"/>
                <w:color w:val="auto"/>
              </w:rPr>
            </w:pPr>
            <w:r>
              <w:rPr>
                <w:rFonts w:ascii="Arial" w:cs="Arial" w:eastAsia="Arial" w:hAnsi="Arial"/>
                <w:sz w:val="14"/>
                <w:szCs w:val="14"/>
                <w:color w:val="55565A"/>
              </w:rPr>
              <w:t>(2%)</w:t>
            </w:r>
          </w:p>
        </w:tc>
        <w:tc>
          <w:tcPr>
            <w:tcW w:w="980" w:type="dxa"/>
            <w:vAlign w:val="bottom"/>
          </w:tcPr>
          <w:p>
            <w:pPr>
              <w:jc w:val="right"/>
              <w:ind w:right="129"/>
              <w:spacing w:after="0"/>
              <w:rPr>
                <w:sz w:val="20"/>
                <w:szCs w:val="20"/>
                <w:color w:val="auto"/>
              </w:rPr>
            </w:pPr>
            <w:r>
              <w:rPr>
                <w:rFonts w:ascii="Arial" w:cs="Arial" w:eastAsia="Arial" w:hAnsi="Arial"/>
                <w:sz w:val="14"/>
                <w:szCs w:val="14"/>
                <w:color w:val="55565A"/>
              </w:rPr>
              <w:t>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Reuters News</w:t>
            </w:r>
          </w:p>
        </w:tc>
        <w:tc>
          <w:tcPr>
            <w:tcW w:w="14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164</w:t>
            </w:r>
          </w:p>
        </w:tc>
        <w:tc>
          <w:tcPr>
            <w:tcW w:w="8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155</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55565A"/>
              </w:rPr>
              <w:t>6%</w:t>
            </w:r>
          </w:p>
        </w:tc>
        <w:tc>
          <w:tcPr>
            <w:tcW w:w="12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55565A"/>
              </w:rPr>
              <w:t>(1%)</w:t>
            </w:r>
          </w:p>
        </w:tc>
        <w:tc>
          <w:tcPr>
            <w:tcW w:w="116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55565A"/>
              </w:rPr>
              <w:t>7%</w:t>
            </w:r>
          </w:p>
        </w:tc>
        <w:tc>
          <w:tcPr>
            <w:tcW w:w="12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5565A"/>
              </w:rPr>
              <w:t>3%</w:t>
            </w: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5565A"/>
              </w:rPr>
              <w:t>4%</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gridSpan w:val="4"/>
          </w:tcPr>
          <w:p>
            <w:pPr>
              <w:ind w:left="60"/>
              <w:spacing w:after="0"/>
              <w:rPr>
                <w:sz w:val="20"/>
                <w:szCs w:val="20"/>
                <w:color w:val="auto"/>
              </w:rPr>
            </w:pPr>
            <w:r>
              <w:rPr>
                <w:rFonts w:ascii="Arial" w:cs="Arial" w:eastAsia="Arial" w:hAnsi="Arial"/>
                <w:sz w:val="14"/>
                <w:szCs w:val="14"/>
                <w:b w:val="1"/>
                <w:bCs w:val="1"/>
                <w:color w:val="55565A"/>
              </w:rPr>
              <w:t>   Eliminations/Rounding</w:t>
            </w: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55565A"/>
              </w:rPr>
              <w:t>(5)</w:t>
            </w:r>
          </w:p>
        </w:tc>
        <w:tc>
          <w:tcPr>
            <w:tcW w:w="800" w:type="dxa"/>
            <w:vAlign w:val="bottom"/>
          </w:tcPr>
          <w:p>
            <w:pPr>
              <w:jc w:val="right"/>
              <w:ind w:right="189"/>
              <w:spacing w:after="0"/>
              <w:rPr>
                <w:sz w:val="20"/>
                <w:szCs w:val="20"/>
                <w:color w:val="auto"/>
              </w:rPr>
            </w:pPr>
            <w:r>
              <w:rPr>
                <w:rFonts w:ascii="Arial" w:cs="Arial" w:eastAsia="Arial" w:hAnsi="Arial"/>
                <w:sz w:val="14"/>
                <w:szCs w:val="14"/>
                <w:color w:val="55565A"/>
              </w:rPr>
              <w:t>(6)</w:t>
            </w: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88888B"/>
            </w:tcBorders>
          </w:tcPr>
          <w:p>
            <w:pPr>
              <w:spacing w:after="0"/>
              <w:rPr>
                <w:sz w:val="3"/>
                <w:szCs w:val="3"/>
                <w:color w:val="auto"/>
              </w:rPr>
            </w:pPr>
          </w:p>
        </w:tc>
        <w:tc>
          <w:tcPr>
            <w:tcW w:w="680" w:type="dxa"/>
            <w:vAlign w:val="bottom"/>
            <w:tcBorders>
              <w:bottom w:val="single" w:sz="8" w:color="88888B"/>
            </w:tcBorders>
          </w:tcPr>
          <w:p>
            <w:pPr>
              <w:spacing w:after="0"/>
              <w:rPr>
                <w:sz w:val="3"/>
                <w:szCs w:val="3"/>
                <w:color w:val="auto"/>
              </w:rPr>
            </w:pPr>
          </w:p>
        </w:tc>
        <w:tc>
          <w:tcPr>
            <w:tcW w:w="720" w:type="dxa"/>
            <w:vAlign w:val="bottom"/>
            <w:tcBorders>
              <w:bottom w:val="single" w:sz="8" w:color="88888B"/>
            </w:tcBorders>
          </w:tcPr>
          <w:p>
            <w:pPr>
              <w:spacing w:after="0"/>
              <w:rPr>
                <w:sz w:val="3"/>
                <w:szCs w:val="3"/>
                <w:color w:val="auto"/>
              </w:rPr>
            </w:pPr>
          </w:p>
        </w:tc>
        <w:tc>
          <w:tcPr>
            <w:tcW w:w="200" w:type="dxa"/>
            <w:vAlign w:val="bottom"/>
            <w:tcBorders>
              <w:bottom w:val="single" w:sz="8" w:color="88888B"/>
            </w:tcBorders>
          </w:tcPr>
          <w:p>
            <w:pPr>
              <w:spacing w:after="0"/>
              <w:rPr>
                <w:sz w:val="3"/>
                <w:szCs w:val="3"/>
                <w:color w:val="auto"/>
              </w:rPr>
            </w:pPr>
          </w:p>
        </w:tc>
        <w:tc>
          <w:tcPr>
            <w:tcW w:w="1600" w:type="dxa"/>
            <w:vAlign w:val="bottom"/>
            <w:tcBorders>
              <w:bottom w:val="single" w:sz="8" w:color="88888B"/>
            </w:tcBorders>
          </w:tcPr>
          <w:p>
            <w:pPr>
              <w:spacing w:after="0"/>
              <w:rPr>
                <w:sz w:val="3"/>
                <w:szCs w:val="3"/>
                <w:color w:val="auto"/>
              </w:rPr>
            </w:pPr>
          </w:p>
        </w:tc>
        <w:tc>
          <w:tcPr>
            <w:tcW w:w="1440" w:type="dxa"/>
            <w:vAlign w:val="bottom"/>
            <w:tcBorders>
              <w:bottom w:val="single" w:sz="8" w:color="88888B"/>
            </w:tcBorders>
          </w:tcPr>
          <w:p>
            <w:pPr>
              <w:spacing w:after="0"/>
              <w:rPr>
                <w:sz w:val="3"/>
                <w:szCs w:val="3"/>
                <w:color w:val="auto"/>
              </w:rPr>
            </w:pPr>
          </w:p>
        </w:tc>
        <w:tc>
          <w:tcPr>
            <w:tcW w:w="800" w:type="dxa"/>
            <w:vAlign w:val="bottom"/>
            <w:tcBorders>
              <w:bottom w:val="single" w:sz="8" w:color="88888B"/>
            </w:tcBorders>
          </w:tcPr>
          <w:p>
            <w:pPr>
              <w:spacing w:after="0"/>
              <w:rPr>
                <w:sz w:val="3"/>
                <w:szCs w:val="3"/>
                <w:color w:val="auto"/>
              </w:rPr>
            </w:pPr>
          </w:p>
        </w:tc>
        <w:tc>
          <w:tcPr>
            <w:tcW w:w="760" w:type="dxa"/>
            <w:vAlign w:val="bottom"/>
            <w:tcBorders>
              <w:bottom w:val="single" w:sz="8" w:color="88888B"/>
            </w:tcBorders>
          </w:tcPr>
          <w:p>
            <w:pPr>
              <w:spacing w:after="0"/>
              <w:rPr>
                <w:sz w:val="3"/>
                <w:szCs w:val="3"/>
                <w:color w:val="auto"/>
              </w:rPr>
            </w:pPr>
          </w:p>
        </w:tc>
        <w:tc>
          <w:tcPr>
            <w:tcW w:w="1200" w:type="dxa"/>
            <w:vAlign w:val="bottom"/>
            <w:tcBorders>
              <w:bottom w:val="single" w:sz="8" w:color="88888B"/>
            </w:tcBorders>
          </w:tcPr>
          <w:p>
            <w:pPr>
              <w:spacing w:after="0"/>
              <w:rPr>
                <w:sz w:val="3"/>
                <w:szCs w:val="3"/>
                <w:color w:val="auto"/>
              </w:rPr>
            </w:pPr>
          </w:p>
        </w:tc>
        <w:tc>
          <w:tcPr>
            <w:tcW w:w="1160" w:type="dxa"/>
            <w:vAlign w:val="bottom"/>
            <w:tcBorders>
              <w:bottom w:val="single" w:sz="8" w:color="88888B"/>
            </w:tcBorders>
          </w:tcPr>
          <w:p>
            <w:pPr>
              <w:spacing w:after="0"/>
              <w:rPr>
                <w:sz w:val="3"/>
                <w:szCs w:val="3"/>
                <w:color w:val="auto"/>
              </w:rPr>
            </w:pPr>
          </w:p>
        </w:tc>
        <w:tc>
          <w:tcPr>
            <w:tcW w:w="1280" w:type="dxa"/>
            <w:vAlign w:val="bottom"/>
            <w:tcBorders>
              <w:bottom w:val="single" w:sz="8" w:color="88888B"/>
            </w:tcBorders>
          </w:tcPr>
          <w:p>
            <w:pPr>
              <w:spacing w:after="0"/>
              <w:rPr>
                <w:sz w:val="3"/>
                <w:szCs w:val="3"/>
                <w:color w:val="auto"/>
              </w:rPr>
            </w:pPr>
          </w:p>
        </w:tc>
        <w:tc>
          <w:tcPr>
            <w:tcW w:w="980" w:type="dxa"/>
            <w:vAlign w:val="bottom"/>
            <w:tcBorders>
              <w:bottom w:val="single" w:sz="8" w:color="88888B"/>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55565A"/>
              </w:rPr>
              <w:t>   Total recurring revenues</w:t>
            </w:r>
          </w:p>
        </w:tc>
        <w:tc>
          <w:tcPr>
            <w:tcW w:w="14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1,426</w:t>
            </w:r>
          </w:p>
        </w:tc>
        <w:tc>
          <w:tcPr>
            <w:tcW w:w="8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1,323</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55565A"/>
              </w:rPr>
              <w:t>8%</w:t>
            </w:r>
          </w:p>
        </w:tc>
        <w:tc>
          <w:tcPr>
            <w:tcW w:w="12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55565A"/>
              </w:rPr>
              <w:t>–</w:t>
            </w:r>
          </w:p>
        </w:tc>
        <w:tc>
          <w:tcPr>
            <w:tcW w:w="116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55565A"/>
              </w:rPr>
              <w:t>8%</w:t>
            </w:r>
          </w:p>
        </w:tc>
        <w:tc>
          <w:tcPr>
            <w:tcW w:w="12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5565A"/>
              </w:rPr>
              <w:t>(1%)</w:t>
            </w: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5565A"/>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88888B"/>
          </w:tcPr>
          <w:p>
            <w:pPr>
              <w:spacing w:after="0" w:line="20" w:lineRule="exact"/>
              <w:rPr>
                <w:sz w:val="1"/>
                <w:szCs w:val="1"/>
                <w:color w:val="auto"/>
              </w:rPr>
            </w:pPr>
          </w:p>
        </w:tc>
        <w:tc>
          <w:tcPr>
            <w:tcW w:w="680" w:type="dxa"/>
            <w:vAlign w:val="bottom"/>
            <w:shd w:val="clear" w:color="auto" w:fill="88888B"/>
          </w:tcPr>
          <w:p>
            <w:pPr>
              <w:spacing w:after="0" w:line="20" w:lineRule="exact"/>
              <w:rPr>
                <w:sz w:val="1"/>
                <w:szCs w:val="1"/>
                <w:color w:val="auto"/>
              </w:rPr>
            </w:pPr>
          </w:p>
        </w:tc>
        <w:tc>
          <w:tcPr>
            <w:tcW w:w="720" w:type="dxa"/>
            <w:vAlign w:val="bottom"/>
            <w:shd w:val="clear" w:color="auto" w:fill="88888B"/>
          </w:tcPr>
          <w:p>
            <w:pPr>
              <w:spacing w:after="0" w:line="20" w:lineRule="exact"/>
              <w:rPr>
                <w:sz w:val="1"/>
                <w:szCs w:val="1"/>
                <w:color w:val="auto"/>
              </w:rPr>
            </w:pPr>
          </w:p>
        </w:tc>
        <w:tc>
          <w:tcPr>
            <w:tcW w:w="200" w:type="dxa"/>
            <w:vAlign w:val="bottom"/>
            <w:shd w:val="clear" w:color="auto" w:fill="88888B"/>
          </w:tcPr>
          <w:p>
            <w:pPr>
              <w:spacing w:after="0" w:line="20" w:lineRule="exact"/>
              <w:rPr>
                <w:sz w:val="1"/>
                <w:szCs w:val="1"/>
                <w:color w:val="auto"/>
              </w:rPr>
            </w:pPr>
          </w:p>
        </w:tc>
        <w:tc>
          <w:tcPr>
            <w:tcW w:w="1600" w:type="dxa"/>
            <w:vAlign w:val="bottom"/>
            <w:shd w:val="clear" w:color="auto" w:fill="88888B"/>
          </w:tcPr>
          <w:p>
            <w:pPr>
              <w:spacing w:after="0" w:line="20" w:lineRule="exact"/>
              <w:rPr>
                <w:sz w:val="1"/>
                <w:szCs w:val="1"/>
                <w:color w:val="auto"/>
              </w:rPr>
            </w:pPr>
          </w:p>
        </w:tc>
        <w:tc>
          <w:tcPr>
            <w:tcW w:w="1440" w:type="dxa"/>
            <w:vAlign w:val="bottom"/>
            <w:shd w:val="clear" w:color="auto" w:fill="88888B"/>
          </w:tcPr>
          <w:p>
            <w:pPr>
              <w:spacing w:after="0" w:line="20" w:lineRule="exact"/>
              <w:rPr>
                <w:sz w:val="1"/>
                <w:szCs w:val="1"/>
                <w:color w:val="auto"/>
              </w:rPr>
            </w:pPr>
          </w:p>
        </w:tc>
        <w:tc>
          <w:tcPr>
            <w:tcW w:w="800" w:type="dxa"/>
            <w:vAlign w:val="bottom"/>
            <w:shd w:val="clear" w:color="auto" w:fill="88888B"/>
          </w:tcPr>
          <w:p>
            <w:pPr>
              <w:spacing w:after="0" w:line="20" w:lineRule="exact"/>
              <w:rPr>
                <w:sz w:val="1"/>
                <w:szCs w:val="1"/>
                <w:color w:val="auto"/>
              </w:rPr>
            </w:pPr>
          </w:p>
        </w:tc>
        <w:tc>
          <w:tcPr>
            <w:tcW w:w="760" w:type="dxa"/>
            <w:vAlign w:val="bottom"/>
            <w:shd w:val="clear" w:color="auto" w:fill="88888B"/>
          </w:tcPr>
          <w:p>
            <w:pPr>
              <w:spacing w:after="0" w:line="20" w:lineRule="exact"/>
              <w:rPr>
                <w:sz w:val="1"/>
                <w:szCs w:val="1"/>
                <w:color w:val="auto"/>
              </w:rPr>
            </w:pPr>
          </w:p>
        </w:tc>
        <w:tc>
          <w:tcPr>
            <w:tcW w:w="1200" w:type="dxa"/>
            <w:vAlign w:val="bottom"/>
            <w:shd w:val="clear" w:color="auto" w:fill="88888B"/>
          </w:tcPr>
          <w:p>
            <w:pPr>
              <w:spacing w:after="0" w:line="20" w:lineRule="exact"/>
              <w:rPr>
                <w:sz w:val="1"/>
                <w:szCs w:val="1"/>
                <w:color w:val="auto"/>
              </w:rPr>
            </w:pPr>
          </w:p>
        </w:tc>
        <w:tc>
          <w:tcPr>
            <w:tcW w:w="1160" w:type="dxa"/>
            <w:vAlign w:val="bottom"/>
            <w:shd w:val="clear" w:color="auto" w:fill="88888B"/>
          </w:tcPr>
          <w:p>
            <w:pPr>
              <w:spacing w:after="0" w:line="20" w:lineRule="exact"/>
              <w:rPr>
                <w:sz w:val="1"/>
                <w:szCs w:val="1"/>
                <w:color w:val="auto"/>
              </w:rPr>
            </w:pPr>
          </w:p>
        </w:tc>
        <w:tc>
          <w:tcPr>
            <w:tcW w:w="1280" w:type="dxa"/>
            <w:vAlign w:val="bottom"/>
            <w:shd w:val="clear" w:color="auto" w:fill="88888B"/>
          </w:tcPr>
          <w:p>
            <w:pPr>
              <w:spacing w:after="0" w:line="20" w:lineRule="exact"/>
              <w:rPr>
                <w:sz w:val="1"/>
                <w:szCs w:val="1"/>
                <w:color w:val="auto"/>
              </w:rPr>
            </w:pPr>
          </w:p>
        </w:tc>
        <w:tc>
          <w:tcPr>
            <w:tcW w:w="980" w:type="dxa"/>
            <w:vAlign w:val="bottom"/>
            <w:shd w:val="clear" w:color="auto" w:fill="8888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00" w:type="dxa"/>
            <w:vAlign w:val="bottom"/>
            <w:gridSpan w:val="6"/>
          </w:tcPr>
          <w:p>
            <w:pPr>
              <w:spacing w:after="0"/>
              <w:rPr>
                <w:sz w:val="20"/>
                <w:szCs w:val="20"/>
                <w:color w:val="auto"/>
              </w:rPr>
            </w:pPr>
            <w:r>
              <w:rPr>
                <w:rFonts w:ascii="Arial" w:cs="Arial" w:eastAsia="Arial" w:hAnsi="Arial"/>
                <w:sz w:val="14"/>
                <w:szCs w:val="14"/>
                <w:b w:val="1"/>
                <w:bCs w:val="1"/>
                <w:color w:val="55565A"/>
              </w:rPr>
              <w:t>   Transactions Revenues</w:t>
            </w:r>
          </w:p>
        </w:tc>
        <w:tc>
          <w:tcPr>
            <w:tcW w:w="1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55565A"/>
            </w:tcBorders>
          </w:tcPr>
          <w:p>
            <w:pPr>
              <w:spacing w:after="0"/>
              <w:rPr>
                <w:sz w:val="11"/>
                <w:szCs w:val="11"/>
                <w:color w:val="auto"/>
              </w:rPr>
            </w:pPr>
          </w:p>
        </w:tc>
        <w:tc>
          <w:tcPr>
            <w:tcW w:w="720" w:type="dxa"/>
            <w:vAlign w:val="bottom"/>
            <w:tcBorders>
              <w:top w:val="single" w:sz="8" w:color="55565A"/>
            </w:tcBorders>
          </w:tcPr>
          <w:p>
            <w:pPr>
              <w:spacing w:after="0"/>
              <w:rPr>
                <w:sz w:val="11"/>
                <w:szCs w:val="11"/>
                <w:color w:val="auto"/>
              </w:rPr>
            </w:pPr>
          </w:p>
        </w:tc>
        <w:tc>
          <w:tcPr>
            <w:tcW w:w="200" w:type="dxa"/>
            <w:vAlign w:val="bottom"/>
            <w:tcBorders>
              <w:top w:val="single" w:sz="8" w:color="55565A"/>
            </w:tcBorders>
          </w:tcPr>
          <w:p>
            <w:pPr>
              <w:spacing w:after="0"/>
              <w:rPr>
                <w:sz w:val="11"/>
                <w:szCs w:val="11"/>
                <w:color w:val="auto"/>
              </w:rPr>
            </w:pPr>
          </w:p>
        </w:tc>
        <w:tc>
          <w:tcPr>
            <w:tcW w:w="1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Legal Professionals</w:t>
            </w:r>
          </w:p>
        </w:tc>
        <w:tc>
          <w:tcPr>
            <w:tcW w:w="14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23</w:t>
            </w:r>
          </w:p>
        </w:tc>
        <w:tc>
          <w:tcPr>
            <w:tcW w:w="8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42</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55565A"/>
              </w:rPr>
              <w:t>(46%)</w:t>
            </w:r>
          </w:p>
        </w:tc>
        <w:tc>
          <w:tcPr>
            <w:tcW w:w="12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55565A"/>
              </w:rPr>
              <w:t>(2%)</w:t>
            </w:r>
          </w:p>
        </w:tc>
        <w:tc>
          <w:tcPr>
            <w:tcW w:w="116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55565A"/>
              </w:rPr>
              <w:t>(44%)</w:t>
            </w:r>
          </w:p>
        </w:tc>
        <w:tc>
          <w:tcPr>
            <w:tcW w:w="12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5565A"/>
              </w:rPr>
              <w:t>(49%)</w:t>
            </w: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5565A"/>
              </w:rPr>
              <w:t>4%</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gridSpan w:val="4"/>
          </w:tcPr>
          <w:p>
            <w:pPr>
              <w:ind w:left="60"/>
              <w:spacing w:after="0"/>
              <w:rPr>
                <w:sz w:val="20"/>
                <w:szCs w:val="20"/>
                <w:color w:val="auto"/>
              </w:rPr>
            </w:pPr>
            <w:r>
              <w:rPr>
                <w:rFonts w:ascii="Arial" w:cs="Arial" w:eastAsia="Arial" w:hAnsi="Arial"/>
                <w:sz w:val="14"/>
                <w:szCs w:val="14"/>
                <w:b w:val="1"/>
                <w:bCs w:val="1"/>
                <w:color w:val="55565A"/>
              </w:rPr>
              <w:t>   Corporates</w:t>
            </w: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55565A"/>
              </w:rPr>
              <w:t>137</w:t>
            </w:r>
          </w:p>
        </w:tc>
        <w:tc>
          <w:tcPr>
            <w:tcW w:w="800" w:type="dxa"/>
            <w:vAlign w:val="bottom"/>
          </w:tcPr>
          <w:p>
            <w:pPr>
              <w:jc w:val="right"/>
              <w:ind w:right="189"/>
              <w:spacing w:after="0"/>
              <w:rPr>
                <w:sz w:val="20"/>
                <w:szCs w:val="20"/>
                <w:color w:val="auto"/>
              </w:rPr>
            </w:pPr>
            <w:r>
              <w:rPr>
                <w:rFonts w:ascii="Arial" w:cs="Arial" w:eastAsia="Arial" w:hAnsi="Arial"/>
                <w:sz w:val="14"/>
                <w:szCs w:val="14"/>
                <w:color w:val="55565A"/>
              </w:rPr>
              <w:t>109</w:t>
            </w:r>
          </w:p>
        </w:tc>
        <w:tc>
          <w:tcPr>
            <w:tcW w:w="760" w:type="dxa"/>
            <w:vAlign w:val="bottom"/>
          </w:tcPr>
          <w:p>
            <w:pPr>
              <w:jc w:val="right"/>
              <w:ind w:right="49"/>
              <w:spacing w:after="0"/>
              <w:rPr>
                <w:sz w:val="20"/>
                <w:szCs w:val="20"/>
                <w:color w:val="auto"/>
              </w:rPr>
            </w:pPr>
            <w:r>
              <w:rPr>
                <w:rFonts w:ascii="Arial" w:cs="Arial" w:eastAsia="Arial" w:hAnsi="Arial"/>
                <w:sz w:val="14"/>
                <w:szCs w:val="14"/>
                <w:color w:val="55565A"/>
              </w:rPr>
              <w:t>26%</w:t>
            </w:r>
          </w:p>
        </w:tc>
        <w:tc>
          <w:tcPr>
            <w:tcW w:w="1200" w:type="dxa"/>
            <w:vAlign w:val="bottom"/>
          </w:tcPr>
          <w:p>
            <w:pPr>
              <w:jc w:val="right"/>
              <w:ind w:right="169"/>
              <w:spacing w:after="0"/>
              <w:rPr>
                <w:sz w:val="20"/>
                <w:szCs w:val="20"/>
                <w:color w:val="auto"/>
              </w:rPr>
            </w:pPr>
            <w:r>
              <w:rPr>
                <w:rFonts w:ascii="Arial" w:cs="Arial" w:eastAsia="Arial" w:hAnsi="Arial"/>
                <w:sz w:val="14"/>
                <w:szCs w:val="14"/>
                <w:color w:val="55565A"/>
              </w:rPr>
              <w:t>–</w:t>
            </w:r>
          </w:p>
        </w:tc>
        <w:tc>
          <w:tcPr>
            <w:tcW w:w="1160" w:type="dxa"/>
            <w:vAlign w:val="bottom"/>
          </w:tcPr>
          <w:p>
            <w:pPr>
              <w:jc w:val="right"/>
              <w:ind w:right="269"/>
              <w:spacing w:after="0"/>
              <w:rPr>
                <w:sz w:val="20"/>
                <w:szCs w:val="20"/>
                <w:color w:val="auto"/>
              </w:rPr>
            </w:pPr>
            <w:r>
              <w:rPr>
                <w:rFonts w:ascii="Arial" w:cs="Arial" w:eastAsia="Arial" w:hAnsi="Arial"/>
                <w:sz w:val="14"/>
                <w:szCs w:val="14"/>
                <w:color w:val="55565A"/>
              </w:rPr>
              <w:t>26%</w:t>
            </w:r>
          </w:p>
        </w:tc>
        <w:tc>
          <w:tcPr>
            <w:tcW w:w="1280" w:type="dxa"/>
            <w:vAlign w:val="bottom"/>
          </w:tcPr>
          <w:p>
            <w:pPr>
              <w:jc w:val="right"/>
              <w:ind w:right="249"/>
              <w:spacing w:after="0"/>
              <w:rPr>
                <w:sz w:val="20"/>
                <w:szCs w:val="20"/>
                <w:color w:val="auto"/>
              </w:rPr>
            </w:pPr>
            <w:r>
              <w:rPr>
                <w:rFonts w:ascii="Arial" w:cs="Arial" w:eastAsia="Arial" w:hAnsi="Arial"/>
                <w:sz w:val="14"/>
                <w:szCs w:val="14"/>
                <w:color w:val="55565A"/>
              </w:rPr>
              <w:t>10%</w:t>
            </w:r>
          </w:p>
        </w:tc>
        <w:tc>
          <w:tcPr>
            <w:tcW w:w="980" w:type="dxa"/>
            <w:vAlign w:val="bottom"/>
          </w:tcPr>
          <w:p>
            <w:pPr>
              <w:jc w:val="right"/>
              <w:ind w:right="129"/>
              <w:spacing w:after="0"/>
              <w:rPr>
                <w:sz w:val="20"/>
                <w:szCs w:val="20"/>
                <w:color w:val="auto"/>
              </w:rPr>
            </w:pPr>
            <w:r>
              <w:rPr>
                <w:rFonts w:ascii="Arial" w:cs="Arial" w:eastAsia="Arial" w:hAnsi="Arial"/>
                <w:sz w:val="14"/>
                <w:szCs w:val="14"/>
                <w:color w:val="55565A"/>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Tax &amp; Accounting Professionals</w:t>
            </w:r>
          </w:p>
        </w:tc>
        <w:tc>
          <w:tcPr>
            <w:tcW w:w="14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129</w:t>
            </w:r>
          </w:p>
        </w:tc>
        <w:tc>
          <w:tcPr>
            <w:tcW w:w="8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106</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55565A"/>
              </w:rPr>
              <w:t>22%</w:t>
            </w:r>
          </w:p>
        </w:tc>
        <w:tc>
          <w:tcPr>
            <w:tcW w:w="12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55565A"/>
              </w:rPr>
              <w:t>(1%)</w:t>
            </w:r>
          </w:p>
        </w:tc>
        <w:tc>
          <w:tcPr>
            <w:tcW w:w="116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55565A"/>
              </w:rPr>
              <w:t>23%</w:t>
            </w:r>
          </w:p>
        </w:tc>
        <w:tc>
          <w:tcPr>
            <w:tcW w:w="12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5565A"/>
              </w:rPr>
              <w:t>8%</w:t>
            </w: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5565A"/>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88888B"/>
          </w:tcPr>
          <w:p>
            <w:pPr>
              <w:spacing w:after="0" w:line="20" w:lineRule="exact"/>
              <w:rPr>
                <w:sz w:val="1"/>
                <w:szCs w:val="1"/>
                <w:color w:val="auto"/>
              </w:rPr>
            </w:pPr>
          </w:p>
        </w:tc>
        <w:tc>
          <w:tcPr>
            <w:tcW w:w="680" w:type="dxa"/>
            <w:vAlign w:val="bottom"/>
            <w:shd w:val="clear" w:color="auto" w:fill="88888B"/>
          </w:tcPr>
          <w:p>
            <w:pPr>
              <w:spacing w:after="0" w:line="20" w:lineRule="exact"/>
              <w:rPr>
                <w:sz w:val="1"/>
                <w:szCs w:val="1"/>
                <w:color w:val="auto"/>
              </w:rPr>
            </w:pPr>
          </w:p>
        </w:tc>
        <w:tc>
          <w:tcPr>
            <w:tcW w:w="720" w:type="dxa"/>
            <w:vAlign w:val="bottom"/>
            <w:shd w:val="clear" w:color="auto" w:fill="88888B"/>
          </w:tcPr>
          <w:p>
            <w:pPr>
              <w:spacing w:after="0" w:line="20" w:lineRule="exact"/>
              <w:rPr>
                <w:sz w:val="1"/>
                <w:szCs w:val="1"/>
                <w:color w:val="auto"/>
              </w:rPr>
            </w:pPr>
          </w:p>
        </w:tc>
        <w:tc>
          <w:tcPr>
            <w:tcW w:w="200" w:type="dxa"/>
            <w:vAlign w:val="bottom"/>
            <w:shd w:val="clear" w:color="auto" w:fill="88888B"/>
          </w:tcPr>
          <w:p>
            <w:pPr>
              <w:spacing w:after="0" w:line="20" w:lineRule="exact"/>
              <w:rPr>
                <w:sz w:val="1"/>
                <w:szCs w:val="1"/>
                <w:color w:val="auto"/>
              </w:rPr>
            </w:pPr>
          </w:p>
        </w:tc>
        <w:tc>
          <w:tcPr>
            <w:tcW w:w="1600" w:type="dxa"/>
            <w:vAlign w:val="bottom"/>
            <w:shd w:val="clear" w:color="auto" w:fill="88888B"/>
          </w:tcPr>
          <w:p>
            <w:pPr>
              <w:spacing w:after="0" w:line="20" w:lineRule="exact"/>
              <w:rPr>
                <w:sz w:val="1"/>
                <w:szCs w:val="1"/>
                <w:color w:val="auto"/>
              </w:rPr>
            </w:pPr>
          </w:p>
        </w:tc>
        <w:tc>
          <w:tcPr>
            <w:tcW w:w="1440" w:type="dxa"/>
            <w:vAlign w:val="bottom"/>
            <w:shd w:val="clear" w:color="auto" w:fill="88888B"/>
          </w:tcPr>
          <w:p>
            <w:pPr>
              <w:spacing w:after="0" w:line="20" w:lineRule="exact"/>
              <w:rPr>
                <w:sz w:val="1"/>
                <w:szCs w:val="1"/>
                <w:color w:val="auto"/>
              </w:rPr>
            </w:pPr>
          </w:p>
        </w:tc>
        <w:tc>
          <w:tcPr>
            <w:tcW w:w="800" w:type="dxa"/>
            <w:vAlign w:val="bottom"/>
            <w:shd w:val="clear" w:color="auto" w:fill="88888B"/>
          </w:tcPr>
          <w:p>
            <w:pPr>
              <w:spacing w:after="0" w:line="20" w:lineRule="exact"/>
              <w:rPr>
                <w:sz w:val="1"/>
                <w:szCs w:val="1"/>
                <w:color w:val="auto"/>
              </w:rPr>
            </w:pPr>
          </w:p>
        </w:tc>
        <w:tc>
          <w:tcPr>
            <w:tcW w:w="760" w:type="dxa"/>
            <w:vAlign w:val="bottom"/>
            <w:shd w:val="clear" w:color="auto" w:fill="88888B"/>
          </w:tcPr>
          <w:p>
            <w:pPr>
              <w:spacing w:after="0" w:line="20" w:lineRule="exact"/>
              <w:rPr>
                <w:sz w:val="1"/>
                <w:szCs w:val="1"/>
                <w:color w:val="auto"/>
              </w:rPr>
            </w:pPr>
          </w:p>
        </w:tc>
        <w:tc>
          <w:tcPr>
            <w:tcW w:w="1200" w:type="dxa"/>
            <w:vAlign w:val="bottom"/>
            <w:shd w:val="clear" w:color="auto" w:fill="88888B"/>
          </w:tcPr>
          <w:p>
            <w:pPr>
              <w:spacing w:after="0" w:line="20" w:lineRule="exact"/>
              <w:rPr>
                <w:sz w:val="1"/>
                <w:szCs w:val="1"/>
                <w:color w:val="auto"/>
              </w:rPr>
            </w:pPr>
          </w:p>
        </w:tc>
        <w:tc>
          <w:tcPr>
            <w:tcW w:w="1160" w:type="dxa"/>
            <w:vAlign w:val="bottom"/>
            <w:shd w:val="clear" w:color="auto" w:fill="88888B"/>
          </w:tcPr>
          <w:p>
            <w:pPr>
              <w:spacing w:after="0" w:line="20" w:lineRule="exact"/>
              <w:rPr>
                <w:sz w:val="1"/>
                <w:szCs w:val="1"/>
                <w:color w:val="auto"/>
              </w:rPr>
            </w:pPr>
          </w:p>
        </w:tc>
        <w:tc>
          <w:tcPr>
            <w:tcW w:w="1280" w:type="dxa"/>
            <w:vAlign w:val="bottom"/>
            <w:shd w:val="clear" w:color="auto" w:fill="88888B"/>
          </w:tcPr>
          <w:p>
            <w:pPr>
              <w:spacing w:after="0" w:line="20" w:lineRule="exact"/>
              <w:rPr>
                <w:sz w:val="1"/>
                <w:szCs w:val="1"/>
                <w:color w:val="auto"/>
              </w:rPr>
            </w:pPr>
          </w:p>
        </w:tc>
        <w:tc>
          <w:tcPr>
            <w:tcW w:w="980" w:type="dxa"/>
            <w:vAlign w:val="bottom"/>
            <w:shd w:val="clear" w:color="auto" w:fill="8888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300" w:type="dxa"/>
            <w:vAlign w:val="bottom"/>
            <w:gridSpan w:val="6"/>
          </w:tcPr>
          <w:p>
            <w:pPr>
              <w:spacing w:after="0"/>
              <w:rPr>
                <w:sz w:val="20"/>
                <w:szCs w:val="20"/>
                <w:color w:val="auto"/>
              </w:rPr>
            </w:pPr>
            <w:r>
              <w:rPr>
                <w:rFonts w:ascii="Arial" w:cs="Arial" w:eastAsia="Arial" w:hAnsi="Arial"/>
                <w:sz w:val="14"/>
                <w:szCs w:val="14"/>
                <w:b w:val="1"/>
                <w:bCs w:val="1"/>
                <w:color w:val="55565A"/>
              </w:rPr>
              <w:t>   “Big 3” Segments Combined</w:t>
            </w: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55565A"/>
              </w:rPr>
              <w:t>289</w:t>
            </w:r>
          </w:p>
        </w:tc>
        <w:tc>
          <w:tcPr>
            <w:tcW w:w="800" w:type="dxa"/>
            <w:vAlign w:val="bottom"/>
          </w:tcPr>
          <w:p>
            <w:pPr>
              <w:jc w:val="right"/>
              <w:ind w:right="189"/>
              <w:spacing w:after="0"/>
              <w:rPr>
                <w:sz w:val="20"/>
                <w:szCs w:val="20"/>
                <w:color w:val="auto"/>
              </w:rPr>
            </w:pPr>
            <w:r>
              <w:rPr>
                <w:rFonts w:ascii="Arial" w:cs="Arial" w:eastAsia="Arial" w:hAnsi="Arial"/>
                <w:sz w:val="14"/>
                <w:szCs w:val="14"/>
                <w:color w:val="55565A"/>
              </w:rPr>
              <w:t>257</w:t>
            </w:r>
          </w:p>
        </w:tc>
        <w:tc>
          <w:tcPr>
            <w:tcW w:w="760" w:type="dxa"/>
            <w:vAlign w:val="bottom"/>
          </w:tcPr>
          <w:p>
            <w:pPr>
              <w:jc w:val="right"/>
              <w:ind w:right="49"/>
              <w:spacing w:after="0"/>
              <w:rPr>
                <w:sz w:val="20"/>
                <w:szCs w:val="20"/>
                <w:color w:val="auto"/>
              </w:rPr>
            </w:pPr>
            <w:r>
              <w:rPr>
                <w:rFonts w:ascii="Arial" w:cs="Arial" w:eastAsia="Arial" w:hAnsi="Arial"/>
                <w:sz w:val="14"/>
                <w:szCs w:val="14"/>
                <w:color w:val="55565A"/>
              </w:rPr>
              <w:t>13%</w:t>
            </w:r>
          </w:p>
        </w:tc>
        <w:tc>
          <w:tcPr>
            <w:tcW w:w="1200" w:type="dxa"/>
            <w:vAlign w:val="bottom"/>
          </w:tcPr>
          <w:p>
            <w:pPr>
              <w:jc w:val="right"/>
              <w:ind w:right="169"/>
              <w:spacing w:after="0"/>
              <w:rPr>
                <w:sz w:val="20"/>
                <w:szCs w:val="20"/>
                <w:color w:val="auto"/>
              </w:rPr>
            </w:pPr>
            <w:r>
              <w:rPr>
                <w:rFonts w:ascii="Arial" w:cs="Arial" w:eastAsia="Arial" w:hAnsi="Arial"/>
                <w:sz w:val="14"/>
                <w:szCs w:val="14"/>
                <w:color w:val="55565A"/>
              </w:rPr>
              <w:t>(1%)</w:t>
            </w:r>
          </w:p>
        </w:tc>
        <w:tc>
          <w:tcPr>
            <w:tcW w:w="1160" w:type="dxa"/>
            <w:vAlign w:val="bottom"/>
          </w:tcPr>
          <w:p>
            <w:pPr>
              <w:jc w:val="right"/>
              <w:ind w:right="269"/>
              <w:spacing w:after="0"/>
              <w:rPr>
                <w:sz w:val="20"/>
                <w:szCs w:val="20"/>
                <w:color w:val="auto"/>
              </w:rPr>
            </w:pPr>
            <w:r>
              <w:rPr>
                <w:rFonts w:ascii="Arial" w:cs="Arial" w:eastAsia="Arial" w:hAnsi="Arial"/>
                <w:sz w:val="14"/>
                <w:szCs w:val="14"/>
                <w:color w:val="55565A"/>
              </w:rPr>
              <w:t>13%</w:t>
            </w:r>
          </w:p>
        </w:tc>
        <w:tc>
          <w:tcPr>
            <w:tcW w:w="1280" w:type="dxa"/>
            <w:vAlign w:val="bottom"/>
          </w:tcPr>
          <w:p>
            <w:pPr>
              <w:jc w:val="right"/>
              <w:ind w:right="249"/>
              <w:spacing w:after="0"/>
              <w:rPr>
                <w:sz w:val="20"/>
                <w:szCs w:val="20"/>
                <w:color w:val="auto"/>
              </w:rPr>
            </w:pPr>
            <w:r>
              <w:rPr>
                <w:rFonts w:ascii="Arial" w:cs="Arial" w:eastAsia="Arial" w:hAnsi="Arial"/>
                <w:sz w:val="14"/>
                <w:szCs w:val="14"/>
                <w:color w:val="55565A"/>
              </w:rPr>
              <w:t>(1%)</w:t>
            </w:r>
          </w:p>
        </w:tc>
        <w:tc>
          <w:tcPr>
            <w:tcW w:w="980" w:type="dxa"/>
            <w:vAlign w:val="bottom"/>
          </w:tcPr>
          <w:p>
            <w:pPr>
              <w:jc w:val="right"/>
              <w:ind w:right="129"/>
              <w:spacing w:after="0"/>
              <w:rPr>
                <w:sz w:val="20"/>
                <w:szCs w:val="20"/>
                <w:color w:val="auto"/>
              </w:rPr>
            </w:pPr>
            <w:r>
              <w:rPr>
                <w:rFonts w:ascii="Arial" w:cs="Arial" w:eastAsia="Arial" w:hAnsi="Arial"/>
                <w:sz w:val="14"/>
                <w:szCs w:val="14"/>
                <w:color w:val="55565A"/>
              </w:rPr>
              <w:t>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Reuters News</w:t>
            </w:r>
          </w:p>
        </w:tc>
        <w:tc>
          <w:tcPr>
            <w:tcW w:w="14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46</w:t>
            </w:r>
          </w:p>
        </w:tc>
        <w:tc>
          <w:tcPr>
            <w:tcW w:w="8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20</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55565A"/>
              </w:rPr>
              <w:t>127%</w:t>
            </w:r>
          </w:p>
        </w:tc>
        <w:tc>
          <w:tcPr>
            <w:tcW w:w="12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55565A"/>
              </w:rPr>
              <w:t>1%</w:t>
            </w:r>
          </w:p>
        </w:tc>
        <w:tc>
          <w:tcPr>
            <w:tcW w:w="116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55565A"/>
              </w:rPr>
              <w:t>126%</w:t>
            </w:r>
          </w:p>
        </w:tc>
        <w:tc>
          <w:tcPr>
            <w:tcW w:w="12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5565A"/>
              </w:rPr>
              <w:t>16%</w:t>
            </w: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5565A"/>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88888B"/>
          </w:tcPr>
          <w:p>
            <w:pPr>
              <w:spacing w:after="0" w:line="20" w:lineRule="exact"/>
              <w:rPr>
                <w:sz w:val="1"/>
                <w:szCs w:val="1"/>
                <w:color w:val="auto"/>
              </w:rPr>
            </w:pPr>
          </w:p>
        </w:tc>
        <w:tc>
          <w:tcPr>
            <w:tcW w:w="680" w:type="dxa"/>
            <w:vAlign w:val="bottom"/>
            <w:shd w:val="clear" w:color="auto" w:fill="88888B"/>
          </w:tcPr>
          <w:p>
            <w:pPr>
              <w:spacing w:after="0" w:line="20" w:lineRule="exact"/>
              <w:rPr>
                <w:sz w:val="1"/>
                <w:szCs w:val="1"/>
                <w:color w:val="auto"/>
              </w:rPr>
            </w:pPr>
          </w:p>
        </w:tc>
        <w:tc>
          <w:tcPr>
            <w:tcW w:w="720" w:type="dxa"/>
            <w:vAlign w:val="bottom"/>
            <w:shd w:val="clear" w:color="auto" w:fill="88888B"/>
          </w:tcPr>
          <w:p>
            <w:pPr>
              <w:spacing w:after="0" w:line="20" w:lineRule="exact"/>
              <w:rPr>
                <w:sz w:val="1"/>
                <w:szCs w:val="1"/>
                <w:color w:val="auto"/>
              </w:rPr>
            </w:pPr>
          </w:p>
        </w:tc>
        <w:tc>
          <w:tcPr>
            <w:tcW w:w="200" w:type="dxa"/>
            <w:vAlign w:val="bottom"/>
            <w:shd w:val="clear" w:color="auto" w:fill="88888B"/>
          </w:tcPr>
          <w:p>
            <w:pPr>
              <w:spacing w:after="0" w:line="20" w:lineRule="exact"/>
              <w:rPr>
                <w:sz w:val="1"/>
                <w:szCs w:val="1"/>
                <w:color w:val="auto"/>
              </w:rPr>
            </w:pPr>
          </w:p>
        </w:tc>
        <w:tc>
          <w:tcPr>
            <w:tcW w:w="1600" w:type="dxa"/>
            <w:vAlign w:val="bottom"/>
            <w:shd w:val="clear" w:color="auto" w:fill="88888B"/>
          </w:tcPr>
          <w:p>
            <w:pPr>
              <w:spacing w:after="0" w:line="20" w:lineRule="exact"/>
              <w:rPr>
                <w:sz w:val="1"/>
                <w:szCs w:val="1"/>
                <w:color w:val="auto"/>
              </w:rPr>
            </w:pPr>
          </w:p>
        </w:tc>
        <w:tc>
          <w:tcPr>
            <w:tcW w:w="1440" w:type="dxa"/>
            <w:vAlign w:val="bottom"/>
            <w:shd w:val="clear" w:color="auto" w:fill="88888B"/>
          </w:tcPr>
          <w:p>
            <w:pPr>
              <w:spacing w:after="0" w:line="20" w:lineRule="exact"/>
              <w:rPr>
                <w:sz w:val="1"/>
                <w:szCs w:val="1"/>
                <w:color w:val="auto"/>
              </w:rPr>
            </w:pPr>
          </w:p>
        </w:tc>
        <w:tc>
          <w:tcPr>
            <w:tcW w:w="800" w:type="dxa"/>
            <w:vAlign w:val="bottom"/>
            <w:shd w:val="clear" w:color="auto" w:fill="88888B"/>
          </w:tcPr>
          <w:p>
            <w:pPr>
              <w:spacing w:after="0" w:line="20" w:lineRule="exact"/>
              <w:rPr>
                <w:sz w:val="1"/>
                <w:szCs w:val="1"/>
                <w:color w:val="auto"/>
              </w:rPr>
            </w:pPr>
          </w:p>
        </w:tc>
        <w:tc>
          <w:tcPr>
            <w:tcW w:w="760" w:type="dxa"/>
            <w:vAlign w:val="bottom"/>
            <w:shd w:val="clear" w:color="auto" w:fill="88888B"/>
          </w:tcPr>
          <w:p>
            <w:pPr>
              <w:spacing w:after="0" w:line="20" w:lineRule="exact"/>
              <w:rPr>
                <w:sz w:val="1"/>
                <w:szCs w:val="1"/>
                <w:color w:val="auto"/>
              </w:rPr>
            </w:pPr>
          </w:p>
        </w:tc>
        <w:tc>
          <w:tcPr>
            <w:tcW w:w="1200" w:type="dxa"/>
            <w:vAlign w:val="bottom"/>
            <w:shd w:val="clear" w:color="auto" w:fill="88888B"/>
          </w:tcPr>
          <w:p>
            <w:pPr>
              <w:spacing w:after="0" w:line="20" w:lineRule="exact"/>
              <w:rPr>
                <w:sz w:val="1"/>
                <w:szCs w:val="1"/>
                <w:color w:val="auto"/>
              </w:rPr>
            </w:pPr>
          </w:p>
        </w:tc>
        <w:tc>
          <w:tcPr>
            <w:tcW w:w="1160" w:type="dxa"/>
            <w:vAlign w:val="bottom"/>
            <w:shd w:val="clear" w:color="auto" w:fill="88888B"/>
          </w:tcPr>
          <w:p>
            <w:pPr>
              <w:spacing w:after="0" w:line="20" w:lineRule="exact"/>
              <w:rPr>
                <w:sz w:val="1"/>
                <w:szCs w:val="1"/>
                <w:color w:val="auto"/>
              </w:rPr>
            </w:pPr>
          </w:p>
        </w:tc>
        <w:tc>
          <w:tcPr>
            <w:tcW w:w="1280" w:type="dxa"/>
            <w:vAlign w:val="bottom"/>
            <w:shd w:val="clear" w:color="auto" w:fill="88888B"/>
          </w:tcPr>
          <w:p>
            <w:pPr>
              <w:spacing w:after="0" w:line="20" w:lineRule="exact"/>
              <w:rPr>
                <w:sz w:val="1"/>
                <w:szCs w:val="1"/>
                <w:color w:val="auto"/>
              </w:rPr>
            </w:pPr>
          </w:p>
        </w:tc>
        <w:tc>
          <w:tcPr>
            <w:tcW w:w="980" w:type="dxa"/>
            <w:vAlign w:val="bottom"/>
            <w:shd w:val="clear" w:color="auto" w:fill="8888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300" w:type="dxa"/>
            <w:vAlign w:val="bottom"/>
            <w:gridSpan w:val="6"/>
          </w:tcPr>
          <w:p>
            <w:pPr>
              <w:spacing w:after="0"/>
              <w:rPr>
                <w:sz w:val="20"/>
                <w:szCs w:val="20"/>
                <w:color w:val="auto"/>
              </w:rPr>
            </w:pPr>
            <w:r>
              <w:rPr>
                <w:rFonts w:ascii="Arial" w:cs="Arial" w:eastAsia="Arial" w:hAnsi="Arial"/>
                <w:sz w:val="14"/>
                <w:szCs w:val="14"/>
                <w:b w:val="1"/>
                <w:bCs w:val="1"/>
                <w:color w:val="55565A"/>
              </w:rPr>
              <w:t>   Total transactions revenues</w:t>
            </w:r>
          </w:p>
        </w:tc>
        <w:tc>
          <w:tcPr>
            <w:tcW w:w="1440" w:type="dxa"/>
            <w:vAlign w:val="bottom"/>
          </w:tcPr>
          <w:p>
            <w:pPr>
              <w:jc w:val="right"/>
              <w:ind w:right="109"/>
              <w:spacing w:after="0"/>
              <w:rPr>
                <w:sz w:val="20"/>
                <w:szCs w:val="20"/>
                <w:color w:val="auto"/>
              </w:rPr>
            </w:pPr>
            <w:r>
              <w:rPr>
                <w:rFonts w:ascii="Arial" w:cs="Arial" w:eastAsia="Arial" w:hAnsi="Arial"/>
                <w:sz w:val="14"/>
                <w:szCs w:val="14"/>
                <w:b w:val="1"/>
                <w:bCs w:val="1"/>
                <w:color w:val="55565A"/>
              </w:rPr>
              <w:t>335</w:t>
            </w:r>
          </w:p>
        </w:tc>
        <w:tc>
          <w:tcPr>
            <w:tcW w:w="800" w:type="dxa"/>
            <w:vAlign w:val="bottom"/>
          </w:tcPr>
          <w:p>
            <w:pPr>
              <w:jc w:val="right"/>
              <w:ind w:right="189"/>
              <w:spacing w:after="0"/>
              <w:rPr>
                <w:sz w:val="20"/>
                <w:szCs w:val="20"/>
                <w:color w:val="auto"/>
              </w:rPr>
            </w:pPr>
            <w:r>
              <w:rPr>
                <w:rFonts w:ascii="Arial" w:cs="Arial" w:eastAsia="Arial" w:hAnsi="Arial"/>
                <w:sz w:val="14"/>
                <w:szCs w:val="14"/>
                <w:color w:val="55565A"/>
              </w:rPr>
              <w:t>277</w:t>
            </w:r>
          </w:p>
        </w:tc>
        <w:tc>
          <w:tcPr>
            <w:tcW w:w="760" w:type="dxa"/>
            <w:vAlign w:val="bottom"/>
          </w:tcPr>
          <w:p>
            <w:pPr>
              <w:jc w:val="right"/>
              <w:ind w:right="49"/>
              <w:spacing w:after="0"/>
              <w:rPr>
                <w:sz w:val="20"/>
                <w:szCs w:val="20"/>
                <w:color w:val="auto"/>
              </w:rPr>
            </w:pPr>
            <w:r>
              <w:rPr>
                <w:rFonts w:ascii="Arial" w:cs="Arial" w:eastAsia="Arial" w:hAnsi="Arial"/>
                <w:sz w:val="14"/>
                <w:szCs w:val="14"/>
                <w:color w:val="55565A"/>
              </w:rPr>
              <w:t>21%</w:t>
            </w:r>
          </w:p>
        </w:tc>
        <w:tc>
          <w:tcPr>
            <w:tcW w:w="1200" w:type="dxa"/>
            <w:vAlign w:val="bottom"/>
          </w:tcPr>
          <w:p>
            <w:pPr>
              <w:jc w:val="right"/>
              <w:ind w:right="169"/>
              <w:spacing w:after="0"/>
              <w:rPr>
                <w:sz w:val="20"/>
                <w:szCs w:val="20"/>
                <w:color w:val="auto"/>
              </w:rPr>
            </w:pPr>
            <w:r>
              <w:rPr>
                <w:rFonts w:ascii="Arial" w:cs="Arial" w:eastAsia="Arial" w:hAnsi="Arial"/>
                <w:sz w:val="14"/>
                <w:szCs w:val="14"/>
                <w:color w:val="55565A"/>
              </w:rPr>
              <w:t>(1%)</w:t>
            </w:r>
          </w:p>
        </w:tc>
        <w:tc>
          <w:tcPr>
            <w:tcW w:w="1160" w:type="dxa"/>
            <w:vAlign w:val="bottom"/>
          </w:tcPr>
          <w:p>
            <w:pPr>
              <w:jc w:val="right"/>
              <w:ind w:right="269"/>
              <w:spacing w:after="0"/>
              <w:rPr>
                <w:sz w:val="20"/>
                <w:szCs w:val="20"/>
                <w:color w:val="auto"/>
              </w:rPr>
            </w:pPr>
            <w:r>
              <w:rPr>
                <w:rFonts w:ascii="Arial" w:cs="Arial" w:eastAsia="Arial" w:hAnsi="Arial"/>
                <w:sz w:val="14"/>
                <w:szCs w:val="14"/>
                <w:color w:val="55565A"/>
              </w:rPr>
              <w:t>22%</w:t>
            </w:r>
          </w:p>
        </w:tc>
        <w:tc>
          <w:tcPr>
            <w:tcW w:w="1280" w:type="dxa"/>
            <w:vAlign w:val="bottom"/>
          </w:tcPr>
          <w:p>
            <w:pPr>
              <w:jc w:val="right"/>
              <w:ind w:right="249"/>
              <w:spacing w:after="0"/>
              <w:rPr>
                <w:sz w:val="20"/>
                <w:szCs w:val="20"/>
                <w:color w:val="auto"/>
              </w:rPr>
            </w:pPr>
            <w:r>
              <w:rPr>
                <w:rFonts w:ascii="Arial" w:cs="Arial" w:eastAsia="Arial" w:hAnsi="Arial"/>
                <w:sz w:val="14"/>
                <w:szCs w:val="14"/>
                <w:color w:val="55565A"/>
              </w:rPr>
              <w:t>–</w:t>
            </w:r>
          </w:p>
        </w:tc>
        <w:tc>
          <w:tcPr>
            <w:tcW w:w="980" w:type="dxa"/>
            <w:vAlign w:val="bottom"/>
          </w:tcPr>
          <w:p>
            <w:pPr>
              <w:jc w:val="right"/>
              <w:ind w:right="129"/>
              <w:spacing w:after="0"/>
              <w:rPr>
                <w:sz w:val="20"/>
                <w:szCs w:val="20"/>
                <w:color w:val="auto"/>
              </w:rPr>
            </w:pPr>
            <w:r>
              <w:rPr>
                <w:rFonts w:ascii="Arial" w:cs="Arial" w:eastAsia="Arial" w:hAnsi="Arial"/>
                <w:sz w:val="14"/>
                <w:szCs w:val="14"/>
                <w:color w:val="55565A"/>
              </w:rPr>
              <w:t>22%</w:t>
            </w:r>
          </w:p>
        </w:tc>
        <w:tc>
          <w:tcPr>
            <w:tcW w:w="0" w:type="dxa"/>
            <w:vAlign w:val="bottom"/>
          </w:tcPr>
          <w:p>
            <w:pPr>
              <w:spacing w:after="0"/>
              <w:rPr>
                <w:sz w:val="1"/>
                <w:szCs w:val="1"/>
                <w:color w:val="auto"/>
              </w:rPr>
            </w:pPr>
          </w:p>
        </w:tc>
      </w:tr>
      <w:tr>
        <w:trPr>
          <w:trHeight w:val="42"/>
        </w:trPr>
        <w:tc>
          <w:tcPr>
            <w:tcW w:w="100" w:type="dxa"/>
            <w:vAlign w:val="bottom"/>
            <w:tcBorders>
              <w:bottom w:val="single" w:sz="8" w:color="88888B"/>
            </w:tcBorders>
            <w:gridSpan w:val="2"/>
          </w:tcPr>
          <w:p>
            <w:pPr>
              <w:spacing w:after="0"/>
              <w:rPr>
                <w:sz w:val="3"/>
                <w:szCs w:val="3"/>
                <w:color w:val="auto"/>
              </w:rPr>
            </w:pPr>
          </w:p>
        </w:tc>
        <w:tc>
          <w:tcPr>
            <w:tcW w:w="680" w:type="dxa"/>
            <w:vAlign w:val="bottom"/>
            <w:tcBorders>
              <w:bottom w:val="single" w:sz="8" w:color="88888B"/>
            </w:tcBorders>
          </w:tcPr>
          <w:p>
            <w:pPr>
              <w:spacing w:after="0"/>
              <w:rPr>
                <w:sz w:val="3"/>
                <w:szCs w:val="3"/>
                <w:color w:val="auto"/>
              </w:rPr>
            </w:pPr>
          </w:p>
        </w:tc>
        <w:tc>
          <w:tcPr>
            <w:tcW w:w="720" w:type="dxa"/>
            <w:vAlign w:val="bottom"/>
            <w:tcBorders>
              <w:bottom w:val="single" w:sz="8" w:color="88888B"/>
            </w:tcBorders>
          </w:tcPr>
          <w:p>
            <w:pPr>
              <w:spacing w:after="0"/>
              <w:rPr>
                <w:sz w:val="3"/>
                <w:szCs w:val="3"/>
                <w:color w:val="auto"/>
              </w:rPr>
            </w:pPr>
          </w:p>
        </w:tc>
        <w:tc>
          <w:tcPr>
            <w:tcW w:w="200" w:type="dxa"/>
            <w:vAlign w:val="bottom"/>
            <w:tcBorders>
              <w:bottom w:val="single" w:sz="8" w:color="88888B"/>
            </w:tcBorders>
          </w:tcPr>
          <w:p>
            <w:pPr>
              <w:spacing w:after="0"/>
              <w:rPr>
                <w:sz w:val="3"/>
                <w:szCs w:val="3"/>
                <w:color w:val="auto"/>
              </w:rPr>
            </w:pPr>
          </w:p>
        </w:tc>
        <w:tc>
          <w:tcPr>
            <w:tcW w:w="8240" w:type="dxa"/>
            <w:vAlign w:val="bottom"/>
            <w:tcBorders>
              <w:bottom w:val="single" w:sz="8" w:color="88888B"/>
            </w:tcBorders>
            <w:gridSpan w:val="7"/>
          </w:tcPr>
          <w:p>
            <w:pPr>
              <w:spacing w:after="0"/>
              <w:rPr>
                <w:sz w:val="3"/>
                <w:szCs w:val="3"/>
                <w:color w:val="auto"/>
              </w:rPr>
            </w:pPr>
          </w:p>
        </w:tc>
        <w:tc>
          <w:tcPr>
            <w:tcW w:w="980" w:type="dxa"/>
            <w:vAlign w:val="bottom"/>
            <w:tcBorders>
              <w:bottom w:val="single" w:sz="8" w:color="88888B"/>
            </w:tcBorders>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9940" w:type="dxa"/>
            <w:vAlign w:val="bottom"/>
            <w:gridSpan w:val="12"/>
          </w:tcPr>
          <w:p>
            <w:pPr>
              <w:spacing w:after="0"/>
              <w:rPr>
                <w:sz w:val="20"/>
                <w:szCs w:val="20"/>
                <w:color w:val="auto"/>
              </w:rPr>
            </w:pPr>
            <w:r>
              <w:rPr>
                <w:rFonts w:ascii="Arial" w:cs="Arial" w:eastAsia="Arial" w:hAnsi="Arial"/>
                <w:sz w:val="14"/>
                <w:szCs w:val="14"/>
                <w:color w:val="55565A"/>
              </w:rPr>
              <w:t>The three months ended March 31, 2023 reflects a revision of $3 million between recurring and transactions revenues within the Corporates segment.</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Borders>
              <w:bottom w:val="single" w:sz="8" w:color="88888B"/>
            </w:tcBorders>
          </w:tcPr>
          <w:p>
            <w:pPr>
              <w:spacing w:after="0"/>
              <w:rPr>
                <w:sz w:val="19"/>
                <w:szCs w:val="19"/>
                <w:color w:val="auto"/>
              </w:rPr>
            </w:pPr>
          </w:p>
        </w:tc>
        <w:tc>
          <w:tcPr>
            <w:tcW w:w="680" w:type="dxa"/>
            <w:vAlign w:val="bottom"/>
            <w:tcBorders>
              <w:bottom w:val="single" w:sz="8" w:color="88888B"/>
            </w:tcBorders>
          </w:tcPr>
          <w:p>
            <w:pPr>
              <w:spacing w:after="0"/>
              <w:rPr>
                <w:sz w:val="19"/>
                <w:szCs w:val="19"/>
                <w:color w:val="auto"/>
              </w:rPr>
            </w:pPr>
          </w:p>
        </w:tc>
        <w:tc>
          <w:tcPr>
            <w:tcW w:w="720" w:type="dxa"/>
            <w:vAlign w:val="bottom"/>
            <w:tcBorders>
              <w:bottom w:val="single" w:sz="8" w:color="88888B"/>
            </w:tcBorders>
          </w:tcPr>
          <w:p>
            <w:pPr>
              <w:spacing w:after="0"/>
              <w:rPr>
                <w:sz w:val="19"/>
                <w:szCs w:val="19"/>
                <w:color w:val="auto"/>
              </w:rPr>
            </w:pPr>
          </w:p>
        </w:tc>
        <w:tc>
          <w:tcPr>
            <w:tcW w:w="200" w:type="dxa"/>
            <w:vAlign w:val="bottom"/>
            <w:tcBorders>
              <w:bottom w:val="single" w:sz="8" w:color="88888B"/>
            </w:tcBorders>
          </w:tcPr>
          <w:p>
            <w:pPr>
              <w:spacing w:after="0"/>
              <w:rPr>
                <w:sz w:val="19"/>
                <w:szCs w:val="19"/>
                <w:color w:val="auto"/>
              </w:rPr>
            </w:pPr>
          </w:p>
        </w:tc>
        <w:tc>
          <w:tcPr>
            <w:tcW w:w="1600" w:type="dxa"/>
            <w:vAlign w:val="bottom"/>
            <w:tcBorders>
              <w:bottom w:val="single" w:sz="8" w:color="88888B"/>
            </w:tcBorders>
          </w:tcPr>
          <w:p>
            <w:pPr>
              <w:spacing w:after="0"/>
              <w:rPr>
                <w:sz w:val="19"/>
                <w:szCs w:val="19"/>
                <w:color w:val="auto"/>
              </w:rPr>
            </w:pPr>
          </w:p>
        </w:tc>
        <w:tc>
          <w:tcPr>
            <w:tcW w:w="1440" w:type="dxa"/>
            <w:vAlign w:val="bottom"/>
            <w:tcBorders>
              <w:bottom w:val="single" w:sz="8" w:color="88888B"/>
            </w:tcBorders>
          </w:tcPr>
          <w:p>
            <w:pPr>
              <w:spacing w:after="0"/>
              <w:rPr>
                <w:sz w:val="19"/>
                <w:szCs w:val="19"/>
                <w:color w:val="auto"/>
              </w:rPr>
            </w:pPr>
          </w:p>
        </w:tc>
        <w:tc>
          <w:tcPr>
            <w:tcW w:w="800" w:type="dxa"/>
            <w:vAlign w:val="bottom"/>
            <w:tcBorders>
              <w:bottom w:val="single" w:sz="8" w:color="88888B"/>
            </w:tcBorders>
          </w:tcPr>
          <w:p>
            <w:pPr>
              <w:spacing w:after="0"/>
              <w:rPr>
                <w:sz w:val="19"/>
                <w:szCs w:val="19"/>
                <w:color w:val="auto"/>
              </w:rPr>
            </w:pPr>
          </w:p>
        </w:tc>
        <w:tc>
          <w:tcPr>
            <w:tcW w:w="760" w:type="dxa"/>
            <w:vAlign w:val="bottom"/>
            <w:tcBorders>
              <w:bottom w:val="single" w:sz="8" w:color="88888B"/>
            </w:tcBorders>
          </w:tcPr>
          <w:p>
            <w:pPr>
              <w:spacing w:after="0"/>
              <w:rPr>
                <w:sz w:val="19"/>
                <w:szCs w:val="19"/>
                <w:color w:val="auto"/>
              </w:rPr>
            </w:pPr>
          </w:p>
        </w:tc>
        <w:tc>
          <w:tcPr>
            <w:tcW w:w="2360" w:type="dxa"/>
            <w:vAlign w:val="bottom"/>
            <w:tcBorders>
              <w:bottom w:val="single" w:sz="8" w:color="88888B"/>
            </w:tcBorders>
            <w:gridSpan w:val="2"/>
          </w:tcPr>
          <w:p>
            <w:pPr>
              <w:spacing w:after="0"/>
              <w:rPr>
                <w:sz w:val="19"/>
                <w:szCs w:val="19"/>
                <w:color w:val="auto"/>
              </w:rPr>
            </w:pPr>
          </w:p>
        </w:tc>
        <w:tc>
          <w:tcPr>
            <w:tcW w:w="1280" w:type="dxa"/>
            <w:vAlign w:val="bottom"/>
            <w:tcBorders>
              <w:bottom w:val="single" w:sz="8" w:color="88888B"/>
            </w:tcBorders>
          </w:tcPr>
          <w:p>
            <w:pPr>
              <w:spacing w:after="0"/>
              <w:rPr>
                <w:sz w:val="19"/>
                <w:szCs w:val="19"/>
                <w:color w:val="auto"/>
              </w:rPr>
            </w:pPr>
          </w:p>
        </w:tc>
        <w:tc>
          <w:tcPr>
            <w:tcW w:w="980" w:type="dxa"/>
            <w:vAlign w:val="bottom"/>
            <w:tcBorders>
              <w:bottom w:val="single" w:sz="8" w:color="88888B"/>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60" w:type="dxa"/>
            <w:vAlign w:val="bottom"/>
            <w:gridSpan w:val="2"/>
          </w:tcPr>
          <w:p>
            <w:pPr>
              <w:jc w:val="right"/>
              <w:ind w:right="309"/>
              <w:spacing w:after="0"/>
              <w:rPr>
                <w:sz w:val="20"/>
                <w:szCs w:val="20"/>
                <w:color w:val="auto"/>
              </w:rPr>
            </w:pPr>
            <w:r>
              <w:rPr>
                <w:rFonts w:ascii="Arial" w:cs="Arial" w:eastAsia="Arial" w:hAnsi="Arial"/>
                <w:sz w:val="14"/>
                <w:szCs w:val="14"/>
                <w:b w:val="1"/>
                <w:bCs w:val="1"/>
                <w:color w:val="55565A"/>
              </w:rPr>
              <w:t>Year ended December 31,</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color w:val="55565A"/>
              </w:rPr>
              <w:t>Change</w:t>
            </w: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Subtotal</w:t>
            </w: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Foreign</w:t>
            </w:r>
          </w:p>
        </w:tc>
        <w:tc>
          <w:tcPr>
            <w:tcW w:w="1160" w:type="dxa"/>
            <w:vAlign w:val="bottom"/>
          </w:tcPr>
          <w:p>
            <w:pPr>
              <w:jc w:val="center"/>
              <w:spacing w:after="0"/>
              <w:rPr>
                <w:sz w:val="20"/>
                <w:szCs w:val="20"/>
                <w:color w:val="auto"/>
              </w:rPr>
            </w:pPr>
            <w:r>
              <w:rPr>
                <w:rFonts w:ascii="Arial" w:cs="Arial" w:eastAsia="Arial" w:hAnsi="Arial"/>
                <w:sz w:val="14"/>
                <w:szCs w:val="14"/>
                <w:color w:val="55565A"/>
              </w:rPr>
              <w:t>Constant</w:t>
            </w:r>
          </w:p>
        </w:tc>
        <w:tc>
          <w:tcPr>
            <w:tcW w:w="1280" w:type="dxa"/>
            <w:vAlign w:val="bottom"/>
          </w:tcPr>
          <w:p>
            <w:pPr>
              <w:jc w:val="right"/>
              <w:ind w:right="189"/>
              <w:spacing w:after="0"/>
              <w:rPr>
                <w:sz w:val="20"/>
                <w:szCs w:val="20"/>
                <w:color w:val="auto"/>
              </w:rPr>
            </w:pPr>
            <w:r>
              <w:rPr>
                <w:rFonts w:ascii="Arial" w:cs="Arial" w:eastAsia="Arial" w:hAnsi="Arial"/>
                <w:sz w:val="14"/>
                <w:szCs w:val="14"/>
                <w:color w:val="55565A"/>
              </w:rPr>
              <w:t>Acquisitions/</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00" w:type="dxa"/>
            <w:vAlign w:val="bottom"/>
            <w:gridSpan w:val="6"/>
          </w:tcPr>
          <w:p>
            <w:pPr>
              <w:spacing w:after="0"/>
              <w:rPr>
                <w:sz w:val="20"/>
                <w:szCs w:val="20"/>
                <w:color w:val="auto"/>
              </w:rPr>
            </w:pPr>
            <w:r>
              <w:rPr>
                <w:rFonts w:ascii="Arial" w:cs="Arial" w:eastAsia="Arial" w:hAnsi="Arial"/>
                <w:sz w:val="14"/>
                <w:szCs w:val="14"/>
                <w:b w:val="1"/>
                <w:bCs w:val="1"/>
                <w:color w:val="55565A"/>
              </w:rPr>
              <w:t>(millions of U.S. dollars)</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2023</w:t>
            </w:r>
          </w:p>
        </w:tc>
        <w:tc>
          <w:tcPr>
            <w:tcW w:w="800" w:type="dxa"/>
            <w:vAlign w:val="bottom"/>
          </w:tcPr>
          <w:p>
            <w:pPr>
              <w:jc w:val="right"/>
              <w:ind w:right="209"/>
              <w:spacing w:after="0"/>
              <w:rPr>
                <w:sz w:val="20"/>
                <w:szCs w:val="20"/>
                <w:color w:val="auto"/>
              </w:rPr>
            </w:pPr>
            <w:r>
              <w:rPr>
                <w:rFonts w:ascii="Arial" w:cs="Arial" w:eastAsia="Arial" w:hAnsi="Arial"/>
                <w:sz w:val="14"/>
                <w:szCs w:val="14"/>
                <w:color w:val="55565A"/>
              </w:rPr>
              <w:t>2022</w:t>
            </w:r>
          </w:p>
        </w:tc>
        <w:tc>
          <w:tcPr>
            <w:tcW w:w="760" w:type="dxa"/>
            <w:vAlign w:val="bottom"/>
          </w:tcPr>
          <w:p>
            <w:pPr>
              <w:jc w:val="right"/>
              <w:ind w:right="89"/>
              <w:spacing w:after="0"/>
              <w:rPr>
                <w:sz w:val="20"/>
                <w:szCs w:val="20"/>
                <w:color w:val="auto"/>
              </w:rPr>
            </w:pPr>
            <w:r>
              <w:rPr>
                <w:rFonts w:ascii="Arial" w:cs="Arial" w:eastAsia="Arial" w:hAnsi="Arial"/>
                <w:sz w:val="14"/>
                <w:szCs w:val="14"/>
                <w:color w:val="55565A"/>
              </w:rPr>
              <w:t>Total</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Currency</w:t>
            </w:r>
          </w:p>
        </w:tc>
        <w:tc>
          <w:tcPr>
            <w:tcW w:w="1160" w:type="dxa"/>
            <w:vAlign w:val="bottom"/>
          </w:tcPr>
          <w:p>
            <w:pPr>
              <w:jc w:val="center"/>
              <w:spacing w:after="0"/>
              <w:rPr>
                <w:sz w:val="20"/>
                <w:szCs w:val="20"/>
                <w:color w:val="auto"/>
              </w:rPr>
            </w:pPr>
            <w:r>
              <w:rPr>
                <w:rFonts w:ascii="Arial" w:cs="Arial" w:eastAsia="Arial" w:hAnsi="Arial"/>
                <w:sz w:val="14"/>
                <w:szCs w:val="14"/>
                <w:color w:val="55565A"/>
              </w:rPr>
              <w:t>Currency</w:t>
            </w:r>
          </w:p>
        </w:tc>
        <w:tc>
          <w:tcPr>
            <w:tcW w:w="1280" w:type="dxa"/>
            <w:vAlign w:val="bottom"/>
          </w:tcPr>
          <w:p>
            <w:pPr>
              <w:jc w:val="right"/>
              <w:ind w:right="189"/>
              <w:spacing w:after="0"/>
              <w:rPr>
                <w:sz w:val="20"/>
                <w:szCs w:val="20"/>
                <w:color w:val="auto"/>
              </w:rPr>
            </w:pPr>
            <w:r>
              <w:rPr>
                <w:rFonts w:ascii="Arial" w:cs="Arial" w:eastAsia="Arial" w:hAnsi="Arial"/>
                <w:sz w:val="14"/>
                <w:szCs w:val="14"/>
                <w:color w:val="55565A"/>
              </w:rPr>
              <w:t>Divestitures</w:t>
            </w:r>
          </w:p>
        </w:tc>
        <w:tc>
          <w:tcPr>
            <w:tcW w:w="980" w:type="dxa"/>
            <w:vAlign w:val="bottom"/>
          </w:tcPr>
          <w:p>
            <w:pPr>
              <w:jc w:val="right"/>
              <w:ind w:right="149"/>
              <w:spacing w:after="0"/>
              <w:rPr>
                <w:sz w:val="20"/>
                <w:szCs w:val="20"/>
                <w:color w:val="auto"/>
              </w:rPr>
            </w:pPr>
            <w:r>
              <w:rPr>
                <w:rFonts w:ascii="Arial" w:cs="Arial" w:eastAsia="Arial" w:hAnsi="Arial"/>
                <w:sz w:val="14"/>
                <w:szCs w:val="14"/>
                <w:color w:val="55565A"/>
              </w:rPr>
              <w:t>Organic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Borders>
              <w:bottom w:val="single" w:sz="8" w:color="88888B"/>
            </w:tcBorders>
          </w:tcPr>
          <w:p>
            <w:pPr>
              <w:spacing w:after="0"/>
              <w:rPr>
                <w:sz w:val="8"/>
                <w:szCs w:val="8"/>
                <w:color w:val="auto"/>
              </w:rPr>
            </w:pPr>
          </w:p>
        </w:tc>
        <w:tc>
          <w:tcPr>
            <w:tcW w:w="680" w:type="dxa"/>
            <w:vAlign w:val="bottom"/>
            <w:tcBorders>
              <w:bottom w:val="single" w:sz="8" w:color="88888B"/>
            </w:tcBorders>
          </w:tcPr>
          <w:p>
            <w:pPr>
              <w:spacing w:after="0"/>
              <w:rPr>
                <w:sz w:val="8"/>
                <w:szCs w:val="8"/>
                <w:color w:val="auto"/>
              </w:rPr>
            </w:pPr>
          </w:p>
        </w:tc>
        <w:tc>
          <w:tcPr>
            <w:tcW w:w="720" w:type="dxa"/>
            <w:vAlign w:val="bottom"/>
            <w:tcBorders>
              <w:bottom w:val="single" w:sz="8" w:color="88888B"/>
            </w:tcBorders>
          </w:tcPr>
          <w:p>
            <w:pPr>
              <w:spacing w:after="0"/>
              <w:rPr>
                <w:sz w:val="8"/>
                <w:szCs w:val="8"/>
                <w:color w:val="auto"/>
              </w:rPr>
            </w:pPr>
          </w:p>
        </w:tc>
        <w:tc>
          <w:tcPr>
            <w:tcW w:w="200" w:type="dxa"/>
            <w:vAlign w:val="bottom"/>
            <w:tcBorders>
              <w:bottom w:val="single" w:sz="8" w:color="88888B"/>
            </w:tcBorders>
          </w:tcPr>
          <w:p>
            <w:pPr>
              <w:spacing w:after="0"/>
              <w:rPr>
                <w:sz w:val="8"/>
                <w:szCs w:val="8"/>
                <w:color w:val="auto"/>
              </w:rPr>
            </w:pPr>
          </w:p>
        </w:tc>
        <w:tc>
          <w:tcPr>
            <w:tcW w:w="1600" w:type="dxa"/>
            <w:vAlign w:val="bottom"/>
            <w:tcBorders>
              <w:bottom w:val="single" w:sz="8" w:color="88888B"/>
            </w:tcBorders>
          </w:tcPr>
          <w:p>
            <w:pPr>
              <w:spacing w:after="0"/>
              <w:rPr>
                <w:sz w:val="8"/>
                <w:szCs w:val="8"/>
                <w:color w:val="auto"/>
              </w:rPr>
            </w:pPr>
          </w:p>
        </w:tc>
        <w:tc>
          <w:tcPr>
            <w:tcW w:w="1440" w:type="dxa"/>
            <w:vAlign w:val="bottom"/>
            <w:tcBorders>
              <w:bottom w:val="single" w:sz="8" w:color="88888B"/>
            </w:tcBorders>
          </w:tcPr>
          <w:p>
            <w:pPr>
              <w:spacing w:after="0"/>
              <w:rPr>
                <w:sz w:val="8"/>
                <w:szCs w:val="8"/>
                <w:color w:val="auto"/>
              </w:rPr>
            </w:pPr>
          </w:p>
        </w:tc>
        <w:tc>
          <w:tcPr>
            <w:tcW w:w="800" w:type="dxa"/>
            <w:vAlign w:val="bottom"/>
            <w:tcBorders>
              <w:bottom w:val="single" w:sz="8" w:color="88888B"/>
            </w:tcBorders>
          </w:tcPr>
          <w:p>
            <w:pPr>
              <w:spacing w:after="0"/>
              <w:rPr>
                <w:sz w:val="8"/>
                <w:szCs w:val="8"/>
                <w:color w:val="auto"/>
              </w:rPr>
            </w:pPr>
          </w:p>
        </w:tc>
        <w:tc>
          <w:tcPr>
            <w:tcW w:w="760" w:type="dxa"/>
            <w:vAlign w:val="bottom"/>
            <w:tcBorders>
              <w:bottom w:val="single" w:sz="8" w:color="88888B"/>
            </w:tcBorders>
          </w:tcPr>
          <w:p>
            <w:pPr>
              <w:spacing w:after="0"/>
              <w:rPr>
                <w:sz w:val="8"/>
                <w:szCs w:val="8"/>
                <w:color w:val="auto"/>
              </w:rPr>
            </w:pPr>
          </w:p>
        </w:tc>
        <w:tc>
          <w:tcPr>
            <w:tcW w:w="1200" w:type="dxa"/>
            <w:vAlign w:val="bottom"/>
            <w:tcBorders>
              <w:bottom w:val="single" w:sz="8" w:color="88888B"/>
            </w:tcBorders>
          </w:tcPr>
          <w:p>
            <w:pPr>
              <w:spacing w:after="0"/>
              <w:rPr>
                <w:sz w:val="8"/>
                <w:szCs w:val="8"/>
                <w:color w:val="auto"/>
              </w:rPr>
            </w:pPr>
          </w:p>
        </w:tc>
        <w:tc>
          <w:tcPr>
            <w:tcW w:w="1160" w:type="dxa"/>
            <w:vAlign w:val="bottom"/>
            <w:tcBorders>
              <w:bottom w:val="single" w:sz="8" w:color="88888B"/>
            </w:tcBorders>
          </w:tcPr>
          <w:p>
            <w:pPr>
              <w:spacing w:after="0"/>
              <w:rPr>
                <w:sz w:val="8"/>
                <w:szCs w:val="8"/>
                <w:color w:val="auto"/>
              </w:rPr>
            </w:pPr>
          </w:p>
        </w:tc>
        <w:tc>
          <w:tcPr>
            <w:tcW w:w="1280" w:type="dxa"/>
            <w:vAlign w:val="bottom"/>
            <w:tcBorders>
              <w:bottom w:val="single" w:sz="8" w:color="88888B"/>
            </w:tcBorders>
          </w:tcPr>
          <w:p>
            <w:pPr>
              <w:spacing w:after="0"/>
              <w:rPr>
                <w:sz w:val="8"/>
                <w:szCs w:val="8"/>
                <w:color w:val="auto"/>
              </w:rPr>
            </w:pPr>
          </w:p>
        </w:tc>
        <w:tc>
          <w:tcPr>
            <w:tcW w:w="980" w:type="dxa"/>
            <w:vAlign w:val="bottom"/>
            <w:tcBorders>
              <w:bottom w:val="single" w:sz="8" w:color="88888B"/>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3280" w:type="dxa"/>
            <w:vAlign w:val="bottom"/>
            <w:gridSpan w:val="5"/>
            <w:shd w:val="clear" w:color="auto" w:fill="CCEEFF"/>
          </w:tcPr>
          <w:p>
            <w:pPr>
              <w:spacing w:after="0" w:line="147" w:lineRule="exact"/>
              <w:rPr>
                <w:sz w:val="20"/>
                <w:szCs w:val="20"/>
                <w:color w:val="auto"/>
              </w:rPr>
            </w:pPr>
            <w:r>
              <w:rPr>
                <w:rFonts w:ascii="Arial" w:cs="Arial" w:eastAsia="Arial" w:hAnsi="Arial"/>
                <w:sz w:val="14"/>
                <w:szCs w:val="14"/>
                <w:b w:val="1"/>
                <w:bCs w:val="1"/>
                <w:color w:val="55565A"/>
              </w:rPr>
              <w:t>   Revenues</w:t>
            </w:r>
          </w:p>
        </w:tc>
        <w:tc>
          <w:tcPr>
            <w:tcW w:w="1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55565A"/>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gridSpan w:val="4"/>
          </w:tcPr>
          <w:p>
            <w:pPr>
              <w:ind w:left="60"/>
              <w:spacing w:after="0"/>
              <w:rPr>
                <w:sz w:val="20"/>
                <w:szCs w:val="20"/>
                <w:color w:val="auto"/>
              </w:rPr>
            </w:pPr>
            <w:r>
              <w:rPr>
                <w:rFonts w:ascii="Arial" w:cs="Arial" w:eastAsia="Arial" w:hAnsi="Arial"/>
                <w:sz w:val="14"/>
                <w:szCs w:val="14"/>
                <w:b w:val="1"/>
                <w:bCs w:val="1"/>
                <w:color w:val="55565A"/>
              </w:rPr>
              <w:t>   Legal Professionals</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2,807</w:t>
            </w:r>
          </w:p>
        </w:tc>
        <w:tc>
          <w:tcPr>
            <w:tcW w:w="800" w:type="dxa"/>
            <w:vAlign w:val="bottom"/>
          </w:tcPr>
          <w:p>
            <w:pPr>
              <w:jc w:val="right"/>
              <w:ind w:right="209"/>
              <w:spacing w:after="0"/>
              <w:rPr>
                <w:sz w:val="20"/>
                <w:szCs w:val="20"/>
                <w:color w:val="auto"/>
              </w:rPr>
            </w:pPr>
            <w:r>
              <w:rPr>
                <w:rFonts w:ascii="Arial" w:cs="Arial" w:eastAsia="Arial" w:hAnsi="Arial"/>
                <w:sz w:val="14"/>
                <w:szCs w:val="14"/>
                <w:color w:val="55565A"/>
              </w:rPr>
              <w:t>2,803</w:t>
            </w:r>
          </w:p>
        </w:tc>
        <w:tc>
          <w:tcPr>
            <w:tcW w:w="760" w:type="dxa"/>
            <w:vAlign w:val="bottom"/>
          </w:tcPr>
          <w:p>
            <w:pPr>
              <w:jc w:val="right"/>
              <w:ind w:right="89"/>
              <w:spacing w:after="0"/>
              <w:rPr>
                <w:sz w:val="20"/>
                <w:szCs w:val="20"/>
                <w:color w:val="auto"/>
              </w:rPr>
            </w:pPr>
            <w:r>
              <w:rPr>
                <w:rFonts w:ascii="Arial" w:cs="Arial" w:eastAsia="Arial" w:hAnsi="Arial"/>
                <w:sz w:val="14"/>
                <w:szCs w:val="14"/>
                <w:color w:val="55565A"/>
              </w:rPr>
              <w:t>–</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w:t>
            </w:r>
          </w:p>
        </w:tc>
        <w:tc>
          <w:tcPr>
            <w:tcW w:w="1280" w:type="dxa"/>
            <w:vAlign w:val="bottom"/>
          </w:tcPr>
          <w:p>
            <w:pPr>
              <w:jc w:val="right"/>
              <w:ind w:right="189"/>
              <w:spacing w:after="0"/>
              <w:rPr>
                <w:sz w:val="20"/>
                <w:szCs w:val="20"/>
                <w:color w:val="auto"/>
              </w:rPr>
            </w:pPr>
            <w:r>
              <w:rPr>
                <w:rFonts w:ascii="Arial" w:cs="Arial" w:eastAsia="Arial" w:hAnsi="Arial"/>
                <w:sz w:val="14"/>
                <w:szCs w:val="14"/>
                <w:color w:val="55565A"/>
              </w:rPr>
              <w:t>(6%)</w:t>
            </w:r>
          </w:p>
        </w:tc>
        <w:tc>
          <w:tcPr>
            <w:tcW w:w="980" w:type="dxa"/>
            <w:vAlign w:val="bottom"/>
          </w:tcPr>
          <w:p>
            <w:pPr>
              <w:jc w:val="right"/>
              <w:ind w:right="149"/>
              <w:spacing w:after="0"/>
              <w:rPr>
                <w:sz w:val="20"/>
                <w:szCs w:val="20"/>
                <w:color w:val="auto"/>
              </w:rPr>
            </w:pPr>
            <w:r>
              <w:rPr>
                <w:rFonts w:ascii="Arial" w:cs="Arial" w:eastAsia="Arial" w:hAnsi="Arial"/>
                <w:sz w:val="14"/>
                <w:szCs w:val="14"/>
                <w:color w:val="55565A"/>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Corporates</w:t>
            </w:r>
          </w:p>
        </w:tc>
        <w:tc>
          <w:tcPr>
            <w:tcW w:w="14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1,620</w:t>
            </w:r>
          </w:p>
        </w:tc>
        <w:tc>
          <w:tcPr>
            <w:tcW w:w="8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55565A"/>
              </w:rPr>
              <w:t>1,536</w:t>
            </w:r>
          </w:p>
        </w:tc>
        <w:tc>
          <w:tcPr>
            <w:tcW w:w="7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55565A"/>
              </w:rPr>
              <w:t>5%</w:t>
            </w:r>
          </w:p>
        </w:tc>
        <w:tc>
          <w:tcPr>
            <w:tcW w:w="12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16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55565A"/>
              </w:rPr>
              <w:t>5%</w:t>
            </w:r>
          </w:p>
        </w:tc>
        <w:tc>
          <w:tcPr>
            <w:tcW w:w="128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(2%)</w:t>
            </w:r>
          </w:p>
        </w:tc>
        <w:tc>
          <w:tcPr>
            <w:tcW w:w="9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5565A"/>
              </w:rPr>
              <w:t>7%</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gridSpan w:val="4"/>
          </w:tcPr>
          <w:p>
            <w:pPr>
              <w:ind w:left="60"/>
              <w:spacing w:after="0"/>
              <w:rPr>
                <w:sz w:val="20"/>
                <w:szCs w:val="20"/>
                <w:color w:val="auto"/>
              </w:rPr>
            </w:pPr>
            <w:r>
              <w:rPr>
                <w:rFonts w:ascii="Arial" w:cs="Arial" w:eastAsia="Arial" w:hAnsi="Arial"/>
                <w:sz w:val="14"/>
                <w:szCs w:val="14"/>
                <w:b w:val="1"/>
                <w:bCs w:val="1"/>
                <w:color w:val="55565A"/>
              </w:rPr>
              <w:t>   Tax &amp; Accounting Professionals</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1,058</w:t>
            </w:r>
          </w:p>
        </w:tc>
        <w:tc>
          <w:tcPr>
            <w:tcW w:w="800" w:type="dxa"/>
            <w:vAlign w:val="bottom"/>
          </w:tcPr>
          <w:p>
            <w:pPr>
              <w:jc w:val="right"/>
              <w:ind w:right="209"/>
              <w:spacing w:after="0"/>
              <w:rPr>
                <w:sz w:val="20"/>
                <w:szCs w:val="20"/>
                <w:color w:val="auto"/>
              </w:rPr>
            </w:pPr>
            <w:r>
              <w:rPr>
                <w:rFonts w:ascii="Arial" w:cs="Arial" w:eastAsia="Arial" w:hAnsi="Arial"/>
                <w:sz w:val="14"/>
                <w:szCs w:val="14"/>
                <w:color w:val="55565A"/>
              </w:rPr>
              <w:t>986</w:t>
            </w:r>
          </w:p>
        </w:tc>
        <w:tc>
          <w:tcPr>
            <w:tcW w:w="760" w:type="dxa"/>
            <w:vAlign w:val="bottom"/>
          </w:tcPr>
          <w:p>
            <w:pPr>
              <w:jc w:val="right"/>
              <w:ind w:right="89"/>
              <w:spacing w:after="0"/>
              <w:rPr>
                <w:sz w:val="20"/>
                <w:szCs w:val="20"/>
                <w:color w:val="auto"/>
              </w:rPr>
            </w:pPr>
            <w:r>
              <w:rPr>
                <w:rFonts w:ascii="Arial" w:cs="Arial" w:eastAsia="Arial" w:hAnsi="Arial"/>
                <w:sz w:val="14"/>
                <w:szCs w:val="14"/>
                <w:color w:val="55565A"/>
              </w:rPr>
              <w:t>7%</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(2%)</w:t>
            </w: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9%</w:t>
            </w:r>
          </w:p>
        </w:tc>
        <w:tc>
          <w:tcPr>
            <w:tcW w:w="1280" w:type="dxa"/>
            <w:vAlign w:val="bottom"/>
          </w:tcPr>
          <w:p>
            <w:pPr>
              <w:jc w:val="right"/>
              <w:ind w:right="189"/>
              <w:spacing w:after="0"/>
              <w:rPr>
                <w:sz w:val="20"/>
                <w:szCs w:val="20"/>
                <w:color w:val="auto"/>
              </w:rPr>
            </w:pPr>
            <w:r>
              <w:rPr>
                <w:rFonts w:ascii="Arial" w:cs="Arial" w:eastAsia="Arial" w:hAnsi="Arial"/>
                <w:sz w:val="14"/>
                <w:szCs w:val="14"/>
                <w:color w:val="55565A"/>
              </w:rPr>
              <w:t>(1%)</w:t>
            </w:r>
          </w:p>
        </w:tc>
        <w:tc>
          <w:tcPr>
            <w:tcW w:w="980" w:type="dxa"/>
            <w:vAlign w:val="bottom"/>
          </w:tcPr>
          <w:p>
            <w:pPr>
              <w:jc w:val="right"/>
              <w:ind w:right="149"/>
              <w:spacing w:after="0"/>
              <w:rPr>
                <w:sz w:val="20"/>
                <w:szCs w:val="20"/>
                <w:color w:val="auto"/>
              </w:rPr>
            </w:pPr>
            <w:r>
              <w:rPr>
                <w:rFonts w:ascii="Arial" w:cs="Arial" w:eastAsia="Arial" w:hAnsi="Arial"/>
                <w:sz w:val="14"/>
                <w:szCs w:val="14"/>
                <w:color w:val="55565A"/>
              </w:rPr>
              <w:t>10%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88888B"/>
            </w:tcBorders>
          </w:tcPr>
          <w:p>
            <w:pPr>
              <w:spacing w:after="0"/>
              <w:rPr>
                <w:sz w:val="3"/>
                <w:szCs w:val="3"/>
                <w:color w:val="auto"/>
              </w:rPr>
            </w:pPr>
          </w:p>
        </w:tc>
        <w:tc>
          <w:tcPr>
            <w:tcW w:w="680" w:type="dxa"/>
            <w:vAlign w:val="bottom"/>
            <w:tcBorders>
              <w:bottom w:val="single" w:sz="8" w:color="88888B"/>
            </w:tcBorders>
          </w:tcPr>
          <w:p>
            <w:pPr>
              <w:spacing w:after="0"/>
              <w:rPr>
                <w:sz w:val="3"/>
                <w:szCs w:val="3"/>
                <w:color w:val="auto"/>
              </w:rPr>
            </w:pPr>
          </w:p>
        </w:tc>
        <w:tc>
          <w:tcPr>
            <w:tcW w:w="720" w:type="dxa"/>
            <w:vAlign w:val="bottom"/>
            <w:tcBorders>
              <w:bottom w:val="single" w:sz="8" w:color="88888B"/>
            </w:tcBorders>
          </w:tcPr>
          <w:p>
            <w:pPr>
              <w:spacing w:after="0"/>
              <w:rPr>
                <w:sz w:val="3"/>
                <w:szCs w:val="3"/>
                <w:color w:val="auto"/>
              </w:rPr>
            </w:pPr>
          </w:p>
        </w:tc>
        <w:tc>
          <w:tcPr>
            <w:tcW w:w="200" w:type="dxa"/>
            <w:vAlign w:val="bottom"/>
            <w:tcBorders>
              <w:bottom w:val="single" w:sz="8" w:color="88888B"/>
            </w:tcBorders>
          </w:tcPr>
          <w:p>
            <w:pPr>
              <w:spacing w:after="0"/>
              <w:rPr>
                <w:sz w:val="3"/>
                <w:szCs w:val="3"/>
                <w:color w:val="auto"/>
              </w:rPr>
            </w:pPr>
          </w:p>
        </w:tc>
        <w:tc>
          <w:tcPr>
            <w:tcW w:w="1600" w:type="dxa"/>
            <w:vAlign w:val="bottom"/>
            <w:tcBorders>
              <w:bottom w:val="single" w:sz="8" w:color="88888B"/>
            </w:tcBorders>
          </w:tcPr>
          <w:p>
            <w:pPr>
              <w:spacing w:after="0"/>
              <w:rPr>
                <w:sz w:val="3"/>
                <w:szCs w:val="3"/>
                <w:color w:val="auto"/>
              </w:rPr>
            </w:pPr>
          </w:p>
        </w:tc>
        <w:tc>
          <w:tcPr>
            <w:tcW w:w="1440" w:type="dxa"/>
            <w:vAlign w:val="bottom"/>
            <w:tcBorders>
              <w:bottom w:val="single" w:sz="8" w:color="88888B"/>
            </w:tcBorders>
          </w:tcPr>
          <w:p>
            <w:pPr>
              <w:spacing w:after="0"/>
              <w:rPr>
                <w:sz w:val="3"/>
                <w:szCs w:val="3"/>
                <w:color w:val="auto"/>
              </w:rPr>
            </w:pPr>
          </w:p>
        </w:tc>
        <w:tc>
          <w:tcPr>
            <w:tcW w:w="800" w:type="dxa"/>
            <w:vAlign w:val="bottom"/>
            <w:tcBorders>
              <w:bottom w:val="single" w:sz="8" w:color="88888B"/>
            </w:tcBorders>
          </w:tcPr>
          <w:p>
            <w:pPr>
              <w:spacing w:after="0"/>
              <w:rPr>
                <w:sz w:val="3"/>
                <w:szCs w:val="3"/>
                <w:color w:val="auto"/>
              </w:rPr>
            </w:pPr>
          </w:p>
        </w:tc>
        <w:tc>
          <w:tcPr>
            <w:tcW w:w="760" w:type="dxa"/>
            <w:vAlign w:val="bottom"/>
            <w:tcBorders>
              <w:bottom w:val="single" w:sz="8" w:color="88888B"/>
            </w:tcBorders>
          </w:tcPr>
          <w:p>
            <w:pPr>
              <w:spacing w:after="0"/>
              <w:rPr>
                <w:sz w:val="3"/>
                <w:szCs w:val="3"/>
                <w:color w:val="auto"/>
              </w:rPr>
            </w:pPr>
          </w:p>
        </w:tc>
        <w:tc>
          <w:tcPr>
            <w:tcW w:w="1200" w:type="dxa"/>
            <w:vAlign w:val="bottom"/>
            <w:tcBorders>
              <w:bottom w:val="single" w:sz="8" w:color="88888B"/>
            </w:tcBorders>
          </w:tcPr>
          <w:p>
            <w:pPr>
              <w:spacing w:after="0"/>
              <w:rPr>
                <w:sz w:val="3"/>
                <w:szCs w:val="3"/>
                <w:color w:val="auto"/>
              </w:rPr>
            </w:pPr>
          </w:p>
        </w:tc>
        <w:tc>
          <w:tcPr>
            <w:tcW w:w="1160" w:type="dxa"/>
            <w:vAlign w:val="bottom"/>
            <w:tcBorders>
              <w:bottom w:val="single" w:sz="8" w:color="88888B"/>
            </w:tcBorders>
          </w:tcPr>
          <w:p>
            <w:pPr>
              <w:spacing w:after="0"/>
              <w:rPr>
                <w:sz w:val="3"/>
                <w:szCs w:val="3"/>
                <w:color w:val="auto"/>
              </w:rPr>
            </w:pPr>
          </w:p>
        </w:tc>
        <w:tc>
          <w:tcPr>
            <w:tcW w:w="1280" w:type="dxa"/>
            <w:vAlign w:val="bottom"/>
            <w:tcBorders>
              <w:bottom w:val="single" w:sz="8" w:color="88888B"/>
            </w:tcBorders>
          </w:tcPr>
          <w:p>
            <w:pPr>
              <w:spacing w:after="0"/>
              <w:rPr>
                <w:sz w:val="3"/>
                <w:szCs w:val="3"/>
                <w:color w:val="auto"/>
              </w:rPr>
            </w:pPr>
          </w:p>
        </w:tc>
        <w:tc>
          <w:tcPr>
            <w:tcW w:w="980" w:type="dxa"/>
            <w:vAlign w:val="bottom"/>
            <w:tcBorders>
              <w:bottom w:val="single" w:sz="8" w:color="88888B"/>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55565A"/>
              </w:rPr>
              <w:t>   “Big 3” Segments Combined</w:t>
            </w:r>
          </w:p>
        </w:tc>
        <w:tc>
          <w:tcPr>
            <w:tcW w:w="14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5,485</w:t>
            </w:r>
          </w:p>
        </w:tc>
        <w:tc>
          <w:tcPr>
            <w:tcW w:w="8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55565A"/>
              </w:rPr>
              <w:t>5,325</w:t>
            </w:r>
          </w:p>
        </w:tc>
        <w:tc>
          <w:tcPr>
            <w:tcW w:w="7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55565A"/>
              </w:rPr>
              <w:t>3%</w:t>
            </w:r>
          </w:p>
        </w:tc>
        <w:tc>
          <w:tcPr>
            <w:tcW w:w="12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16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55565A"/>
              </w:rPr>
              <w:t>4%</w:t>
            </w:r>
          </w:p>
        </w:tc>
        <w:tc>
          <w:tcPr>
            <w:tcW w:w="128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(4%)</w:t>
            </w:r>
          </w:p>
        </w:tc>
        <w:tc>
          <w:tcPr>
            <w:tcW w:w="9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5565A"/>
              </w:rPr>
              <w:t>7%</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gridSpan w:val="4"/>
          </w:tcPr>
          <w:p>
            <w:pPr>
              <w:ind w:left="60"/>
              <w:spacing w:after="0"/>
              <w:rPr>
                <w:sz w:val="20"/>
                <w:szCs w:val="20"/>
                <w:color w:val="auto"/>
              </w:rPr>
            </w:pPr>
            <w:r>
              <w:rPr>
                <w:rFonts w:ascii="Arial" w:cs="Arial" w:eastAsia="Arial" w:hAnsi="Arial"/>
                <w:sz w:val="14"/>
                <w:szCs w:val="14"/>
                <w:b w:val="1"/>
                <w:bCs w:val="1"/>
                <w:color w:val="55565A"/>
              </w:rPr>
              <w:t>   Reuters News</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769</w:t>
            </w:r>
          </w:p>
        </w:tc>
        <w:tc>
          <w:tcPr>
            <w:tcW w:w="800" w:type="dxa"/>
            <w:vAlign w:val="bottom"/>
          </w:tcPr>
          <w:p>
            <w:pPr>
              <w:jc w:val="right"/>
              <w:ind w:right="209"/>
              <w:spacing w:after="0"/>
              <w:rPr>
                <w:sz w:val="20"/>
                <w:szCs w:val="20"/>
                <w:color w:val="auto"/>
              </w:rPr>
            </w:pPr>
            <w:r>
              <w:rPr>
                <w:rFonts w:ascii="Arial" w:cs="Arial" w:eastAsia="Arial" w:hAnsi="Arial"/>
                <w:sz w:val="14"/>
                <w:szCs w:val="14"/>
                <w:color w:val="55565A"/>
              </w:rPr>
              <w:t>733</w:t>
            </w:r>
          </w:p>
        </w:tc>
        <w:tc>
          <w:tcPr>
            <w:tcW w:w="760" w:type="dxa"/>
            <w:vAlign w:val="bottom"/>
          </w:tcPr>
          <w:p>
            <w:pPr>
              <w:jc w:val="right"/>
              <w:ind w:right="89"/>
              <w:spacing w:after="0"/>
              <w:rPr>
                <w:sz w:val="20"/>
                <w:szCs w:val="20"/>
                <w:color w:val="auto"/>
              </w:rPr>
            </w:pPr>
            <w:r>
              <w:rPr>
                <w:rFonts w:ascii="Arial" w:cs="Arial" w:eastAsia="Arial" w:hAnsi="Arial"/>
                <w:sz w:val="14"/>
                <w:szCs w:val="14"/>
                <w:color w:val="55565A"/>
              </w:rPr>
              <w:t>5%</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5%</w:t>
            </w:r>
          </w:p>
        </w:tc>
        <w:tc>
          <w:tcPr>
            <w:tcW w:w="1280" w:type="dxa"/>
            <w:vAlign w:val="bottom"/>
          </w:tcPr>
          <w:p>
            <w:pPr>
              <w:jc w:val="right"/>
              <w:ind w:right="189"/>
              <w:spacing w:after="0"/>
              <w:rPr>
                <w:sz w:val="20"/>
                <w:szCs w:val="20"/>
                <w:color w:val="auto"/>
              </w:rPr>
            </w:pPr>
            <w:r>
              <w:rPr>
                <w:rFonts w:ascii="Arial" w:cs="Arial" w:eastAsia="Arial" w:hAnsi="Arial"/>
                <w:sz w:val="14"/>
                <w:szCs w:val="14"/>
                <w:color w:val="55565A"/>
              </w:rPr>
              <w:t>1%</w:t>
            </w:r>
          </w:p>
        </w:tc>
        <w:tc>
          <w:tcPr>
            <w:tcW w:w="980" w:type="dxa"/>
            <w:vAlign w:val="bottom"/>
          </w:tcPr>
          <w:p>
            <w:pPr>
              <w:jc w:val="right"/>
              <w:ind w:right="149"/>
              <w:spacing w:after="0"/>
              <w:rPr>
                <w:sz w:val="20"/>
                <w:szCs w:val="20"/>
                <w:color w:val="auto"/>
              </w:rPr>
            </w:pPr>
            <w:r>
              <w:rPr>
                <w:rFonts w:ascii="Arial" w:cs="Arial" w:eastAsia="Arial" w:hAnsi="Arial"/>
                <w:sz w:val="14"/>
                <w:szCs w:val="14"/>
                <w:color w:val="55565A"/>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Global Print</w:t>
            </w:r>
          </w:p>
        </w:tc>
        <w:tc>
          <w:tcPr>
            <w:tcW w:w="14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562</w:t>
            </w:r>
          </w:p>
        </w:tc>
        <w:tc>
          <w:tcPr>
            <w:tcW w:w="8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55565A"/>
              </w:rPr>
              <w:t>592</w:t>
            </w:r>
          </w:p>
        </w:tc>
        <w:tc>
          <w:tcPr>
            <w:tcW w:w="7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55565A"/>
              </w:rPr>
              <w:t>(5%)</w:t>
            </w:r>
          </w:p>
        </w:tc>
        <w:tc>
          <w:tcPr>
            <w:tcW w:w="12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(1%)</w:t>
            </w:r>
          </w:p>
        </w:tc>
        <w:tc>
          <w:tcPr>
            <w:tcW w:w="116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55565A"/>
              </w:rPr>
              <w:t>(4%)</w:t>
            </w:r>
          </w:p>
        </w:tc>
        <w:tc>
          <w:tcPr>
            <w:tcW w:w="128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(1%)</w:t>
            </w:r>
          </w:p>
        </w:tc>
        <w:tc>
          <w:tcPr>
            <w:tcW w:w="9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5565A"/>
              </w:rPr>
              <w:t>(3%)</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gridSpan w:val="4"/>
          </w:tcPr>
          <w:p>
            <w:pPr>
              <w:ind w:left="60"/>
              <w:spacing w:after="0"/>
              <w:rPr>
                <w:sz w:val="20"/>
                <w:szCs w:val="20"/>
                <w:color w:val="auto"/>
              </w:rPr>
            </w:pPr>
            <w:r>
              <w:rPr>
                <w:rFonts w:ascii="Arial" w:cs="Arial" w:eastAsia="Arial" w:hAnsi="Arial"/>
                <w:sz w:val="14"/>
                <w:szCs w:val="14"/>
                <w:b w:val="1"/>
                <w:bCs w:val="1"/>
                <w:color w:val="55565A"/>
              </w:rPr>
              <w:t>   Eliminations/Rounding</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(22)</w:t>
            </w:r>
          </w:p>
        </w:tc>
        <w:tc>
          <w:tcPr>
            <w:tcW w:w="800" w:type="dxa"/>
            <w:vAlign w:val="bottom"/>
          </w:tcPr>
          <w:p>
            <w:pPr>
              <w:jc w:val="right"/>
              <w:ind w:right="209"/>
              <w:spacing w:after="0"/>
              <w:rPr>
                <w:sz w:val="20"/>
                <w:szCs w:val="20"/>
                <w:color w:val="auto"/>
              </w:rPr>
            </w:pPr>
            <w:r>
              <w:rPr>
                <w:rFonts w:ascii="Arial" w:cs="Arial" w:eastAsia="Arial" w:hAnsi="Arial"/>
                <w:sz w:val="14"/>
                <w:szCs w:val="14"/>
                <w:color w:val="55565A"/>
              </w:rPr>
              <w:t>(23)</w:t>
            </w: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88888B"/>
            </w:tcBorders>
          </w:tcPr>
          <w:p>
            <w:pPr>
              <w:spacing w:after="0"/>
              <w:rPr>
                <w:sz w:val="3"/>
                <w:szCs w:val="3"/>
                <w:color w:val="auto"/>
              </w:rPr>
            </w:pPr>
          </w:p>
        </w:tc>
        <w:tc>
          <w:tcPr>
            <w:tcW w:w="680" w:type="dxa"/>
            <w:vAlign w:val="bottom"/>
            <w:tcBorders>
              <w:bottom w:val="single" w:sz="8" w:color="88888B"/>
            </w:tcBorders>
          </w:tcPr>
          <w:p>
            <w:pPr>
              <w:spacing w:after="0"/>
              <w:rPr>
                <w:sz w:val="3"/>
                <w:szCs w:val="3"/>
                <w:color w:val="auto"/>
              </w:rPr>
            </w:pPr>
          </w:p>
        </w:tc>
        <w:tc>
          <w:tcPr>
            <w:tcW w:w="720" w:type="dxa"/>
            <w:vAlign w:val="bottom"/>
            <w:tcBorders>
              <w:bottom w:val="single" w:sz="8" w:color="88888B"/>
            </w:tcBorders>
          </w:tcPr>
          <w:p>
            <w:pPr>
              <w:spacing w:after="0"/>
              <w:rPr>
                <w:sz w:val="3"/>
                <w:szCs w:val="3"/>
                <w:color w:val="auto"/>
              </w:rPr>
            </w:pPr>
          </w:p>
        </w:tc>
        <w:tc>
          <w:tcPr>
            <w:tcW w:w="200" w:type="dxa"/>
            <w:vAlign w:val="bottom"/>
            <w:tcBorders>
              <w:bottom w:val="single" w:sz="8" w:color="88888B"/>
            </w:tcBorders>
          </w:tcPr>
          <w:p>
            <w:pPr>
              <w:spacing w:after="0"/>
              <w:rPr>
                <w:sz w:val="3"/>
                <w:szCs w:val="3"/>
                <w:color w:val="auto"/>
              </w:rPr>
            </w:pPr>
          </w:p>
        </w:tc>
        <w:tc>
          <w:tcPr>
            <w:tcW w:w="1600" w:type="dxa"/>
            <w:vAlign w:val="bottom"/>
            <w:tcBorders>
              <w:bottom w:val="single" w:sz="8" w:color="88888B"/>
            </w:tcBorders>
          </w:tcPr>
          <w:p>
            <w:pPr>
              <w:spacing w:after="0"/>
              <w:rPr>
                <w:sz w:val="3"/>
                <w:szCs w:val="3"/>
                <w:color w:val="auto"/>
              </w:rPr>
            </w:pPr>
          </w:p>
        </w:tc>
        <w:tc>
          <w:tcPr>
            <w:tcW w:w="1440" w:type="dxa"/>
            <w:vAlign w:val="bottom"/>
            <w:tcBorders>
              <w:bottom w:val="single" w:sz="8" w:color="88888B"/>
            </w:tcBorders>
          </w:tcPr>
          <w:p>
            <w:pPr>
              <w:spacing w:after="0"/>
              <w:rPr>
                <w:sz w:val="3"/>
                <w:szCs w:val="3"/>
                <w:color w:val="auto"/>
              </w:rPr>
            </w:pPr>
          </w:p>
        </w:tc>
        <w:tc>
          <w:tcPr>
            <w:tcW w:w="800" w:type="dxa"/>
            <w:vAlign w:val="bottom"/>
            <w:tcBorders>
              <w:bottom w:val="single" w:sz="8" w:color="88888B"/>
            </w:tcBorders>
          </w:tcPr>
          <w:p>
            <w:pPr>
              <w:spacing w:after="0"/>
              <w:rPr>
                <w:sz w:val="3"/>
                <w:szCs w:val="3"/>
                <w:color w:val="auto"/>
              </w:rPr>
            </w:pPr>
          </w:p>
        </w:tc>
        <w:tc>
          <w:tcPr>
            <w:tcW w:w="760" w:type="dxa"/>
            <w:vAlign w:val="bottom"/>
            <w:tcBorders>
              <w:bottom w:val="single" w:sz="8" w:color="88888B"/>
            </w:tcBorders>
          </w:tcPr>
          <w:p>
            <w:pPr>
              <w:spacing w:after="0"/>
              <w:rPr>
                <w:sz w:val="3"/>
                <w:szCs w:val="3"/>
                <w:color w:val="auto"/>
              </w:rPr>
            </w:pPr>
          </w:p>
        </w:tc>
        <w:tc>
          <w:tcPr>
            <w:tcW w:w="1200" w:type="dxa"/>
            <w:vAlign w:val="bottom"/>
            <w:tcBorders>
              <w:bottom w:val="single" w:sz="8" w:color="88888B"/>
            </w:tcBorders>
          </w:tcPr>
          <w:p>
            <w:pPr>
              <w:spacing w:after="0"/>
              <w:rPr>
                <w:sz w:val="3"/>
                <w:szCs w:val="3"/>
                <w:color w:val="auto"/>
              </w:rPr>
            </w:pPr>
          </w:p>
        </w:tc>
        <w:tc>
          <w:tcPr>
            <w:tcW w:w="1160" w:type="dxa"/>
            <w:vAlign w:val="bottom"/>
            <w:tcBorders>
              <w:bottom w:val="single" w:sz="8" w:color="88888B"/>
            </w:tcBorders>
          </w:tcPr>
          <w:p>
            <w:pPr>
              <w:spacing w:after="0"/>
              <w:rPr>
                <w:sz w:val="3"/>
                <w:szCs w:val="3"/>
                <w:color w:val="auto"/>
              </w:rPr>
            </w:pPr>
          </w:p>
        </w:tc>
        <w:tc>
          <w:tcPr>
            <w:tcW w:w="1280" w:type="dxa"/>
            <w:vAlign w:val="bottom"/>
            <w:tcBorders>
              <w:bottom w:val="single" w:sz="8" w:color="88888B"/>
            </w:tcBorders>
          </w:tcPr>
          <w:p>
            <w:pPr>
              <w:spacing w:after="0"/>
              <w:rPr>
                <w:sz w:val="3"/>
                <w:szCs w:val="3"/>
                <w:color w:val="auto"/>
              </w:rPr>
            </w:pPr>
          </w:p>
        </w:tc>
        <w:tc>
          <w:tcPr>
            <w:tcW w:w="980" w:type="dxa"/>
            <w:vAlign w:val="bottom"/>
            <w:tcBorders>
              <w:bottom w:val="single" w:sz="8" w:color="88888B"/>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19"/>
                <w:szCs w:val="19"/>
                <w:color w:val="auto"/>
              </w:rPr>
            </w:pPr>
          </w:p>
        </w:tc>
        <w:tc>
          <w:tcPr>
            <w:tcW w:w="3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55565A"/>
              </w:rPr>
              <w:t>   Total revenues</w:t>
            </w:r>
          </w:p>
        </w:tc>
        <w:tc>
          <w:tcPr>
            <w:tcW w:w="14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6,794</w:t>
            </w:r>
          </w:p>
        </w:tc>
        <w:tc>
          <w:tcPr>
            <w:tcW w:w="8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55565A"/>
              </w:rPr>
              <w:t>6,627</w:t>
            </w:r>
          </w:p>
        </w:tc>
        <w:tc>
          <w:tcPr>
            <w:tcW w:w="7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55565A"/>
              </w:rPr>
              <w:t>3%</w:t>
            </w:r>
          </w:p>
        </w:tc>
        <w:tc>
          <w:tcPr>
            <w:tcW w:w="12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16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55565A"/>
              </w:rPr>
              <w:t>3%</w:t>
            </w:r>
          </w:p>
        </w:tc>
        <w:tc>
          <w:tcPr>
            <w:tcW w:w="128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(3%)</w:t>
            </w:r>
          </w:p>
        </w:tc>
        <w:tc>
          <w:tcPr>
            <w:tcW w:w="9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5565A"/>
              </w:rPr>
              <w:t>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Borders>
              <w:top w:val="single" w:sz="8" w:color="88888B"/>
              <w:bottom w:val="single" w:sz="8" w:color="55565A"/>
            </w:tcBorders>
          </w:tcPr>
          <w:p>
            <w:pPr>
              <w:spacing w:after="0"/>
              <w:rPr>
                <w:sz w:val="13"/>
                <w:szCs w:val="13"/>
                <w:color w:val="auto"/>
              </w:rPr>
            </w:pPr>
          </w:p>
        </w:tc>
        <w:tc>
          <w:tcPr>
            <w:tcW w:w="680" w:type="dxa"/>
            <w:vAlign w:val="bottom"/>
            <w:tcBorders>
              <w:top w:val="single" w:sz="8" w:color="88888B"/>
              <w:bottom w:val="single" w:sz="8" w:color="55565A"/>
            </w:tcBorders>
          </w:tcPr>
          <w:p>
            <w:pPr>
              <w:spacing w:after="0"/>
              <w:rPr>
                <w:sz w:val="13"/>
                <w:szCs w:val="13"/>
                <w:color w:val="auto"/>
              </w:rPr>
            </w:pPr>
          </w:p>
        </w:tc>
        <w:tc>
          <w:tcPr>
            <w:tcW w:w="720" w:type="dxa"/>
            <w:vAlign w:val="bottom"/>
            <w:tcBorders>
              <w:top w:val="single" w:sz="8" w:color="88888B"/>
              <w:bottom w:val="single" w:sz="8" w:color="55565A"/>
            </w:tcBorders>
          </w:tcPr>
          <w:p>
            <w:pPr>
              <w:spacing w:after="0"/>
              <w:rPr>
                <w:sz w:val="13"/>
                <w:szCs w:val="13"/>
                <w:color w:val="auto"/>
              </w:rPr>
            </w:pPr>
          </w:p>
        </w:tc>
        <w:tc>
          <w:tcPr>
            <w:tcW w:w="200" w:type="dxa"/>
            <w:vAlign w:val="bottom"/>
            <w:tcBorders>
              <w:top w:val="single" w:sz="8" w:color="88888B"/>
              <w:bottom w:val="single" w:sz="8" w:color="55565A"/>
            </w:tcBorders>
          </w:tcPr>
          <w:p>
            <w:pPr>
              <w:spacing w:after="0"/>
              <w:rPr>
                <w:sz w:val="13"/>
                <w:szCs w:val="13"/>
                <w:color w:val="auto"/>
              </w:rPr>
            </w:pPr>
          </w:p>
        </w:tc>
        <w:tc>
          <w:tcPr>
            <w:tcW w:w="1600" w:type="dxa"/>
            <w:vAlign w:val="bottom"/>
            <w:tcBorders>
              <w:top w:val="single" w:sz="8" w:color="88888B"/>
              <w:bottom w:val="single" w:sz="8" w:color="55565A"/>
            </w:tcBorders>
          </w:tcPr>
          <w:p>
            <w:pPr>
              <w:spacing w:after="0"/>
              <w:rPr>
                <w:sz w:val="13"/>
                <w:szCs w:val="13"/>
                <w:color w:val="auto"/>
              </w:rPr>
            </w:pPr>
          </w:p>
        </w:tc>
        <w:tc>
          <w:tcPr>
            <w:tcW w:w="1440" w:type="dxa"/>
            <w:vAlign w:val="bottom"/>
            <w:tcBorders>
              <w:top w:val="single" w:sz="8" w:color="88888B"/>
              <w:bottom w:val="single" w:sz="8" w:color="55565A"/>
            </w:tcBorders>
          </w:tcPr>
          <w:p>
            <w:pPr>
              <w:spacing w:after="0"/>
              <w:rPr>
                <w:sz w:val="13"/>
                <w:szCs w:val="13"/>
                <w:color w:val="auto"/>
              </w:rPr>
            </w:pPr>
          </w:p>
        </w:tc>
        <w:tc>
          <w:tcPr>
            <w:tcW w:w="800" w:type="dxa"/>
            <w:vAlign w:val="bottom"/>
            <w:tcBorders>
              <w:top w:val="single" w:sz="8" w:color="88888B"/>
              <w:bottom w:val="single" w:sz="8" w:color="55565A"/>
            </w:tcBorders>
          </w:tcPr>
          <w:p>
            <w:pPr>
              <w:spacing w:after="0"/>
              <w:rPr>
                <w:sz w:val="13"/>
                <w:szCs w:val="13"/>
                <w:color w:val="auto"/>
              </w:rPr>
            </w:pPr>
          </w:p>
        </w:tc>
        <w:tc>
          <w:tcPr>
            <w:tcW w:w="760" w:type="dxa"/>
            <w:vAlign w:val="bottom"/>
            <w:tcBorders>
              <w:top w:val="single" w:sz="8" w:color="88888B"/>
              <w:bottom w:val="single" w:sz="8" w:color="55565A"/>
            </w:tcBorders>
          </w:tcPr>
          <w:p>
            <w:pPr>
              <w:spacing w:after="0"/>
              <w:rPr>
                <w:sz w:val="13"/>
                <w:szCs w:val="13"/>
                <w:color w:val="auto"/>
              </w:rPr>
            </w:pPr>
          </w:p>
        </w:tc>
        <w:tc>
          <w:tcPr>
            <w:tcW w:w="1200" w:type="dxa"/>
            <w:vAlign w:val="bottom"/>
            <w:tcBorders>
              <w:top w:val="single" w:sz="8" w:color="88888B"/>
              <w:bottom w:val="single" w:sz="8" w:color="55565A"/>
            </w:tcBorders>
          </w:tcPr>
          <w:p>
            <w:pPr>
              <w:spacing w:after="0"/>
              <w:rPr>
                <w:sz w:val="13"/>
                <w:szCs w:val="13"/>
                <w:color w:val="auto"/>
              </w:rPr>
            </w:pPr>
          </w:p>
        </w:tc>
        <w:tc>
          <w:tcPr>
            <w:tcW w:w="1160" w:type="dxa"/>
            <w:vAlign w:val="bottom"/>
            <w:tcBorders>
              <w:top w:val="single" w:sz="8" w:color="88888B"/>
              <w:bottom w:val="single" w:sz="8" w:color="55565A"/>
            </w:tcBorders>
          </w:tcPr>
          <w:p>
            <w:pPr>
              <w:spacing w:after="0"/>
              <w:rPr>
                <w:sz w:val="13"/>
                <w:szCs w:val="13"/>
                <w:color w:val="auto"/>
              </w:rPr>
            </w:pPr>
          </w:p>
        </w:tc>
        <w:tc>
          <w:tcPr>
            <w:tcW w:w="1280" w:type="dxa"/>
            <w:vAlign w:val="bottom"/>
            <w:tcBorders>
              <w:top w:val="single" w:sz="8" w:color="88888B"/>
              <w:bottom w:val="single" w:sz="8" w:color="55565A"/>
            </w:tcBorders>
          </w:tcPr>
          <w:p>
            <w:pPr>
              <w:spacing w:after="0"/>
              <w:rPr>
                <w:sz w:val="13"/>
                <w:szCs w:val="13"/>
                <w:color w:val="auto"/>
              </w:rPr>
            </w:pPr>
          </w:p>
        </w:tc>
        <w:tc>
          <w:tcPr>
            <w:tcW w:w="980" w:type="dxa"/>
            <w:vAlign w:val="bottom"/>
            <w:tcBorders>
              <w:top w:val="single" w:sz="8" w:color="88888B"/>
              <w:bottom w:val="single" w:sz="8" w:color="55565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ectPr>
          <w:pgSz w:w="11900" w:h="16838" w:orient="portrait"/>
          <w:cols w:equalWidth="0" w:num="1">
            <w:col w:w="11080"/>
          </w:cols>
          <w:pgMar w:left="320" w:top="454" w:right="499" w:bottom="0" w:gutter="0" w:footer="0" w:header="0"/>
        </w:sectPr>
      </w:pPr>
    </w:p>
    <w:p>
      <w:pPr>
        <w:ind w:left="10580"/>
        <w:spacing w:after="0"/>
        <w:rPr>
          <w:sz w:val="20"/>
          <w:szCs w:val="20"/>
          <w:color w:val="auto"/>
        </w:rPr>
      </w:pPr>
      <w:r>
        <w:rPr>
          <w:rFonts w:ascii="Arial" w:cs="Arial" w:eastAsia="Arial" w:hAnsi="Arial"/>
          <w:sz w:val="13"/>
          <w:szCs w:val="13"/>
          <w:color w:val="55565A"/>
        </w:rPr>
        <w:t>Page 29</w:t>
      </w:r>
    </w:p>
    <w:p>
      <w:pPr>
        <w:sectPr>
          <w:pgSz w:w="11900" w:h="16838" w:orient="portrait"/>
          <w:cols w:equalWidth="0" w:num="1">
            <w:col w:w="11080"/>
          </w:cols>
          <w:pgMar w:left="320" w:top="454" w:right="499"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0" w:right="140"/>
        <w:spacing w:after="0" w:line="274" w:lineRule="auto"/>
        <w:rPr>
          <w:sz w:val="20"/>
          <w:szCs w:val="20"/>
          <w:color w:val="auto"/>
        </w:rPr>
      </w:pPr>
      <w:r>
        <w:rPr>
          <w:rFonts w:ascii="Arial" w:cs="Arial" w:eastAsia="Arial" w:hAnsi="Arial"/>
          <w:sz w:val="18"/>
          <w:szCs w:val="18"/>
          <w:b w:val="1"/>
          <w:bCs w:val="1"/>
          <w:i w:val="1"/>
          <w:iCs w:val="1"/>
          <w:color w:val="55565A"/>
        </w:rPr>
        <w:t>Reconciliation of changes in adjusted EBITDA and the related margin, and consolidated operating expenses and adjusted EPS, excluding the effects of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118110</wp:posOffset>
            </wp:positionV>
            <wp:extent cx="69297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0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55565A"/>
              </w:rPr>
              <w:t>Three months ended March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Change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Foreign</w:t>
            </w:r>
          </w:p>
        </w:tc>
        <w:tc>
          <w:tcPr>
            <w:tcW w:w="1180" w:type="dxa"/>
            <w:vAlign w:val="bottom"/>
          </w:tcPr>
          <w:p>
            <w:pPr>
              <w:jc w:val="right"/>
              <w:ind w:right="249"/>
              <w:spacing w:after="0"/>
              <w:rPr>
                <w:sz w:val="20"/>
                <w:szCs w:val="20"/>
                <w:color w:val="auto"/>
              </w:rPr>
            </w:pPr>
            <w:r>
              <w:rPr>
                <w:rFonts w:ascii="Arial" w:cs="Arial" w:eastAsia="Arial" w:hAnsi="Arial"/>
                <w:sz w:val="14"/>
                <w:szCs w:val="14"/>
                <w:color w:val="55565A"/>
              </w:rPr>
              <w:t>Constant</w:t>
            </w:r>
          </w:p>
        </w:tc>
        <w:tc>
          <w:tcPr>
            <w:tcW w:w="0" w:type="dxa"/>
            <w:vAlign w:val="bottom"/>
          </w:tcPr>
          <w:p>
            <w:pPr>
              <w:spacing w:after="0"/>
              <w:rPr>
                <w:sz w:val="1"/>
                <w:szCs w:val="1"/>
                <w:color w:val="auto"/>
              </w:rPr>
            </w:pPr>
          </w:p>
        </w:tc>
      </w:tr>
      <w:tr>
        <w:trPr>
          <w:trHeight w:val="195"/>
        </w:trPr>
        <w:tc>
          <w:tcPr>
            <w:tcW w:w="5220" w:type="dxa"/>
            <w:vAlign w:val="bottom"/>
            <w:gridSpan w:val="5"/>
          </w:tcPr>
          <w:p>
            <w:pPr>
              <w:spacing w:after="0"/>
              <w:rPr>
                <w:sz w:val="20"/>
                <w:szCs w:val="20"/>
                <w:color w:val="auto"/>
              </w:rPr>
            </w:pPr>
            <w:r>
              <w:rPr>
                <w:rFonts w:ascii="Arial" w:cs="Arial" w:eastAsia="Arial" w:hAnsi="Arial"/>
                <w:sz w:val="14"/>
                <w:szCs w:val="14"/>
                <w:b w:val="1"/>
                <w:bCs w:val="1"/>
                <w:color w:val="55565A"/>
              </w:rPr>
              <w:t>(millions of U.S. dollars, except margins and per share amounts)</w:t>
            </w:r>
          </w:p>
        </w:tc>
        <w:tc>
          <w:tcPr>
            <w:tcW w:w="1420" w:type="dxa"/>
            <w:vAlign w:val="bottom"/>
          </w:tcPr>
          <w:p>
            <w:pPr>
              <w:jc w:val="right"/>
              <w:ind w:right="109"/>
              <w:spacing w:after="0"/>
              <w:rPr>
                <w:sz w:val="20"/>
                <w:szCs w:val="20"/>
                <w:color w:val="auto"/>
              </w:rPr>
            </w:pPr>
            <w:r>
              <w:rPr>
                <w:rFonts w:ascii="Arial" w:cs="Arial" w:eastAsia="Arial" w:hAnsi="Arial"/>
                <w:sz w:val="14"/>
                <w:szCs w:val="14"/>
                <w:b w:val="1"/>
                <w:bCs w:val="1"/>
                <w:color w:val="55565A"/>
              </w:rPr>
              <w:t>2024</w:t>
            </w:r>
          </w:p>
        </w:tc>
        <w:tc>
          <w:tcPr>
            <w:tcW w:w="600" w:type="dxa"/>
            <w:vAlign w:val="bottom"/>
          </w:tcPr>
          <w:p>
            <w:pPr>
              <w:jc w:val="right"/>
              <w:spacing w:after="0"/>
              <w:rPr>
                <w:sz w:val="20"/>
                <w:szCs w:val="20"/>
                <w:color w:val="auto"/>
              </w:rPr>
            </w:pPr>
            <w:r>
              <w:rPr>
                <w:rFonts w:ascii="Arial" w:cs="Arial" w:eastAsia="Arial" w:hAnsi="Arial"/>
                <w:sz w:val="14"/>
                <w:szCs w:val="14"/>
                <w:color w:val="55565A"/>
              </w:rPr>
              <w:t>2023</w:t>
            </w:r>
          </w:p>
        </w:tc>
        <w:tc>
          <w:tcPr>
            <w:tcW w:w="1340" w:type="dxa"/>
            <w:vAlign w:val="bottom"/>
          </w:tcPr>
          <w:p>
            <w:pPr>
              <w:jc w:val="right"/>
              <w:ind w:right="209"/>
              <w:spacing w:after="0"/>
              <w:rPr>
                <w:sz w:val="20"/>
                <w:szCs w:val="20"/>
                <w:color w:val="auto"/>
              </w:rPr>
            </w:pPr>
            <w:r>
              <w:rPr>
                <w:rFonts w:ascii="Arial" w:cs="Arial" w:eastAsia="Arial" w:hAnsi="Arial"/>
                <w:sz w:val="14"/>
                <w:szCs w:val="14"/>
                <w:color w:val="55565A"/>
              </w:rPr>
              <w:t>Total</w:t>
            </w: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Currency</w:t>
            </w:r>
          </w:p>
        </w:tc>
        <w:tc>
          <w:tcPr>
            <w:tcW w:w="1180" w:type="dxa"/>
            <w:vAlign w:val="bottom"/>
          </w:tcPr>
          <w:p>
            <w:pPr>
              <w:jc w:val="right"/>
              <w:ind w:right="249"/>
              <w:spacing w:after="0"/>
              <w:rPr>
                <w:sz w:val="20"/>
                <w:szCs w:val="20"/>
                <w:color w:val="auto"/>
              </w:rPr>
            </w:pPr>
            <w:r>
              <w:rPr>
                <w:rFonts w:ascii="Arial" w:cs="Arial" w:eastAsia="Arial" w:hAnsi="Arial"/>
                <w:sz w:val="14"/>
                <w:szCs w:val="14"/>
                <w:color w:val="55565A"/>
              </w:rPr>
              <w:t>Currency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Borders>
              <w:bottom w:val="single" w:sz="8" w:color="88888B"/>
            </w:tcBorders>
          </w:tcPr>
          <w:p>
            <w:pPr>
              <w:spacing w:after="0"/>
              <w:rPr>
                <w:sz w:val="8"/>
                <w:szCs w:val="8"/>
                <w:color w:val="auto"/>
              </w:rPr>
            </w:pPr>
          </w:p>
        </w:tc>
        <w:tc>
          <w:tcPr>
            <w:tcW w:w="1180" w:type="dxa"/>
            <w:vAlign w:val="bottom"/>
            <w:tcBorders>
              <w:bottom w:val="single" w:sz="8" w:color="88888B"/>
            </w:tcBorders>
          </w:tcPr>
          <w:p>
            <w:pPr>
              <w:spacing w:after="0"/>
              <w:rPr>
                <w:sz w:val="8"/>
                <w:szCs w:val="8"/>
                <w:color w:val="auto"/>
              </w:rPr>
            </w:pPr>
          </w:p>
        </w:tc>
        <w:tc>
          <w:tcPr>
            <w:tcW w:w="520" w:type="dxa"/>
            <w:vAlign w:val="bottom"/>
            <w:tcBorders>
              <w:bottom w:val="single" w:sz="8" w:color="88888B"/>
            </w:tcBorders>
          </w:tcPr>
          <w:p>
            <w:pPr>
              <w:spacing w:after="0"/>
              <w:rPr>
                <w:sz w:val="8"/>
                <w:szCs w:val="8"/>
                <w:color w:val="auto"/>
              </w:rPr>
            </w:pPr>
          </w:p>
        </w:tc>
        <w:tc>
          <w:tcPr>
            <w:tcW w:w="3420" w:type="dxa"/>
            <w:vAlign w:val="bottom"/>
            <w:tcBorders>
              <w:bottom w:val="single" w:sz="8" w:color="88888B"/>
            </w:tcBorders>
          </w:tcPr>
          <w:p>
            <w:pPr>
              <w:spacing w:after="0"/>
              <w:rPr>
                <w:sz w:val="8"/>
                <w:szCs w:val="8"/>
                <w:color w:val="auto"/>
              </w:rPr>
            </w:pPr>
          </w:p>
        </w:tc>
        <w:tc>
          <w:tcPr>
            <w:tcW w:w="1420" w:type="dxa"/>
            <w:vAlign w:val="bottom"/>
            <w:tcBorders>
              <w:bottom w:val="single" w:sz="8" w:color="88888B"/>
            </w:tcBorders>
          </w:tcPr>
          <w:p>
            <w:pPr>
              <w:spacing w:after="0"/>
              <w:rPr>
                <w:sz w:val="8"/>
                <w:szCs w:val="8"/>
                <w:color w:val="auto"/>
              </w:rPr>
            </w:pPr>
          </w:p>
        </w:tc>
        <w:tc>
          <w:tcPr>
            <w:tcW w:w="600" w:type="dxa"/>
            <w:vAlign w:val="bottom"/>
            <w:tcBorders>
              <w:bottom w:val="single" w:sz="8" w:color="88888B"/>
            </w:tcBorders>
          </w:tcPr>
          <w:p>
            <w:pPr>
              <w:spacing w:after="0"/>
              <w:rPr>
                <w:sz w:val="8"/>
                <w:szCs w:val="8"/>
                <w:color w:val="auto"/>
              </w:rPr>
            </w:pPr>
          </w:p>
        </w:tc>
        <w:tc>
          <w:tcPr>
            <w:tcW w:w="1340" w:type="dxa"/>
            <w:vAlign w:val="bottom"/>
            <w:tcBorders>
              <w:bottom w:val="single" w:sz="8" w:color="88888B"/>
            </w:tcBorders>
          </w:tcPr>
          <w:p>
            <w:pPr>
              <w:spacing w:after="0"/>
              <w:rPr>
                <w:sz w:val="8"/>
                <w:szCs w:val="8"/>
                <w:color w:val="auto"/>
              </w:rPr>
            </w:pPr>
          </w:p>
        </w:tc>
        <w:tc>
          <w:tcPr>
            <w:tcW w:w="1160" w:type="dxa"/>
            <w:vAlign w:val="bottom"/>
            <w:tcBorders>
              <w:bottom w:val="single" w:sz="8" w:color="88888B"/>
            </w:tcBorders>
          </w:tcPr>
          <w:p>
            <w:pPr>
              <w:spacing w:after="0"/>
              <w:rPr>
                <w:sz w:val="8"/>
                <w:szCs w:val="8"/>
                <w:color w:val="auto"/>
              </w:rPr>
            </w:pPr>
          </w:p>
        </w:tc>
        <w:tc>
          <w:tcPr>
            <w:tcW w:w="1180" w:type="dxa"/>
            <w:vAlign w:val="bottom"/>
            <w:tcBorders>
              <w:bottom w:val="single" w:sz="8" w:color="88888B"/>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5200" w:type="dxa"/>
            <w:vAlign w:val="bottom"/>
            <w:gridSpan w:val="4"/>
            <w:shd w:val="clear" w:color="auto" w:fill="CCEEFF"/>
          </w:tcPr>
          <w:p>
            <w:pPr>
              <w:spacing w:after="0" w:line="147" w:lineRule="exact"/>
              <w:rPr>
                <w:sz w:val="20"/>
                <w:szCs w:val="20"/>
                <w:color w:val="auto"/>
              </w:rPr>
            </w:pPr>
            <w:r>
              <w:rPr>
                <w:rFonts w:ascii="Arial" w:cs="Arial" w:eastAsia="Arial" w:hAnsi="Arial"/>
                <w:sz w:val="14"/>
                <w:szCs w:val="14"/>
                <w:b w:val="1"/>
                <w:bCs w:val="1"/>
                <w:color w:val="55565A"/>
              </w:rPr>
              <w:t>   Adjusted EBITDA</w:t>
            </w:r>
          </w:p>
        </w:tc>
        <w:tc>
          <w:tcPr>
            <w:tcW w:w="1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55565A"/>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3"/>
          </w:tcPr>
          <w:p>
            <w:pPr>
              <w:ind w:left="60"/>
              <w:spacing w:after="0"/>
              <w:rPr>
                <w:sz w:val="20"/>
                <w:szCs w:val="20"/>
                <w:color w:val="auto"/>
              </w:rPr>
            </w:pPr>
            <w:r>
              <w:rPr>
                <w:rFonts w:ascii="Arial" w:cs="Arial" w:eastAsia="Arial" w:hAnsi="Arial"/>
                <w:sz w:val="14"/>
                <w:szCs w:val="14"/>
                <w:b w:val="1"/>
                <w:bCs w:val="1"/>
                <w:color w:val="55565A"/>
              </w:rPr>
              <w:t>   Legal Professionals</w:t>
            </w:r>
          </w:p>
        </w:tc>
        <w:tc>
          <w:tcPr>
            <w:tcW w:w="1420" w:type="dxa"/>
            <w:vAlign w:val="bottom"/>
          </w:tcPr>
          <w:p>
            <w:pPr>
              <w:jc w:val="right"/>
              <w:ind w:right="109"/>
              <w:spacing w:after="0"/>
              <w:rPr>
                <w:sz w:val="20"/>
                <w:szCs w:val="20"/>
                <w:color w:val="auto"/>
              </w:rPr>
            </w:pPr>
            <w:r>
              <w:rPr>
                <w:rFonts w:ascii="Arial" w:cs="Arial" w:eastAsia="Arial" w:hAnsi="Arial"/>
                <w:sz w:val="14"/>
                <w:szCs w:val="14"/>
                <w:b w:val="1"/>
                <w:bCs w:val="1"/>
                <w:color w:val="55565A"/>
              </w:rPr>
              <w:t>342</w:t>
            </w:r>
          </w:p>
        </w:tc>
        <w:tc>
          <w:tcPr>
            <w:tcW w:w="600" w:type="dxa"/>
            <w:vAlign w:val="bottom"/>
          </w:tcPr>
          <w:p>
            <w:pPr>
              <w:jc w:val="right"/>
              <w:spacing w:after="0"/>
              <w:rPr>
                <w:sz w:val="20"/>
                <w:szCs w:val="20"/>
                <w:color w:val="auto"/>
              </w:rPr>
            </w:pPr>
            <w:r>
              <w:rPr>
                <w:rFonts w:ascii="Arial" w:cs="Arial" w:eastAsia="Arial" w:hAnsi="Arial"/>
                <w:sz w:val="14"/>
                <w:szCs w:val="14"/>
                <w:color w:val="55565A"/>
              </w:rPr>
              <w:t>318</w:t>
            </w:r>
          </w:p>
        </w:tc>
        <w:tc>
          <w:tcPr>
            <w:tcW w:w="1340" w:type="dxa"/>
            <w:vAlign w:val="bottom"/>
          </w:tcPr>
          <w:p>
            <w:pPr>
              <w:jc w:val="right"/>
              <w:ind w:right="209"/>
              <w:spacing w:after="0"/>
              <w:rPr>
                <w:sz w:val="20"/>
                <w:szCs w:val="20"/>
                <w:color w:val="auto"/>
              </w:rPr>
            </w:pPr>
            <w:r>
              <w:rPr>
                <w:rFonts w:ascii="Arial" w:cs="Arial" w:eastAsia="Arial" w:hAnsi="Arial"/>
                <w:sz w:val="14"/>
                <w:szCs w:val="14"/>
                <w:color w:val="55565A"/>
              </w:rPr>
              <w:t>7%</w:t>
            </w: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(1%)</w:t>
            </w:r>
          </w:p>
        </w:tc>
        <w:tc>
          <w:tcPr>
            <w:tcW w:w="1180" w:type="dxa"/>
            <w:vAlign w:val="bottom"/>
          </w:tcPr>
          <w:p>
            <w:pPr>
              <w:jc w:val="right"/>
              <w:ind w:right="249"/>
              <w:spacing w:after="0"/>
              <w:rPr>
                <w:sz w:val="20"/>
                <w:szCs w:val="20"/>
                <w:color w:val="auto"/>
              </w:rPr>
            </w:pPr>
            <w:r>
              <w:rPr>
                <w:rFonts w:ascii="Arial" w:cs="Arial" w:eastAsia="Arial" w:hAnsi="Arial"/>
                <w:sz w:val="14"/>
                <w:szCs w:val="14"/>
                <w:color w:val="55565A"/>
              </w:rPr>
              <w:t>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55565A"/>
              </w:rPr>
              <w:t>   Corporates</w:t>
            </w:r>
          </w:p>
        </w:tc>
        <w:tc>
          <w:tcPr>
            <w:tcW w:w="14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193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55565A"/>
              </w:rPr>
              <w:t>154</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26%</w:t>
            </w:r>
          </w:p>
        </w:tc>
        <w:tc>
          <w:tcPr>
            <w:tcW w:w="11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1%</w:t>
            </w:r>
          </w:p>
        </w:tc>
        <w:tc>
          <w:tcPr>
            <w:tcW w:w="11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25%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3"/>
          </w:tcPr>
          <w:p>
            <w:pPr>
              <w:ind w:left="60"/>
              <w:spacing w:after="0"/>
              <w:rPr>
                <w:sz w:val="20"/>
                <w:szCs w:val="20"/>
                <w:color w:val="auto"/>
              </w:rPr>
            </w:pPr>
            <w:r>
              <w:rPr>
                <w:rFonts w:ascii="Arial" w:cs="Arial" w:eastAsia="Arial" w:hAnsi="Arial"/>
                <w:sz w:val="14"/>
                <w:szCs w:val="14"/>
                <w:b w:val="1"/>
                <w:bCs w:val="1"/>
                <w:color w:val="55565A"/>
              </w:rPr>
              <w:t>   Tax &amp; Accounting Professionals</w:t>
            </w:r>
          </w:p>
        </w:tc>
        <w:tc>
          <w:tcPr>
            <w:tcW w:w="1420" w:type="dxa"/>
            <w:vAlign w:val="bottom"/>
          </w:tcPr>
          <w:p>
            <w:pPr>
              <w:jc w:val="right"/>
              <w:ind w:right="109"/>
              <w:spacing w:after="0"/>
              <w:rPr>
                <w:sz w:val="20"/>
                <w:szCs w:val="20"/>
                <w:color w:val="auto"/>
              </w:rPr>
            </w:pPr>
            <w:r>
              <w:rPr>
                <w:rFonts w:ascii="Arial" w:cs="Arial" w:eastAsia="Arial" w:hAnsi="Arial"/>
                <w:sz w:val="14"/>
                <w:szCs w:val="14"/>
                <w:b w:val="1"/>
                <w:bCs w:val="1"/>
                <w:color w:val="55565A"/>
              </w:rPr>
              <w:t>181</w:t>
            </w:r>
          </w:p>
        </w:tc>
        <w:tc>
          <w:tcPr>
            <w:tcW w:w="600" w:type="dxa"/>
            <w:vAlign w:val="bottom"/>
          </w:tcPr>
          <w:p>
            <w:pPr>
              <w:jc w:val="right"/>
              <w:spacing w:after="0"/>
              <w:rPr>
                <w:sz w:val="20"/>
                <w:szCs w:val="20"/>
                <w:color w:val="auto"/>
              </w:rPr>
            </w:pPr>
            <w:r>
              <w:rPr>
                <w:rFonts w:ascii="Arial" w:cs="Arial" w:eastAsia="Arial" w:hAnsi="Arial"/>
                <w:sz w:val="14"/>
                <w:szCs w:val="14"/>
                <w:color w:val="55565A"/>
              </w:rPr>
              <w:t>149</w:t>
            </w:r>
          </w:p>
        </w:tc>
        <w:tc>
          <w:tcPr>
            <w:tcW w:w="1340" w:type="dxa"/>
            <w:vAlign w:val="bottom"/>
          </w:tcPr>
          <w:p>
            <w:pPr>
              <w:jc w:val="right"/>
              <w:ind w:right="209"/>
              <w:spacing w:after="0"/>
              <w:rPr>
                <w:sz w:val="20"/>
                <w:szCs w:val="20"/>
                <w:color w:val="auto"/>
              </w:rPr>
            </w:pPr>
            <w:r>
              <w:rPr>
                <w:rFonts w:ascii="Arial" w:cs="Arial" w:eastAsia="Arial" w:hAnsi="Arial"/>
                <w:sz w:val="14"/>
                <w:szCs w:val="14"/>
                <w:color w:val="55565A"/>
              </w:rPr>
              <w:t>21%</w:t>
            </w: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(1%)</w:t>
            </w:r>
          </w:p>
        </w:tc>
        <w:tc>
          <w:tcPr>
            <w:tcW w:w="1180" w:type="dxa"/>
            <w:vAlign w:val="bottom"/>
          </w:tcPr>
          <w:p>
            <w:pPr>
              <w:jc w:val="right"/>
              <w:ind w:right="249"/>
              <w:spacing w:after="0"/>
              <w:rPr>
                <w:sz w:val="20"/>
                <w:szCs w:val="20"/>
                <w:color w:val="auto"/>
              </w:rPr>
            </w:pPr>
            <w:r>
              <w:rPr>
                <w:rFonts w:ascii="Arial" w:cs="Arial" w:eastAsia="Arial" w:hAnsi="Arial"/>
                <w:sz w:val="14"/>
                <w:szCs w:val="14"/>
                <w:color w:val="55565A"/>
              </w:rPr>
              <w:t>22%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Borders>
              <w:bottom w:val="single" w:sz="8" w:color="88888B"/>
            </w:tcBorders>
          </w:tcPr>
          <w:p>
            <w:pPr>
              <w:spacing w:after="0"/>
              <w:rPr>
                <w:sz w:val="2"/>
                <w:szCs w:val="2"/>
                <w:color w:val="auto"/>
              </w:rPr>
            </w:pPr>
          </w:p>
        </w:tc>
        <w:tc>
          <w:tcPr>
            <w:tcW w:w="1180" w:type="dxa"/>
            <w:vAlign w:val="bottom"/>
            <w:tcBorders>
              <w:bottom w:val="single" w:sz="8" w:color="88888B"/>
            </w:tcBorders>
          </w:tcPr>
          <w:p>
            <w:pPr>
              <w:spacing w:after="0"/>
              <w:rPr>
                <w:sz w:val="2"/>
                <w:szCs w:val="2"/>
                <w:color w:val="auto"/>
              </w:rPr>
            </w:pPr>
          </w:p>
        </w:tc>
        <w:tc>
          <w:tcPr>
            <w:tcW w:w="520" w:type="dxa"/>
            <w:vAlign w:val="bottom"/>
            <w:tcBorders>
              <w:bottom w:val="single" w:sz="8" w:color="88888B"/>
            </w:tcBorders>
          </w:tcPr>
          <w:p>
            <w:pPr>
              <w:spacing w:after="0"/>
              <w:rPr>
                <w:sz w:val="2"/>
                <w:szCs w:val="2"/>
                <w:color w:val="auto"/>
              </w:rPr>
            </w:pPr>
          </w:p>
        </w:tc>
        <w:tc>
          <w:tcPr>
            <w:tcW w:w="3420" w:type="dxa"/>
            <w:vAlign w:val="bottom"/>
            <w:tcBorders>
              <w:bottom w:val="single" w:sz="8" w:color="88888B"/>
            </w:tcBorders>
          </w:tcPr>
          <w:p>
            <w:pPr>
              <w:spacing w:after="0"/>
              <w:rPr>
                <w:sz w:val="2"/>
                <w:szCs w:val="2"/>
                <w:color w:val="auto"/>
              </w:rPr>
            </w:pPr>
          </w:p>
        </w:tc>
        <w:tc>
          <w:tcPr>
            <w:tcW w:w="1420" w:type="dxa"/>
            <w:vAlign w:val="bottom"/>
            <w:tcBorders>
              <w:bottom w:val="single" w:sz="8" w:color="88888B"/>
            </w:tcBorders>
          </w:tcPr>
          <w:p>
            <w:pPr>
              <w:spacing w:after="0"/>
              <w:rPr>
                <w:sz w:val="2"/>
                <w:szCs w:val="2"/>
                <w:color w:val="auto"/>
              </w:rPr>
            </w:pPr>
          </w:p>
        </w:tc>
        <w:tc>
          <w:tcPr>
            <w:tcW w:w="600" w:type="dxa"/>
            <w:vAlign w:val="bottom"/>
            <w:tcBorders>
              <w:bottom w:val="single" w:sz="8" w:color="88888B"/>
            </w:tcBorders>
          </w:tcPr>
          <w:p>
            <w:pPr>
              <w:spacing w:after="0"/>
              <w:rPr>
                <w:sz w:val="2"/>
                <w:szCs w:val="2"/>
                <w:color w:val="auto"/>
              </w:rPr>
            </w:pPr>
          </w:p>
        </w:tc>
        <w:tc>
          <w:tcPr>
            <w:tcW w:w="1340" w:type="dxa"/>
            <w:vAlign w:val="bottom"/>
            <w:tcBorders>
              <w:bottom w:val="single" w:sz="8" w:color="88888B"/>
            </w:tcBorders>
          </w:tcPr>
          <w:p>
            <w:pPr>
              <w:spacing w:after="0"/>
              <w:rPr>
                <w:sz w:val="2"/>
                <w:szCs w:val="2"/>
                <w:color w:val="auto"/>
              </w:rPr>
            </w:pPr>
          </w:p>
        </w:tc>
        <w:tc>
          <w:tcPr>
            <w:tcW w:w="1160" w:type="dxa"/>
            <w:vAlign w:val="bottom"/>
            <w:tcBorders>
              <w:bottom w:val="single" w:sz="8" w:color="88888B"/>
            </w:tcBorders>
          </w:tcPr>
          <w:p>
            <w:pPr>
              <w:spacing w:after="0"/>
              <w:rPr>
                <w:sz w:val="2"/>
                <w:szCs w:val="2"/>
                <w:color w:val="auto"/>
              </w:rPr>
            </w:pPr>
          </w:p>
        </w:tc>
        <w:tc>
          <w:tcPr>
            <w:tcW w:w="118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55565A"/>
              </w:rPr>
              <w:t>   “Big 3” Segments Combined</w:t>
            </w:r>
          </w:p>
        </w:tc>
        <w:tc>
          <w:tcPr>
            <w:tcW w:w="14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716</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55565A"/>
              </w:rPr>
              <w:t>621</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15%</w:t>
            </w:r>
          </w:p>
        </w:tc>
        <w:tc>
          <w:tcPr>
            <w:tcW w:w="11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w:t>
            </w:r>
          </w:p>
        </w:tc>
        <w:tc>
          <w:tcPr>
            <w:tcW w:w="11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3"/>
          </w:tcPr>
          <w:p>
            <w:pPr>
              <w:ind w:left="60"/>
              <w:spacing w:after="0"/>
              <w:rPr>
                <w:sz w:val="20"/>
                <w:szCs w:val="20"/>
                <w:color w:val="auto"/>
              </w:rPr>
            </w:pPr>
            <w:r>
              <w:rPr>
                <w:rFonts w:ascii="Arial" w:cs="Arial" w:eastAsia="Arial" w:hAnsi="Arial"/>
                <w:sz w:val="14"/>
                <w:szCs w:val="14"/>
                <w:b w:val="1"/>
                <w:bCs w:val="1"/>
                <w:color w:val="55565A"/>
              </w:rPr>
              <w:t>   Reuters News</w:t>
            </w:r>
          </w:p>
        </w:tc>
        <w:tc>
          <w:tcPr>
            <w:tcW w:w="1420" w:type="dxa"/>
            <w:vAlign w:val="bottom"/>
          </w:tcPr>
          <w:p>
            <w:pPr>
              <w:jc w:val="right"/>
              <w:ind w:right="109"/>
              <w:spacing w:after="0"/>
              <w:rPr>
                <w:sz w:val="20"/>
                <w:szCs w:val="20"/>
                <w:color w:val="auto"/>
              </w:rPr>
            </w:pPr>
            <w:r>
              <w:rPr>
                <w:rFonts w:ascii="Arial" w:cs="Arial" w:eastAsia="Arial" w:hAnsi="Arial"/>
                <w:sz w:val="14"/>
                <w:szCs w:val="14"/>
                <w:b w:val="1"/>
                <w:bCs w:val="1"/>
                <w:color w:val="55565A"/>
              </w:rPr>
              <w:t>60</w:t>
            </w:r>
          </w:p>
        </w:tc>
        <w:tc>
          <w:tcPr>
            <w:tcW w:w="600" w:type="dxa"/>
            <w:vAlign w:val="bottom"/>
          </w:tcPr>
          <w:p>
            <w:pPr>
              <w:jc w:val="right"/>
              <w:spacing w:after="0"/>
              <w:rPr>
                <w:sz w:val="20"/>
                <w:szCs w:val="20"/>
                <w:color w:val="auto"/>
              </w:rPr>
            </w:pPr>
            <w:r>
              <w:rPr>
                <w:rFonts w:ascii="Arial" w:cs="Arial" w:eastAsia="Arial" w:hAnsi="Arial"/>
                <w:sz w:val="14"/>
                <w:szCs w:val="14"/>
                <w:color w:val="55565A"/>
              </w:rPr>
              <w:t>29</w:t>
            </w:r>
          </w:p>
        </w:tc>
        <w:tc>
          <w:tcPr>
            <w:tcW w:w="1340" w:type="dxa"/>
            <w:vAlign w:val="bottom"/>
          </w:tcPr>
          <w:p>
            <w:pPr>
              <w:jc w:val="right"/>
              <w:ind w:right="209"/>
              <w:spacing w:after="0"/>
              <w:rPr>
                <w:sz w:val="20"/>
                <w:szCs w:val="20"/>
                <w:color w:val="auto"/>
              </w:rPr>
            </w:pPr>
            <w:r>
              <w:rPr>
                <w:rFonts w:ascii="Arial" w:cs="Arial" w:eastAsia="Arial" w:hAnsi="Arial"/>
                <w:sz w:val="14"/>
                <w:szCs w:val="14"/>
                <w:color w:val="55565A"/>
              </w:rPr>
              <w:t>105%</w:t>
            </w: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(4%)</w:t>
            </w:r>
          </w:p>
        </w:tc>
        <w:tc>
          <w:tcPr>
            <w:tcW w:w="1180" w:type="dxa"/>
            <w:vAlign w:val="bottom"/>
          </w:tcPr>
          <w:p>
            <w:pPr>
              <w:jc w:val="right"/>
              <w:ind w:right="249"/>
              <w:spacing w:after="0"/>
              <w:rPr>
                <w:sz w:val="20"/>
                <w:szCs w:val="20"/>
                <w:color w:val="auto"/>
              </w:rPr>
            </w:pPr>
            <w:r>
              <w:rPr>
                <w:rFonts w:ascii="Arial" w:cs="Arial" w:eastAsia="Arial" w:hAnsi="Arial"/>
                <w:sz w:val="14"/>
                <w:szCs w:val="14"/>
                <w:color w:val="55565A"/>
              </w:rPr>
              <w:t>109%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55565A"/>
              </w:rPr>
              <w:t>   Global Print</w:t>
            </w:r>
          </w:p>
        </w:tc>
        <w:tc>
          <w:tcPr>
            <w:tcW w:w="14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47</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55565A"/>
              </w:rPr>
              <w:t>50</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(6%)</w:t>
            </w:r>
          </w:p>
        </w:tc>
        <w:tc>
          <w:tcPr>
            <w:tcW w:w="11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1%</w:t>
            </w:r>
          </w:p>
        </w:tc>
        <w:tc>
          <w:tcPr>
            <w:tcW w:w="11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(7%)</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3"/>
          </w:tcPr>
          <w:p>
            <w:pPr>
              <w:ind w:left="60"/>
              <w:spacing w:after="0"/>
              <w:rPr>
                <w:sz w:val="20"/>
                <w:szCs w:val="20"/>
                <w:color w:val="auto"/>
              </w:rPr>
            </w:pPr>
            <w:r>
              <w:rPr>
                <w:rFonts w:ascii="Arial" w:cs="Arial" w:eastAsia="Arial" w:hAnsi="Arial"/>
                <w:sz w:val="14"/>
                <w:szCs w:val="14"/>
                <w:b w:val="1"/>
                <w:bCs w:val="1"/>
                <w:color w:val="55565A"/>
              </w:rPr>
              <w:t>   Corporate costs</w:t>
            </w:r>
          </w:p>
        </w:tc>
        <w:tc>
          <w:tcPr>
            <w:tcW w:w="1420" w:type="dxa"/>
            <w:vAlign w:val="bottom"/>
          </w:tcPr>
          <w:p>
            <w:pPr>
              <w:jc w:val="right"/>
              <w:ind w:right="109"/>
              <w:spacing w:after="0"/>
              <w:rPr>
                <w:sz w:val="20"/>
                <w:szCs w:val="20"/>
                <w:color w:val="auto"/>
              </w:rPr>
            </w:pPr>
            <w:r>
              <w:rPr>
                <w:rFonts w:ascii="Arial" w:cs="Arial" w:eastAsia="Arial" w:hAnsi="Arial"/>
                <w:sz w:val="14"/>
                <w:szCs w:val="14"/>
                <w:b w:val="1"/>
                <w:bCs w:val="1"/>
                <w:color w:val="55565A"/>
              </w:rPr>
              <w:t>(17)</w:t>
            </w:r>
          </w:p>
        </w:tc>
        <w:tc>
          <w:tcPr>
            <w:tcW w:w="600" w:type="dxa"/>
            <w:vAlign w:val="bottom"/>
          </w:tcPr>
          <w:p>
            <w:pPr>
              <w:jc w:val="right"/>
              <w:spacing w:after="0"/>
              <w:rPr>
                <w:sz w:val="20"/>
                <w:szCs w:val="20"/>
                <w:color w:val="auto"/>
              </w:rPr>
            </w:pPr>
            <w:r>
              <w:rPr>
                <w:rFonts w:ascii="Arial" w:cs="Arial" w:eastAsia="Arial" w:hAnsi="Arial"/>
                <w:sz w:val="14"/>
                <w:szCs w:val="14"/>
                <w:color w:val="55565A"/>
              </w:rPr>
              <w:t>(23)</w:t>
            </w:r>
          </w:p>
        </w:tc>
        <w:tc>
          <w:tcPr>
            <w:tcW w:w="1340" w:type="dxa"/>
            <w:vAlign w:val="bottom"/>
          </w:tcPr>
          <w:p>
            <w:pPr>
              <w:jc w:val="right"/>
              <w:ind w:right="209"/>
              <w:spacing w:after="0"/>
              <w:rPr>
                <w:sz w:val="20"/>
                <w:szCs w:val="20"/>
                <w:color w:val="auto"/>
              </w:rPr>
            </w:pPr>
            <w:r>
              <w:rPr>
                <w:rFonts w:ascii="Arial" w:cs="Arial" w:eastAsia="Arial" w:hAnsi="Arial"/>
                <w:sz w:val="14"/>
                <w:szCs w:val="14"/>
                <w:color w:val="55565A"/>
              </w:rPr>
              <w:t>n/a</w:t>
            </w: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n/a</w:t>
            </w:r>
          </w:p>
        </w:tc>
        <w:tc>
          <w:tcPr>
            <w:tcW w:w="1180" w:type="dxa"/>
            <w:vAlign w:val="bottom"/>
          </w:tcPr>
          <w:p>
            <w:pPr>
              <w:jc w:val="right"/>
              <w:ind w:right="249"/>
              <w:spacing w:after="0"/>
              <w:rPr>
                <w:sz w:val="20"/>
                <w:szCs w:val="20"/>
                <w:color w:val="auto"/>
              </w:rPr>
            </w:pPr>
            <w:r>
              <w:rPr>
                <w:rFonts w:ascii="Arial" w:cs="Arial" w:eastAsia="Arial" w:hAnsi="Arial"/>
                <w:sz w:val="14"/>
                <w:szCs w:val="14"/>
                <w:color w:val="55565A"/>
              </w:rPr>
              <w:t>n/a</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Borders>
              <w:bottom w:val="single" w:sz="8" w:color="88888B"/>
            </w:tcBorders>
          </w:tcPr>
          <w:p>
            <w:pPr>
              <w:spacing w:after="0"/>
              <w:rPr>
                <w:sz w:val="2"/>
                <w:szCs w:val="2"/>
                <w:color w:val="auto"/>
              </w:rPr>
            </w:pPr>
          </w:p>
        </w:tc>
        <w:tc>
          <w:tcPr>
            <w:tcW w:w="1180" w:type="dxa"/>
            <w:vAlign w:val="bottom"/>
            <w:tcBorders>
              <w:bottom w:val="single" w:sz="8" w:color="88888B"/>
            </w:tcBorders>
          </w:tcPr>
          <w:p>
            <w:pPr>
              <w:spacing w:after="0"/>
              <w:rPr>
                <w:sz w:val="2"/>
                <w:szCs w:val="2"/>
                <w:color w:val="auto"/>
              </w:rPr>
            </w:pPr>
          </w:p>
        </w:tc>
        <w:tc>
          <w:tcPr>
            <w:tcW w:w="520" w:type="dxa"/>
            <w:vAlign w:val="bottom"/>
            <w:tcBorders>
              <w:bottom w:val="single" w:sz="8" w:color="88888B"/>
            </w:tcBorders>
          </w:tcPr>
          <w:p>
            <w:pPr>
              <w:spacing w:after="0"/>
              <w:rPr>
                <w:sz w:val="2"/>
                <w:szCs w:val="2"/>
                <w:color w:val="auto"/>
              </w:rPr>
            </w:pPr>
          </w:p>
        </w:tc>
        <w:tc>
          <w:tcPr>
            <w:tcW w:w="3420" w:type="dxa"/>
            <w:vAlign w:val="bottom"/>
            <w:tcBorders>
              <w:bottom w:val="single" w:sz="8" w:color="88888B"/>
            </w:tcBorders>
          </w:tcPr>
          <w:p>
            <w:pPr>
              <w:spacing w:after="0"/>
              <w:rPr>
                <w:sz w:val="2"/>
                <w:szCs w:val="2"/>
                <w:color w:val="auto"/>
              </w:rPr>
            </w:pPr>
          </w:p>
        </w:tc>
        <w:tc>
          <w:tcPr>
            <w:tcW w:w="1420" w:type="dxa"/>
            <w:vAlign w:val="bottom"/>
            <w:tcBorders>
              <w:bottom w:val="single" w:sz="8" w:color="88888B"/>
            </w:tcBorders>
          </w:tcPr>
          <w:p>
            <w:pPr>
              <w:spacing w:after="0"/>
              <w:rPr>
                <w:sz w:val="2"/>
                <w:szCs w:val="2"/>
                <w:color w:val="auto"/>
              </w:rPr>
            </w:pPr>
          </w:p>
        </w:tc>
        <w:tc>
          <w:tcPr>
            <w:tcW w:w="600" w:type="dxa"/>
            <w:vAlign w:val="bottom"/>
            <w:tcBorders>
              <w:bottom w:val="single" w:sz="8" w:color="88888B"/>
            </w:tcBorders>
          </w:tcPr>
          <w:p>
            <w:pPr>
              <w:spacing w:after="0"/>
              <w:rPr>
                <w:sz w:val="2"/>
                <w:szCs w:val="2"/>
                <w:color w:val="auto"/>
              </w:rPr>
            </w:pPr>
          </w:p>
        </w:tc>
        <w:tc>
          <w:tcPr>
            <w:tcW w:w="1340" w:type="dxa"/>
            <w:vAlign w:val="bottom"/>
            <w:tcBorders>
              <w:bottom w:val="single" w:sz="8" w:color="88888B"/>
            </w:tcBorders>
          </w:tcPr>
          <w:p>
            <w:pPr>
              <w:spacing w:after="0"/>
              <w:rPr>
                <w:sz w:val="2"/>
                <w:szCs w:val="2"/>
                <w:color w:val="auto"/>
              </w:rPr>
            </w:pPr>
          </w:p>
        </w:tc>
        <w:tc>
          <w:tcPr>
            <w:tcW w:w="1160" w:type="dxa"/>
            <w:vAlign w:val="bottom"/>
            <w:tcBorders>
              <w:bottom w:val="single" w:sz="8" w:color="88888B"/>
            </w:tcBorders>
          </w:tcPr>
          <w:p>
            <w:pPr>
              <w:spacing w:after="0"/>
              <w:rPr>
                <w:sz w:val="2"/>
                <w:szCs w:val="2"/>
                <w:color w:val="auto"/>
              </w:rPr>
            </w:pPr>
          </w:p>
        </w:tc>
        <w:tc>
          <w:tcPr>
            <w:tcW w:w="118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200" w:type="dxa"/>
            <w:vAlign w:val="bottom"/>
            <w:tcBorders>
              <w:bottom w:val="single" w:sz="8" w:color="88888B"/>
            </w:tcBorders>
            <w:gridSpan w:val="4"/>
            <w:shd w:val="clear" w:color="auto" w:fill="CCEEFF"/>
          </w:tcPr>
          <w:p>
            <w:pPr>
              <w:spacing w:after="0"/>
              <w:rPr>
                <w:sz w:val="20"/>
                <w:szCs w:val="20"/>
                <w:color w:val="auto"/>
              </w:rPr>
            </w:pPr>
            <w:r>
              <w:rPr>
                <w:rFonts w:ascii="Arial" w:cs="Arial" w:eastAsia="Arial" w:hAnsi="Arial"/>
                <w:sz w:val="14"/>
                <w:szCs w:val="14"/>
                <w:b w:val="1"/>
                <w:bCs w:val="1"/>
                <w:color w:val="55565A"/>
              </w:rPr>
              <w:t>   Adjusted EBITDA</w:t>
            </w:r>
          </w:p>
        </w:tc>
        <w:tc>
          <w:tcPr>
            <w:tcW w:w="142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806</w:t>
            </w:r>
          </w:p>
        </w:tc>
        <w:tc>
          <w:tcPr>
            <w:tcW w:w="60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4"/>
                <w:szCs w:val="14"/>
                <w:color w:val="55565A"/>
              </w:rPr>
              <w:t>677</w:t>
            </w:r>
          </w:p>
        </w:tc>
        <w:tc>
          <w:tcPr>
            <w:tcW w:w="1340" w:type="dxa"/>
            <w:vAlign w:val="bottom"/>
            <w:tcBorders>
              <w:bottom w:val="single" w:sz="8" w:color="88888B"/>
            </w:tcBorders>
            <w:shd w:val="clear" w:color="auto" w:fill="CCEEFF"/>
          </w:tcPr>
          <w:p>
            <w:pPr>
              <w:jc w:val="right"/>
              <w:ind w:right="209"/>
              <w:spacing w:after="0"/>
              <w:rPr>
                <w:sz w:val="20"/>
                <w:szCs w:val="20"/>
                <w:color w:val="auto"/>
              </w:rPr>
            </w:pPr>
            <w:r>
              <w:rPr>
                <w:rFonts w:ascii="Arial" w:cs="Arial" w:eastAsia="Arial" w:hAnsi="Arial"/>
                <w:sz w:val="14"/>
                <w:szCs w:val="14"/>
                <w:color w:val="55565A"/>
              </w:rPr>
              <w:t>19%</w:t>
            </w:r>
          </w:p>
        </w:tc>
        <w:tc>
          <w:tcPr>
            <w:tcW w:w="116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w:t>
            </w:r>
          </w:p>
        </w:tc>
        <w:tc>
          <w:tcPr>
            <w:tcW w:w="118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color w:val="55565A"/>
              </w:rPr>
              <w:t>19%</w:t>
            </w:r>
          </w:p>
        </w:tc>
        <w:tc>
          <w:tcPr>
            <w:tcW w:w="0" w:type="dxa"/>
            <w:vAlign w:val="bottom"/>
          </w:tcPr>
          <w:p>
            <w:pPr>
              <w:spacing w:after="0"/>
              <w:rPr>
                <w:sz w:val="1"/>
                <w:szCs w:val="1"/>
                <w:color w:val="auto"/>
              </w:rPr>
            </w:pPr>
          </w:p>
        </w:tc>
      </w:tr>
      <w:tr>
        <w:trPr>
          <w:trHeight w:val="241"/>
        </w:trPr>
        <w:tc>
          <w:tcPr>
            <w:tcW w:w="5220" w:type="dxa"/>
            <w:vAlign w:val="bottom"/>
            <w:gridSpan w:val="5"/>
          </w:tcPr>
          <w:p>
            <w:pPr>
              <w:spacing w:after="0"/>
              <w:rPr>
                <w:sz w:val="20"/>
                <w:szCs w:val="20"/>
                <w:color w:val="auto"/>
              </w:rPr>
            </w:pPr>
            <w:r>
              <w:rPr>
                <w:rFonts w:ascii="Arial" w:cs="Arial" w:eastAsia="Arial" w:hAnsi="Arial"/>
                <w:sz w:val="14"/>
                <w:szCs w:val="14"/>
                <w:b w:val="1"/>
                <w:bCs w:val="1"/>
                <w:color w:val="55565A"/>
              </w:rPr>
              <w:t>   Adjusted EBITDA margin</w:t>
            </w:r>
          </w:p>
        </w:tc>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Borders>
              <w:top w:val="single" w:sz="8" w:color="55565A"/>
            </w:tcBorders>
          </w:tcPr>
          <w:p>
            <w:pPr>
              <w:spacing w:after="0"/>
              <w:rPr>
                <w:sz w:val="5"/>
                <w:szCs w:val="5"/>
                <w:color w:val="auto"/>
              </w:rPr>
            </w:pPr>
          </w:p>
        </w:tc>
        <w:tc>
          <w:tcPr>
            <w:tcW w:w="520" w:type="dxa"/>
            <w:vAlign w:val="bottom"/>
            <w:tcBorders>
              <w:top w:val="single" w:sz="8" w:color="55565A"/>
            </w:tcBorders>
          </w:tcPr>
          <w:p>
            <w:pPr>
              <w:spacing w:after="0"/>
              <w:rPr>
                <w:sz w:val="5"/>
                <w:szCs w:val="5"/>
                <w:color w:val="auto"/>
              </w:rPr>
            </w:pPr>
          </w:p>
        </w:tc>
        <w:tc>
          <w:tcPr>
            <w:tcW w:w="3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55565A"/>
              </w:rPr>
              <w:t>   Legal Professionals</w:t>
            </w:r>
          </w:p>
        </w:tc>
        <w:tc>
          <w:tcPr>
            <w:tcW w:w="14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47.4%</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55565A"/>
              </w:rPr>
              <w:t>44.6%</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280bp</w:t>
            </w:r>
          </w:p>
        </w:tc>
        <w:tc>
          <w:tcPr>
            <w:tcW w:w="11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(30)bp</w:t>
            </w:r>
          </w:p>
        </w:tc>
        <w:tc>
          <w:tcPr>
            <w:tcW w:w="11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310bp</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3"/>
          </w:tcPr>
          <w:p>
            <w:pPr>
              <w:ind w:left="60"/>
              <w:spacing w:after="0"/>
              <w:rPr>
                <w:sz w:val="20"/>
                <w:szCs w:val="20"/>
                <w:color w:val="auto"/>
              </w:rPr>
            </w:pPr>
            <w:r>
              <w:rPr>
                <w:rFonts w:ascii="Arial" w:cs="Arial" w:eastAsia="Arial" w:hAnsi="Arial"/>
                <w:sz w:val="14"/>
                <w:szCs w:val="14"/>
                <w:b w:val="1"/>
                <w:bCs w:val="1"/>
                <w:color w:val="55565A"/>
              </w:rPr>
              <w:t>   Corporates</w:t>
            </w:r>
          </w:p>
        </w:tc>
        <w:tc>
          <w:tcPr>
            <w:tcW w:w="1420" w:type="dxa"/>
            <w:vAlign w:val="bottom"/>
          </w:tcPr>
          <w:p>
            <w:pPr>
              <w:jc w:val="right"/>
              <w:ind w:right="109"/>
              <w:spacing w:after="0"/>
              <w:rPr>
                <w:sz w:val="20"/>
                <w:szCs w:val="20"/>
                <w:color w:val="auto"/>
              </w:rPr>
            </w:pPr>
            <w:r>
              <w:rPr>
                <w:rFonts w:ascii="Arial" w:cs="Arial" w:eastAsia="Arial" w:hAnsi="Arial"/>
                <w:sz w:val="14"/>
                <w:szCs w:val="14"/>
                <w:b w:val="1"/>
                <w:bCs w:val="1"/>
                <w:color w:val="55565A"/>
              </w:rPr>
              <w:t>37.8%</w:t>
            </w:r>
          </w:p>
        </w:tc>
        <w:tc>
          <w:tcPr>
            <w:tcW w:w="600" w:type="dxa"/>
            <w:vAlign w:val="bottom"/>
          </w:tcPr>
          <w:p>
            <w:pPr>
              <w:jc w:val="right"/>
              <w:spacing w:after="0"/>
              <w:rPr>
                <w:sz w:val="20"/>
                <w:szCs w:val="20"/>
                <w:color w:val="auto"/>
              </w:rPr>
            </w:pPr>
            <w:r>
              <w:rPr>
                <w:rFonts w:ascii="Arial" w:cs="Arial" w:eastAsia="Arial" w:hAnsi="Arial"/>
                <w:sz w:val="14"/>
                <w:szCs w:val="14"/>
                <w:color w:val="55565A"/>
              </w:rPr>
              <w:t>35.1%</w:t>
            </w:r>
          </w:p>
        </w:tc>
        <w:tc>
          <w:tcPr>
            <w:tcW w:w="1340" w:type="dxa"/>
            <w:vAlign w:val="bottom"/>
          </w:tcPr>
          <w:p>
            <w:pPr>
              <w:jc w:val="right"/>
              <w:ind w:right="209"/>
              <w:spacing w:after="0"/>
              <w:rPr>
                <w:sz w:val="20"/>
                <w:szCs w:val="20"/>
                <w:color w:val="auto"/>
              </w:rPr>
            </w:pPr>
            <w:r>
              <w:rPr>
                <w:rFonts w:ascii="Arial" w:cs="Arial" w:eastAsia="Arial" w:hAnsi="Arial"/>
                <w:sz w:val="14"/>
                <w:szCs w:val="14"/>
                <w:color w:val="55565A"/>
              </w:rPr>
              <w:t>270bp</w:t>
            </w: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10bp</w:t>
            </w:r>
          </w:p>
        </w:tc>
        <w:tc>
          <w:tcPr>
            <w:tcW w:w="1180" w:type="dxa"/>
            <w:vAlign w:val="bottom"/>
          </w:tcPr>
          <w:p>
            <w:pPr>
              <w:jc w:val="right"/>
              <w:ind w:right="249"/>
              <w:spacing w:after="0"/>
              <w:rPr>
                <w:sz w:val="20"/>
                <w:szCs w:val="20"/>
                <w:color w:val="auto"/>
              </w:rPr>
            </w:pPr>
            <w:r>
              <w:rPr>
                <w:rFonts w:ascii="Arial" w:cs="Arial" w:eastAsia="Arial" w:hAnsi="Arial"/>
                <w:sz w:val="14"/>
                <w:szCs w:val="14"/>
                <w:color w:val="55565A"/>
              </w:rPr>
              <w:t>260bp</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88888B"/>
            </w:tcBorders>
            <w:shd w:val="clear" w:color="auto" w:fill="CCEEFF"/>
          </w:tcPr>
          <w:p>
            <w:pPr>
              <w:spacing w:after="0"/>
              <w:rPr>
                <w:sz w:val="18"/>
                <w:szCs w:val="18"/>
                <w:color w:val="auto"/>
              </w:rPr>
            </w:pPr>
          </w:p>
        </w:tc>
        <w:tc>
          <w:tcPr>
            <w:tcW w:w="5120" w:type="dxa"/>
            <w:vAlign w:val="bottom"/>
            <w:tcBorders>
              <w:bottom w:val="single" w:sz="8" w:color="88888B"/>
            </w:tcBorders>
            <w:gridSpan w:val="3"/>
            <w:shd w:val="clear" w:color="auto" w:fill="CCEEFF"/>
          </w:tcPr>
          <w:p>
            <w:pPr>
              <w:ind w:left="60"/>
              <w:spacing w:after="0"/>
              <w:rPr>
                <w:sz w:val="20"/>
                <w:szCs w:val="20"/>
                <w:color w:val="auto"/>
              </w:rPr>
            </w:pPr>
            <w:r>
              <w:rPr>
                <w:rFonts w:ascii="Arial" w:cs="Arial" w:eastAsia="Arial" w:hAnsi="Arial"/>
                <w:sz w:val="14"/>
                <w:szCs w:val="14"/>
                <w:b w:val="1"/>
                <w:bCs w:val="1"/>
                <w:color w:val="55565A"/>
              </w:rPr>
              <w:t>   Tax &amp; Accounting Professionals</w:t>
            </w:r>
          </w:p>
        </w:tc>
        <w:tc>
          <w:tcPr>
            <w:tcW w:w="142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55.0%</w:t>
            </w:r>
          </w:p>
        </w:tc>
        <w:tc>
          <w:tcPr>
            <w:tcW w:w="60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4"/>
                <w:szCs w:val="14"/>
                <w:color w:val="55565A"/>
              </w:rPr>
              <w:t>51.4%</w:t>
            </w:r>
          </w:p>
        </w:tc>
        <w:tc>
          <w:tcPr>
            <w:tcW w:w="1340" w:type="dxa"/>
            <w:vAlign w:val="bottom"/>
            <w:tcBorders>
              <w:bottom w:val="single" w:sz="8" w:color="88888B"/>
            </w:tcBorders>
            <w:shd w:val="clear" w:color="auto" w:fill="CCEEFF"/>
          </w:tcPr>
          <w:p>
            <w:pPr>
              <w:jc w:val="right"/>
              <w:ind w:right="209"/>
              <w:spacing w:after="0"/>
              <w:rPr>
                <w:sz w:val="20"/>
                <w:szCs w:val="20"/>
                <w:color w:val="auto"/>
              </w:rPr>
            </w:pPr>
            <w:r>
              <w:rPr>
                <w:rFonts w:ascii="Arial" w:cs="Arial" w:eastAsia="Arial" w:hAnsi="Arial"/>
                <w:sz w:val="14"/>
                <w:szCs w:val="14"/>
                <w:color w:val="55565A"/>
              </w:rPr>
              <w:t>360bp</w:t>
            </w:r>
          </w:p>
        </w:tc>
        <w:tc>
          <w:tcPr>
            <w:tcW w:w="116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w:t>
            </w:r>
          </w:p>
        </w:tc>
        <w:tc>
          <w:tcPr>
            <w:tcW w:w="118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color w:val="55565A"/>
              </w:rPr>
              <w:t>360bp</w:t>
            </w:r>
          </w:p>
        </w:tc>
        <w:tc>
          <w:tcPr>
            <w:tcW w:w="0" w:type="dxa"/>
            <w:vAlign w:val="bottom"/>
          </w:tcPr>
          <w:p>
            <w:pPr>
              <w:spacing w:after="0"/>
              <w:rPr>
                <w:sz w:val="1"/>
                <w:szCs w:val="1"/>
                <w:color w:val="auto"/>
              </w:rPr>
            </w:pPr>
          </w:p>
        </w:tc>
      </w:tr>
      <w:tr>
        <w:trPr>
          <w:trHeight w:val="226"/>
        </w:trPr>
        <w:tc>
          <w:tcPr>
            <w:tcW w:w="5220" w:type="dxa"/>
            <w:vAlign w:val="bottom"/>
            <w:gridSpan w:val="5"/>
          </w:tcPr>
          <w:p>
            <w:pPr>
              <w:spacing w:after="0"/>
              <w:rPr>
                <w:sz w:val="20"/>
                <w:szCs w:val="20"/>
                <w:color w:val="auto"/>
              </w:rPr>
            </w:pPr>
            <w:r>
              <w:rPr>
                <w:rFonts w:ascii="Arial" w:cs="Arial" w:eastAsia="Arial" w:hAnsi="Arial"/>
                <w:sz w:val="14"/>
                <w:szCs w:val="14"/>
                <w:b w:val="1"/>
                <w:bCs w:val="1"/>
                <w:color w:val="55565A"/>
              </w:rPr>
              <w:t>   “Big 3” Segments Combined</w:t>
            </w:r>
          </w:p>
        </w:tc>
        <w:tc>
          <w:tcPr>
            <w:tcW w:w="1420" w:type="dxa"/>
            <w:vAlign w:val="bottom"/>
          </w:tcPr>
          <w:p>
            <w:pPr>
              <w:jc w:val="right"/>
              <w:ind w:right="109"/>
              <w:spacing w:after="0"/>
              <w:rPr>
                <w:sz w:val="20"/>
                <w:szCs w:val="20"/>
                <w:color w:val="auto"/>
              </w:rPr>
            </w:pPr>
            <w:r>
              <w:rPr>
                <w:rFonts w:ascii="Arial" w:cs="Arial" w:eastAsia="Arial" w:hAnsi="Arial"/>
                <w:sz w:val="14"/>
                <w:szCs w:val="14"/>
                <w:b w:val="1"/>
                <w:bCs w:val="1"/>
                <w:color w:val="55565A"/>
              </w:rPr>
              <w:t>45.8%</w:t>
            </w:r>
          </w:p>
        </w:tc>
        <w:tc>
          <w:tcPr>
            <w:tcW w:w="600" w:type="dxa"/>
            <w:vAlign w:val="bottom"/>
          </w:tcPr>
          <w:p>
            <w:pPr>
              <w:jc w:val="right"/>
              <w:spacing w:after="0"/>
              <w:rPr>
                <w:sz w:val="20"/>
                <w:szCs w:val="20"/>
                <w:color w:val="auto"/>
              </w:rPr>
            </w:pPr>
            <w:r>
              <w:rPr>
                <w:rFonts w:ascii="Arial" w:cs="Arial" w:eastAsia="Arial" w:hAnsi="Arial"/>
                <w:sz w:val="14"/>
                <w:szCs w:val="14"/>
                <w:color w:val="55565A"/>
              </w:rPr>
              <w:t>43.1%</w:t>
            </w:r>
          </w:p>
        </w:tc>
        <w:tc>
          <w:tcPr>
            <w:tcW w:w="1340" w:type="dxa"/>
            <w:vAlign w:val="bottom"/>
          </w:tcPr>
          <w:p>
            <w:pPr>
              <w:jc w:val="right"/>
              <w:ind w:right="209"/>
              <w:spacing w:after="0"/>
              <w:rPr>
                <w:sz w:val="20"/>
                <w:szCs w:val="20"/>
                <w:color w:val="auto"/>
              </w:rPr>
            </w:pPr>
            <w:r>
              <w:rPr>
                <w:rFonts w:ascii="Arial" w:cs="Arial" w:eastAsia="Arial" w:hAnsi="Arial"/>
                <w:sz w:val="14"/>
                <w:szCs w:val="14"/>
                <w:color w:val="55565A"/>
              </w:rPr>
              <w:t>270bp</w:t>
            </w: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(20)bp</w:t>
            </w:r>
          </w:p>
        </w:tc>
        <w:tc>
          <w:tcPr>
            <w:tcW w:w="1180" w:type="dxa"/>
            <w:vAlign w:val="bottom"/>
          </w:tcPr>
          <w:p>
            <w:pPr>
              <w:jc w:val="right"/>
              <w:ind w:right="249"/>
              <w:spacing w:after="0"/>
              <w:rPr>
                <w:sz w:val="20"/>
                <w:szCs w:val="20"/>
                <w:color w:val="auto"/>
              </w:rPr>
            </w:pPr>
            <w:r>
              <w:rPr>
                <w:rFonts w:ascii="Arial" w:cs="Arial" w:eastAsia="Arial" w:hAnsi="Arial"/>
                <w:sz w:val="14"/>
                <w:szCs w:val="14"/>
                <w:color w:val="55565A"/>
              </w:rPr>
              <w:t>290bp</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55565A"/>
              </w:rPr>
              <w:t>   Reuters News</w:t>
            </w:r>
          </w:p>
        </w:tc>
        <w:tc>
          <w:tcPr>
            <w:tcW w:w="14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28.3%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55565A"/>
              </w:rPr>
              <w:t>16.6%</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1170bp</w:t>
            </w:r>
          </w:p>
        </w:tc>
        <w:tc>
          <w:tcPr>
            <w:tcW w:w="11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(20)bp</w:t>
            </w:r>
          </w:p>
        </w:tc>
        <w:tc>
          <w:tcPr>
            <w:tcW w:w="11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1190bp</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3"/>
          </w:tcPr>
          <w:p>
            <w:pPr>
              <w:ind w:left="60"/>
              <w:spacing w:after="0"/>
              <w:rPr>
                <w:sz w:val="20"/>
                <w:szCs w:val="20"/>
                <w:color w:val="auto"/>
              </w:rPr>
            </w:pPr>
            <w:r>
              <w:rPr>
                <w:rFonts w:ascii="Arial" w:cs="Arial" w:eastAsia="Arial" w:hAnsi="Arial"/>
                <w:sz w:val="14"/>
                <w:szCs w:val="14"/>
                <w:b w:val="1"/>
                <w:bCs w:val="1"/>
                <w:color w:val="55565A"/>
              </w:rPr>
              <w:t>   Global Print</w:t>
            </w:r>
          </w:p>
        </w:tc>
        <w:tc>
          <w:tcPr>
            <w:tcW w:w="1420" w:type="dxa"/>
            <w:vAlign w:val="bottom"/>
          </w:tcPr>
          <w:p>
            <w:pPr>
              <w:jc w:val="right"/>
              <w:ind w:right="109"/>
              <w:spacing w:after="0"/>
              <w:rPr>
                <w:sz w:val="20"/>
                <w:szCs w:val="20"/>
                <w:color w:val="auto"/>
              </w:rPr>
            </w:pPr>
            <w:r>
              <w:rPr>
                <w:rFonts w:ascii="Arial" w:cs="Arial" w:eastAsia="Arial" w:hAnsi="Arial"/>
                <w:sz w:val="14"/>
                <w:szCs w:val="14"/>
                <w:b w:val="1"/>
                <w:bCs w:val="1"/>
                <w:color w:val="55565A"/>
              </w:rPr>
              <w:t>38.2%</w:t>
            </w:r>
          </w:p>
        </w:tc>
        <w:tc>
          <w:tcPr>
            <w:tcW w:w="600" w:type="dxa"/>
            <w:vAlign w:val="bottom"/>
          </w:tcPr>
          <w:p>
            <w:pPr>
              <w:jc w:val="right"/>
              <w:spacing w:after="0"/>
              <w:rPr>
                <w:sz w:val="20"/>
                <w:szCs w:val="20"/>
                <w:color w:val="auto"/>
              </w:rPr>
            </w:pPr>
            <w:r>
              <w:rPr>
                <w:rFonts w:ascii="Arial" w:cs="Arial" w:eastAsia="Arial" w:hAnsi="Arial"/>
                <w:sz w:val="14"/>
                <w:szCs w:val="14"/>
                <w:color w:val="55565A"/>
              </w:rPr>
              <w:t>36.5%</w:t>
            </w:r>
          </w:p>
        </w:tc>
        <w:tc>
          <w:tcPr>
            <w:tcW w:w="1340" w:type="dxa"/>
            <w:vAlign w:val="bottom"/>
          </w:tcPr>
          <w:p>
            <w:pPr>
              <w:jc w:val="right"/>
              <w:ind w:right="209"/>
              <w:spacing w:after="0"/>
              <w:rPr>
                <w:sz w:val="20"/>
                <w:szCs w:val="20"/>
                <w:color w:val="auto"/>
              </w:rPr>
            </w:pPr>
            <w:r>
              <w:rPr>
                <w:rFonts w:ascii="Arial" w:cs="Arial" w:eastAsia="Arial" w:hAnsi="Arial"/>
                <w:sz w:val="14"/>
                <w:szCs w:val="14"/>
                <w:color w:val="55565A"/>
              </w:rPr>
              <w:t>170bp</w:t>
            </w: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40bp</w:t>
            </w:r>
          </w:p>
        </w:tc>
        <w:tc>
          <w:tcPr>
            <w:tcW w:w="1180" w:type="dxa"/>
            <w:vAlign w:val="bottom"/>
          </w:tcPr>
          <w:p>
            <w:pPr>
              <w:jc w:val="right"/>
              <w:ind w:right="249"/>
              <w:spacing w:after="0"/>
              <w:rPr>
                <w:sz w:val="20"/>
                <w:szCs w:val="20"/>
                <w:color w:val="auto"/>
              </w:rPr>
            </w:pPr>
            <w:r>
              <w:rPr>
                <w:rFonts w:ascii="Arial" w:cs="Arial" w:eastAsia="Arial" w:hAnsi="Arial"/>
                <w:sz w:val="14"/>
                <w:szCs w:val="14"/>
                <w:color w:val="55565A"/>
              </w:rPr>
              <w:t>130bp</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Borders>
              <w:bottom w:val="single" w:sz="8" w:color="88888B"/>
            </w:tcBorders>
          </w:tcPr>
          <w:p>
            <w:pPr>
              <w:spacing w:after="0"/>
              <w:rPr>
                <w:sz w:val="2"/>
                <w:szCs w:val="2"/>
                <w:color w:val="auto"/>
              </w:rPr>
            </w:pPr>
          </w:p>
        </w:tc>
        <w:tc>
          <w:tcPr>
            <w:tcW w:w="1180" w:type="dxa"/>
            <w:vAlign w:val="bottom"/>
            <w:tcBorders>
              <w:bottom w:val="single" w:sz="8" w:color="88888B"/>
            </w:tcBorders>
          </w:tcPr>
          <w:p>
            <w:pPr>
              <w:spacing w:after="0"/>
              <w:rPr>
                <w:sz w:val="2"/>
                <w:szCs w:val="2"/>
                <w:color w:val="auto"/>
              </w:rPr>
            </w:pPr>
          </w:p>
        </w:tc>
        <w:tc>
          <w:tcPr>
            <w:tcW w:w="520" w:type="dxa"/>
            <w:vAlign w:val="bottom"/>
            <w:tcBorders>
              <w:bottom w:val="single" w:sz="8" w:color="88888B"/>
            </w:tcBorders>
          </w:tcPr>
          <w:p>
            <w:pPr>
              <w:spacing w:after="0"/>
              <w:rPr>
                <w:sz w:val="2"/>
                <w:szCs w:val="2"/>
                <w:color w:val="auto"/>
              </w:rPr>
            </w:pPr>
          </w:p>
        </w:tc>
        <w:tc>
          <w:tcPr>
            <w:tcW w:w="3420" w:type="dxa"/>
            <w:vAlign w:val="bottom"/>
            <w:tcBorders>
              <w:bottom w:val="single" w:sz="8" w:color="88888B"/>
            </w:tcBorders>
          </w:tcPr>
          <w:p>
            <w:pPr>
              <w:spacing w:after="0"/>
              <w:rPr>
                <w:sz w:val="2"/>
                <w:szCs w:val="2"/>
                <w:color w:val="auto"/>
              </w:rPr>
            </w:pPr>
          </w:p>
        </w:tc>
        <w:tc>
          <w:tcPr>
            <w:tcW w:w="1420" w:type="dxa"/>
            <w:vAlign w:val="bottom"/>
            <w:tcBorders>
              <w:bottom w:val="single" w:sz="8" w:color="88888B"/>
            </w:tcBorders>
          </w:tcPr>
          <w:p>
            <w:pPr>
              <w:spacing w:after="0"/>
              <w:rPr>
                <w:sz w:val="2"/>
                <w:szCs w:val="2"/>
                <w:color w:val="auto"/>
              </w:rPr>
            </w:pPr>
          </w:p>
        </w:tc>
        <w:tc>
          <w:tcPr>
            <w:tcW w:w="600" w:type="dxa"/>
            <w:vAlign w:val="bottom"/>
            <w:tcBorders>
              <w:bottom w:val="single" w:sz="8" w:color="88888B"/>
            </w:tcBorders>
          </w:tcPr>
          <w:p>
            <w:pPr>
              <w:spacing w:after="0"/>
              <w:rPr>
                <w:sz w:val="2"/>
                <w:szCs w:val="2"/>
                <w:color w:val="auto"/>
              </w:rPr>
            </w:pPr>
          </w:p>
        </w:tc>
        <w:tc>
          <w:tcPr>
            <w:tcW w:w="1340" w:type="dxa"/>
            <w:vAlign w:val="bottom"/>
            <w:tcBorders>
              <w:bottom w:val="single" w:sz="8" w:color="88888B"/>
            </w:tcBorders>
          </w:tcPr>
          <w:p>
            <w:pPr>
              <w:spacing w:after="0"/>
              <w:rPr>
                <w:sz w:val="2"/>
                <w:szCs w:val="2"/>
                <w:color w:val="auto"/>
              </w:rPr>
            </w:pPr>
          </w:p>
        </w:tc>
        <w:tc>
          <w:tcPr>
            <w:tcW w:w="1160" w:type="dxa"/>
            <w:vAlign w:val="bottom"/>
            <w:tcBorders>
              <w:bottom w:val="single" w:sz="8" w:color="88888B"/>
            </w:tcBorders>
          </w:tcPr>
          <w:p>
            <w:pPr>
              <w:spacing w:after="0"/>
              <w:rPr>
                <w:sz w:val="2"/>
                <w:szCs w:val="2"/>
                <w:color w:val="auto"/>
              </w:rPr>
            </w:pPr>
          </w:p>
        </w:tc>
        <w:tc>
          <w:tcPr>
            <w:tcW w:w="118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200" w:type="dxa"/>
            <w:vAlign w:val="bottom"/>
            <w:tcBorders>
              <w:bottom w:val="single" w:sz="8" w:color="88888B"/>
            </w:tcBorders>
            <w:gridSpan w:val="4"/>
            <w:shd w:val="clear" w:color="auto" w:fill="CCEEFF"/>
          </w:tcPr>
          <w:p>
            <w:pPr>
              <w:spacing w:after="0"/>
              <w:rPr>
                <w:sz w:val="20"/>
                <w:szCs w:val="20"/>
                <w:color w:val="auto"/>
              </w:rPr>
            </w:pPr>
            <w:r>
              <w:rPr>
                <w:rFonts w:ascii="Arial" w:cs="Arial" w:eastAsia="Arial" w:hAnsi="Arial"/>
                <w:sz w:val="14"/>
                <w:szCs w:val="14"/>
                <w:b w:val="1"/>
                <w:bCs w:val="1"/>
                <w:color w:val="55565A"/>
              </w:rPr>
              <w:t>   Adjusted EBITDA margin</w:t>
            </w:r>
          </w:p>
        </w:tc>
        <w:tc>
          <w:tcPr>
            <w:tcW w:w="142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42.7%</w:t>
            </w:r>
          </w:p>
        </w:tc>
        <w:tc>
          <w:tcPr>
            <w:tcW w:w="60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4"/>
                <w:szCs w:val="14"/>
                <w:color w:val="55565A"/>
              </w:rPr>
              <w:t>38.8%</w:t>
            </w:r>
          </w:p>
        </w:tc>
        <w:tc>
          <w:tcPr>
            <w:tcW w:w="1340" w:type="dxa"/>
            <w:vAlign w:val="bottom"/>
            <w:tcBorders>
              <w:bottom w:val="single" w:sz="8" w:color="88888B"/>
            </w:tcBorders>
            <w:shd w:val="clear" w:color="auto" w:fill="CCEEFF"/>
          </w:tcPr>
          <w:p>
            <w:pPr>
              <w:jc w:val="right"/>
              <w:ind w:right="209"/>
              <w:spacing w:after="0"/>
              <w:rPr>
                <w:sz w:val="20"/>
                <w:szCs w:val="20"/>
                <w:color w:val="auto"/>
              </w:rPr>
            </w:pPr>
            <w:r>
              <w:rPr>
                <w:rFonts w:ascii="Arial" w:cs="Arial" w:eastAsia="Arial" w:hAnsi="Arial"/>
                <w:sz w:val="14"/>
                <w:szCs w:val="14"/>
                <w:color w:val="55565A"/>
              </w:rPr>
              <w:t>390bp</w:t>
            </w:r>
          </w:p>
        </w:tc>
        <w:tc>
          <w:tcPr>
            <w:tcW w:w="116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w:t>
            </w:r>
          </w:p>
        </w:tc>
        <w:tc>
          <w:tcPr>
            <w:tcW w:w="118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color w:val="55565A"/>
              </w:rPr>
              <w:t>390bp</w:t>
            </w:r>
          </w:p>
        </w:tc>
        <w:tc>
          <w:tcPr>
            <w:tcW w:w="0" w:type="dxa"/>
            <w:vAlign w:val="bottom"/>
          </w:tcPr>
          <w:p>
            <w:pPr>
              <w:spacing w:after="0"/>
              <w:rPr>
                <w:sz w:val="1"/>
                <w:szCs w:val="1"/>
                <w:color w:val="auto"/>
              </w:rPr>
            </w:pPr>
          </w:p>
        </w:tc>
      </w:tr>
      <w:tr>
        <w:trPr>
          <w:trHeight w:val="226"/>
        </w:trPr>
        <w:tc>
          <w:tcPr>
            <w:tcW w:w="5220" w:type="dxa"/>
            <w:vAlign w:val="bottom"/>
            <w:gridSpan w:val="5"/>
          </w:tcPr>
          <w:p>
            <w:pPr>
              <w:spacing w:after="0"/>
              <w:rPr>
                <w:sz w:val="20"/>
                <w:szCs w:val="20"/>
                <w:color w:val="auto"/>
              </w:rPr>
            </w:pPr>
            <w:r>
              <w:rPr>
                <w:rFonts w:ascii="Arial" w:cs="Arial" w:eastAsia="Arial" w:hAnsi="Arial"/>
                <w:sz w:val="14"/>
                <w:szCs w:val="14"/>
                <w:b w:val="1"/>
                <w:bCs w:val="1"/>
                <w:color w:val="55565A"/>
              </w:rPr>
              <w:t>   Operating expenses</w:t>
            </w:r>
          </w:p>
        </w:tc>
        <w:tc>
          <w:tcPr>
            <w:tcW w:w="1420" w:type="dxa"/>
            <w:vAlign w:val="bottom"/>
          </w:tcPr>
          <w:p>
            <w:pPr>
              <w:jc w:val="right"/>
              <w:ind w:right="109"/>
              <w:spacing w:after="0"/>
              <w:rPr>
                <w:sz w:val="20"/>
                <w:szCs w:val="20"/>
                <w:color w:val="auto"/>
              </w:rPr>
            </w:pPr>
            <w:r>
              <w:rPr>
                <w:rFonts w:ascii="Arial" w:cs="Arial" w:eastAsia="Arial" w:hAnsi="Arial"/>
                <w:sz w:val="14"/>
                <w:szCs w:val="14"/>
                <w:b w:val="1"/>
                <w:bCs w:val="1"/>
                <w:color w:val="55565A"/>
              </w:rPr>
              <w:t>1,081</w:t>
            </w:r>
          </w:p>
        </w:tc>
        <w:tc>
          <w:tcPr>
            <w:tcW w:w="600" w:type="dxa"/>
            <w:vAlign w:val="bottom"/>
          </w:tcPr>
          <w:p>
            <w:pPr>
              <w:jc w:val="right"/>
              <w:spacing w:after="0"/>
              <w:rPr>
                <w:sz w:val="20"/>
                <w:szCs w:val="20"/>
                <w:color w:val="auto"/>
              </w:rPr>
            </w:pPr>
            <w:r>
              <w:rPr>
                <w:rFonts w:ascii="Arial" w:cs="Arial" w:eastAsia="Arial" w:hAnsi="Arial"/>
                <w:sz w:val="14"/>
                <w:szCs w:val="14"/>
                <w:color w:val="55565A"/>
              </w:rPr>
              <w:t>1,074</w:t>
            </w:r>
          </w:p>
        </w:tc>
        <w:tc>
          <w:tcPr>
            <w:tcW w:w="1340" w:type="dxa"/>
            <w:vAlign w:val="bottom"/>
          </w:tcPr>
          <w:p>
            <w:pPr>
              <w:jc w:val="right"/>
              <w:ind w:right="209"/>
              <w:spacing w:after="0"/>
              <w:rPr>
                <w:sz w:val="20"/>
                <w:szCs w:val="20"/>
                <w:color w:val="auto"/>
              </w:rPr>
            </w:pPr>
            <w:r>
              <w:rPr>
                <w:rFonts w:ascii="Arial" w:cs="Arial" w:eastAsia="Arial" w:hAnsi="Arial"/>
                <w:sz w:val="14"/>
                <w:szCs w:val="14"/>
                <w:color w:val="55565A"/>
              </w:rPr>
              <w:t>1%</w:t>
            </w:r>
          </w:p>
        </w:tc>
        <w:tc>
          <w:tcPr>
            <w:tcW w:w="1160" w:type="dxa"/>
            <w:vAlign w:val="bottom"/>
          </w:tcPr>
          <w:p>
            <w:pPr>
              <w:jc w:val="right"/>
              <w:ind w:right="229"/>
              <w:spacing w:after="0"/>
              <w:rPr>
                <w:sz w:val="20"/>
                <w:szCs w:val="20"/>
                <w:color w:val="auto"/>
              </w:rPr>
            </w:pPr>
            <w:r>
              <w:rPr>
                <w:rFonts w:ascii="Arial" w:cs="Arial" w:eastAsia="Arial" w:hAnsi="Arial"/>
                <w:sz w:val="14"/>
                <w:szCs w:val="14"/>
                <w:color w:val="55565A"/>
              </w:rPr>
              <w:t>–</w:t>
            </w:r>
          </w:p>
        </w:tc>
        <w:tc>
          <w:tcPr>
            <w:tcW w:w="1180" w:type="dxa"/>
            <w:vAlign w:val="bottom"/>
          </w:tcPr>
          <w:p>
            <w:pPr>
              <w:jc w:val="right"/>
              <w:ind w:right="249"/>
              <w:spacing w:after="0"/>
              <w:rPr>
                <w:sz w:val="20"/>
                <w:szCs w:val="20"/>
                <w:color w:val="auto"/>
              </w:rPr>
            </w:pPr>
            <w:r>
              <w:rPr>
                <w:rFonts w:ascii="Arial" w:cs="Arial" w:eastAsia="Arial" w:hAnsi="Arial"/>
                <w:sz w:val="14"/>
                <w:szCs w:val="14"/>
                <w:color w:val="55565A"/>
              </w:rPr>
              <w:t>1%</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200" w:type="dxa"/>
            <w:vAlign w:val="bottom"/>
            <w:tcBorders>
              <w:bottom w:val="single" w:sz="8" w:color="55565A"/>
            </w:tcBorders>
            <w:gridSpan w:val="4"/>
            <w:shd w:val="clear" w:color="auto" w:fill="CCEEFF"/>
          </w:tcPr>
          <w:p>
            <w:pPr>
              <w:spacing w:after="0"/>
              <w:rPr>
                <w:sz w:val="20"/>
                <w:szCs w:val="20"/>
                <w:color w:val="auto"/>
              </w:rPr>
            </w:pPr>
            <w:r>
              <w:rPr>
                <w:rFonts w:ascii="Arial" w:cs="Arial" w:eastAsia="Arial" w:hAnsi="Arial"/>
                <w:sz w:val="14"/>
                <w:szCs w:val="14"/>
                <w:b w:val="1"/>
                <w:bCs w:val="1"/>
                <w:color w:val="55565A"/>
              </w:rPr>
              <w:t>   Adjusted EPS</w:t>
            </w:r>
          </w:p>
        </w:tc>
        <w:tc>
          <w:tcPr>
            <w:tcW w:w="1420" w:type="dxa"/>
            <w:vAlign w:val="bottom"/>
            <w:tcBorders>
              <w:bottom w:val="single" w:sz="8" w:color="55565A"/>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$1.11</w:t>
            </w:r>
          </w:p>
        </w:tc>
        <w:tc>
          <w:tcPr>
            <w:tcW w:w="600" w:type="dxa"/>
            <w:vAlign w:val="bottom"/>
            <w:tcBorders>
              <w:bottom w:val="single" w:sz="8" w:color="55565A"/>
            </w:tcBorders>
            <w:shd w:val="clear" w:color="auto" w:fill="CCEEFF"/>
          </w:tcPr>
          <w:p>
            <w:pPr>
              <w:jc w:val="right"/>
              <w:spacing w:after="0"/>
              <w:rPr>
                <w:sz w:val="20"/>
                <w:szCs w:val="20"/>
                <w:color w:val="auto"/>
              </w:rPr>
            </w:pPr>
            <w:r>
              <w:rPr>
                <w:rFonts w:ascii="Arial" w:cs="Arial" w:eastAsia="Arial" w:hAnsi="Arial"/>
                <w:sz w:val="14"/>
                <w:szCs w:val="14"/>
                <w:color w:val="55565A"/>
              </w:rPr>
              <w:t>$0.84</w:t>
            </w:r>
          </w:p>
        </w:tc>
        <w:tc>
          <w:tcPr>
            <w:tcW w:w="1340" w:type="dxa"/>
            <w:vAlign w:val="bottom"/>
            <w:tcBorders>
              <w:bottom w:val="single" w:sz="8" w:color="55565A"/>
            </w:tcBorders>
            <w:shd w:val="clear" w:color="auto" w:fill="CCEEFF"/>
          </w:tcPr>
          <w:p>
            <w:pPr>
              <w:jc w:val="right"/>
              <w:ind w:right="209"/>
              <w:spacing w:after="0"/>
              <w:rPr>
                <w:sz w:val="20"/>
                <w:szCs w:val="20"/>
                <w:color w:val="auto"/>
              </w:rPr>
            </w:pPr>
            <w:r>
              <w:rPr>
                <w:rFonts w:ascii="Arial" w:cs="Arial" w:eastAsia="Arial" w:hAnsi="Arial"/>
                <w:sz w:val="14"/>
                <w:szCs w:val="14"/>
                <w:color w:val="55565A"/>
              </w:rPr>
              <w:t>32%</w:t>
            </w:r>
          </w:p>
        </w:tc>
        <w:tc>
          <w:tcPr>
            <w:tcW w:w="1160" w:type="dxa"/>
            <w:vAlign w:val="bottom"/>
            <w:tcBorders>
              <w:bottom w:val="single" w:sz="8" w:color="55565A"/>
            </w:tcBorders>
            <w:shd w:val="clear" w:color="auto" w:fill="CCEEFF"/>
          </w:tcPr>
          <w:p>
            <w:pPr>
              <w:jc w:val="right"/>
              <w:ind w:right="229"/>
              <w:spacing w:after="0"/>
              <w:rPr>
                <w:sz w:val="20"/>
                <w:szCs w:val="20"/>
                <w:color w:val="auto"/>
              </w:rPr>
            </w:pPr>
            <w:r>
              <w:rPr>
                <w:rFonts w:ascii="Arial" w:cs="Arial" w:eastAsia="Arial" w:hAnsi="Arial"/>
                <w:sz w:val="14"/>
                <w:szCs w:val="14"/>
                <w:color w:val="55565A"/>
              </w:rPr>
              <w:t>–</w:t>
            </w:r>
          </w:p>
        </w:tc>
        <w:tc>
          <w:tcPr>
            <w:tcW w:w="1180" w:type="dxa"/>
            <w:vAlign w:val="bottom"/>
            <w:tcBorders>
              <w:bottom w:val="single" w:sz="8" w:color="55565A"/>
            </w:tcBorders>
            <w:shd w:val="clear" w:color="auto" w:fill="CCEEFF"/>
          </w:tcPr>
          <w:p>
            <w:pPr>
              <w:jc w:val="right"/>
              <w:ind w:right="249"/>
              <w:spacing w:after="0"/>
              <w:rPr>
                <w:sz w:val="20"/>
                <w:szCs w:val="20"/>
                <w:color w:val="auto"/>
              </w:rPr>
            </w:pPr>
            <w:r>
              <w:rPr>
                <w:rFonts w:ascii="Arial" w:cs="Arial" w:eastAsia="Arial" w:hAnsi="Arial"/>
                <w:sz w:val="14"/>
                <w:szCs w:val="14"/>
                <w:color w:val="55565A"/>
              </w:rPr>
              <w:t>32%</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5565A"/>
        </w:rPr>
        <w:t>“Big 3” segments and consolidated adjusted EBITDA and the related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67310</wp:posOffset>
            </wp:positionV>
            <wp:extent cx="69297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3700" w:type="dxa"/>
            <w:vAlign w:val="bottom"/>
          </w:tcPr>
          <w:p>
            <w:pPr>
              <w:jc w:val="right"/>
              <w:ind w:right="849"/>
              <w:spacing w:after="0"/>
              <w:rPr>
                <w:sz w:val="20"/>
                <w:szCs w:val="20"/>
                <w:color w:val="auto"/>
              </w:rPr>
            </w:pPr>
            <w:r>
              <w:rPr>
                <w:rFonts w:ascii="Arial" w:cs="Arial" w:eastAsia="Arial" w:hAnsi="Arial"/>
                <w:sz w:val="14"/>
                <w:szCs w:val="14"/>
                <w:b w:val="1"/>
                <w:bCs w:val="1"/>
                <w:color w:val="55565A"/>
              </w:rPr>
              <w:t>Year ended December 31,</w:t>
            </w:r>
          </w:p>
        </w:tc>
        <w:tc>
          <w:tcPr>
            <w:tcW w:w="0" w:type="dxa"/>
            <w:vAlign w:val="bottom"/>
          </w:tcPr>
          <w:p>
            <w:pPr>
              <w:spacing w:after="0"/>
              <w:rPr>
                <w:sz w:val="1"/>
                <w:szCs w:val="1"/>
                <w:color w:val="auto"/>
              </w:rPr>
            </w:pPr>
          </w:p>
        </w:tc>
      </w:tr>
      <w:tr>
        <w:trPr>
          <w:trHeight w:val="334"/>
        </w:trPr>
        <w:tc>
          <w:tcPr>
            <w:tcW w:w="7220" w:type="dxa"/>
            <w:vAlign w:val="bottom"/>
            <w:gridSpan w:val="6"/>
          </w:tcPr>
          <w:p>
            <w:pPr>
              <w:spacing w:after="0"/>
              <w:rPr>
                <w:sz w:val="20"/>
                <w:szCs w:val="20"/>
                <w:color w:val="auto"/>
              </w:rPr>
            </w:pPr>
            <w:r>
              <w:rPr>
                <w:rFonts w:ascii="Arial" w:cs="Arial" w:eastAsia="Arial" w:hAnsi="Arial"/>
                <w:sz w:val="14"/>
                <w:szCs w:val="14"/>
                <w:b w:val="1"/>
                <w:bCs w:val="1"/>
                <w:color w:val="55565A"/>
              </w:rPr>
              <w:t>(millions of U.S. dollars, except margins)</w:t>
            </w:r>
          </w:p>
        </w:tc>
        <w:tc>
          <w:tcPr>
            <w:tcW w:w="3700" w:type="dxa"/>
            <w:vAlign w:val="bottom"/>
          </w:tcPr>
          <w:p>
            <w:pPr>
              <w:jc w:val="right"/>
              <w:ind w:right="829"/>
              <w:spacing w:after="0"/>
              <w:rPr>
                <w:sz w:val="20"/>
                <w:szCs w:val="20"/>
                <w:color w:val="auto"/>
              </w:rPr>
            </w:pPr>
            <w:r>
              <w:rPr>
                <w:rFonts w:ascii="Arial" w:cs="Arial" w:eastAsia="Arial" w:hAnsi="Arial"/>
                <w:sz w:val="14"/>
                <w:szCs w:val="14"/>
                <w:color w:val="55565A"/>
              </w:rPr>
              <w:t>2023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Borders>
              <w:bottom w:val="single" w:sz="8" w:color="88888B"/>
            </w:tcBorders>
          </w:tcPr>
          <w:p>
            <w:pPr>
              <w:spacing w:after="0"/>
              <w:rPr>
                <w:sz w:val="8"/>
                <w:szCs w:val="8"/>
                <w:color w:val="auto"/>
              </w:rPr>
            </w:pPr>
          </w:p>
        </w:tc>
        <w:tc>
          <w:tcPr>
            <w:tcW w:w="900" w:type="dxa"/>
            <w:vAlign w:val="bottom"/>
            <w:tcBorders>
              <w:bottom w:val="single" w:sz="8" w:color="88888B"/>
            </w:tcBorders>
          </w:tcPr>
          <w:p>
            <w:pPr>
              <w:spacing w:after="0"/>
              <w:rPr>
                <w:sz w:val="8"/>
                <w:szCs w:val="8"/>
                <w:color w:val="auto"/>
              </w:rPr>
            </w:pPr>
          </w:p>
        </w:tc>
        <w:tc>
          <w:tcPr>
            <w:tcW w:w="280" w:type="dxa"/>
            <w:vAlign w:val="bottom"/>
            <w:tcBorders>
              <w:bottom w:val="single" w:sz="8" w:color="88888B"/>
            </w:tcBorders>
          </w:tcPr>
          <w:p>
            <w:pPr>
              <w:spacing w:after="0"/>
              <w:rPr>
                <w:sz w:val="8"/>
                <w:szCs w:val="8"/>
                <w:color w:val="auto"/>
              </w:rPr>
            </w:pPr>
          </w:p>
        </w:tc>
        <w:tc>
          <w:tcPr>
            <w:tcW w:w="780" w:type="dxa"/>
            <w:vAlign w:val="bottom"/>
            <w:tcBorders>
              <w:bottom w:val="single" w:sz="8" w:color="88888B"/>
            </w:tcBorders>
          </w:tcPr>
          <w:p>
            <w:pPr>
              <w:spacing w:after="0"/>
              <w:rPr>
                <w:sz w:val="8"/>
                <w:szCs w:val="8"/>
                <w:color w:val="auto"/>
              </w:rPr>
            </w:pPr>
          </w:p>
        </w:tc>
        <w:tc>
          <w:tcPr>
            <w:tcW w:w="5160" w:type="dxa"/>
            <w:vAlign w:val="bottom"/>
            <w:tcBorders>
              <w:bottom w:val="single" w:sz="8" w:color="88888B"/>
            </w:tcBorders>
          </w:tcPr>
          <w:p>
            <w:pPr>
              <w:spacing w:after="0"/>
              <w:rPr>
                <w:sz w:val="8"/>
                <w:szCs w:val="8"/>
                <w:color w:val="auto"/>
              </w:rPr>
            </w:pPr>
          </w:p>
        </w:tc>
        <w:tc>
          <w:tcPr>
            <w:tcW w:w="3700" w:type="dxa"/>
            <w:vAlign w:val="bottom"/>
            <w:tcBorders>
              <w:bottom w:val="single" w:sz="8" w:color="88888B"/>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160" w:type="dxa"/>
            <w:vAlign w:val="bottom"/>
          </w:tcPr>
          <w:p>
            <w:pPr>
              <w:spacing w:after="0"/>
              <w:rPr>
                <w:sz w:val="4"/>
                <w:szCs w:val="4"/>
                <w:color w:val="auto"/>
              </w:rPr>
            </w:pP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7200" w:type="dxa"/>
            <w:vAlign w:val="bottom"/>
            <w:gridSpan w:val="5"/>
            <w:shd w:val="clear" w:color="auto" w:fill="CCEEFF"/>
          </w:tcPr>
          <w:p>
            <w:pPr>
              <w:spacing w:after="0" w:line="147" w:lineRule="exact"/>
              <w:rPr>
                <w:sz w:val="20"/>
                <w:szCs w:val="20"/>
                <w:color w:val="auto"/>
              </w:rPr>
            </w:pPr>
            <w:r>
              <w:rPr>
                <w:rFonts w:ascii="Arial" w:cs="Arial" w:eastAsia="Arial" w:hAnsi="Arial"/>
                <w:sz w:val="14"/>
                <w:szCs w:val="14"/>
                <w:b w:val="1"/>
                <w:bCs w:val="1"/>
                <w:color w:val="55565A"/>
              </w:rPr>
              <w:t>   Adjusted EBITDA</w:t>
            </w:r>
          </w:p>
        </w:tc>
        <w:tc>
          <w:tcPr>
            <w:tcW w:w="3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55565A"/>
            </w:tcBorders>
            <w:shd w:val="clear" w:color="auto" w:fill="CCEEFF"/>
          </w:tcPr>
          <w:p>
            <w:pPr>
              <w:spacing w:after="0"/>
              <w:rPr>
                <w:sz w:val="5"/>
                <w:szCs w:val="5"/>
                <w:color w:val="auto"/>
              </w:rPr>
            </w:pPr>
          </w:p>
        </w:tc>
        <w:tc>
          <w:tcPr>
            <w:tcW w:w="280" w:type="dxa"/>
            <w:vAlign w:val="bottom"/>
            <w:tcBorders>
              <w:top w:val="single" w:sz="8" w:color="55565A"/>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160" w:type="dxa"/>
            <w:vAlign w:val="bottom"/>
            <w:tcBorders>
              <w:top w:val="single" w:sz="8" w:color="CCEEFF"/>
            </w:tcBorders>
            <w:shd w:val="clear" w:color="auto" w:fill="CCEEFF"/>
          </w:tcPr>
          <w:p>
            <w:pPr>
              <w:spacing w:after="0"/>
              <w:rPr>
                <w:sz w:val="5"/>
                <w:szCs w:val="5"/>
                <w:color w:val="auto"/>
              </w:rPr>
            </w:pPr>
          </w:p>
        </w:tc>
        <w:tc>
          <w:tcPr>
            <w:tcW w:w="37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20" w:type="dxa"/>
            <w:vAlign w:val="bottom"/>
            <w:gridSpan w:val="4"/>
          </w:tcPr>
          <w:p>
            <w:pPr>
              <w:ind w:left="60"/>
              <w:spacing w:after="0"/>
              <w:rPr>
                <w:sz w:val="20"/>
                <w:szCs w:val="20"/>
                <w:color w:val="auto"/>
              </w:rPr>
            </w:pPr>
            <w:r>
              <w:rPr>
                <w:rFonts w:ascii="Arial" w:cs="Arial" w:eastAsia="Arial" w:hAnsi="Arial"/>
                <w:sz w:val="14"/>
                <w:szCs w:val="14"/>
                <w:b w:val="1"/>
                <w:bCs w:val="1"/>
                <w:color w:val="55565A"/>
              </w:rPr>
              <w:t>   Legal Professionals</w:t>
            </w:r>
          </w:p>
        </w:tc>
        <w:tc>
          <w:tcPr>
            <w:tcW w:w="3700" w:type="dxa"/>
            <w:vAlign w:val="bottom"/>
          </w:tcPr>
          <w:p>
            <w:pPr>
              <w:jc w:val="right"/>
              <w:ind w:right="829"/>
              <w:spacing w:after="0"/>
              <w:rPr>
                <w:sz w:val="20"/>
                <w:szCs w:val="20"/>
                <w:color w:val="auto"/>
              </w:rPr>
            </w:pPr>
            <w:r>
              <w:rPr>
                <w:rFonts w:ascii="Arial" w:cs="Arial" w:eastAsia="Arial" w:hAnsi="Arial"/>
                <w:sz w:val="14"/>
                <w:szCs w:val="14"/>
                <w:color w:val="55565A"/>
              </w:rPr>
              <w:t>1,299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12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Corporates</w:t>
            </w:r>
          </w:p>
        </w:tc>
        <w:tc>
          <w:tcPr>
            <w:tcW w:w="3700" w:type="dxa"/>
            <w:vAlign w:val="bottom"/>
            <w:tcBorders>
              <w:bottom w:val="single" w:sz="8" w:color="CCEEFF"/>
            </w:tcBorders>
            <w:shd w:val="clear" w:color="auto" w:fill="CCEEFF"/>
          </w:tcPr>
          <w:p>
            <w:pPr>
              <w:jc w:val="right"/>
              <w:ind w:right="829"/>
              <w:spacing w:after="0"/>
              <w:rPr>
                <w:sz w:val="20"/>
                <w:szCs w:val="20"/>
                <w:color w:val="auto"/>
              </w:rPr>
            </w:pPr>
            <w:r>
              <w:rPr>
                <w:rFonts w:ascii="Arial" w:cs="Arial" w:eastAsia="Arial" w:hAnsi="Arial"/>
                <w:sz w:val="14"/>
                <w:szCs w:val="14"/>
                <w:color w:val="55565A"/>
              </w:rPr>
              <w:t>619</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20" w:type="dxa"/>
            <w:vAlign w:val="bottom"/>
            <w:gridSpan w:val="4"/>
          </w:tcPr>
          <w:p>
            <w:pPr>
              <w:ind w:left="60"/>
              <w:spacing w:after="0"/>
              <w:rPr>
                <w:sz w:val="20"/>
                <w:szCs w:val="20"/>
                <w:color w:val="auto"/>
              </w:rPr>
            </w:pPr>
            <w:r>
              <w:rPr>
                <w:rFonts w:ascii="Arial" w:cs="Arial" w:eastAsia="Arial" w:hAnsi="Arial"/>
                <w:sz w:val="14"/>
                <w:szCs w:val="14"/>
                <w:b w:val="1"/>
                <w:bCs w:val="1"/>
                <w:color w:val="55565A"/>
              </w:rPr>
              <w:t>   Tax &amp; Accounting Professionals</w:t>
            </w:r>
          </w:p>
        </w:tc>
        <w:tc>
          <w:tcPr>
            <w:tcW w:w="3700" w:type="dxa"/>
            <w:vAlign w:val="bottom"/>
          </w:tcPr>
          <w:p>
            <w:pPr>
              <w:jc w:val="right"/>
              <w:ind w:right="829"/>
              <w:spacing w:after="0"/>
              <w:rPr>
                <w:sz w:val="20"/>
                <w:szCs w:val="20"/>
                <w:color w:val="auto"/>
              </w:rPr>
            </w:pPr>
            <w:r>
              <w:rPr>
                <w:rFonts w:ascii="Arial" w:cs="Arial" w:eastAsia="Arial" w:hAnsi="Arial"/>
                <w:sz w:val="14"/>
                <w:szCs w:val="14"/>
                <w:color w:val="55565A"/>
              </w:rPr>
              <w:t>490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88888B"/>
            </w:tcBorders>
          </w:tcPr>
          <w:p>
            <w:pPr>
              <w:spacing w:after="0"/>
              <w:rPr>
                <w:sz w:val="3"/>
                <w:szCs w:val="3"/>
                <w:color w:val="auto"/>
              </w:rPr>
            </w:pPr>
          </w:p>
        </w:tc>
        <w:tc>
          <w:tcPr>
            <w:tcW w:w="900" w:type="dxa"/>
            <w:vAlign w:val="bottom"/>
            <w:tcBorders>
              <w:bottom w:val="single" w:sz="8" w:color="88888B"/>
            </w:tcBorders>
          </w:tcPr>
          <w:p>
            <w:pPr>
              <w:spacing w:after="0"/>
              <w:rPr>
                <w:sz w:val="3"/>
                <w:szCs w:val="3"/>
                <w:color w:val="auto"/>
              </w:rPr>
            </w:pPr>
          </w:p>
        </w:tc>
        <w:tc>
          <w:tcPr>
            <w:tcW w:w="280" w:type="dxa"/>
            <w:vAlign w:val="bottom"/>
            <w:tcBorders>
              <w:bottom w:val="single" w:sz="8" w:color="88888B"/>
            </w:tcBorders>
          </w:tcPr>
          <w:p>
            <w:pPr>
              <w:spacing w:after="0"/>
              <w:rPr>
                <w:sz w:val="3"/>
                <w:szCs w:val="3"/>
                <w:color w:val="auto"/>
              </w:rPr>
            </w:pPr>
          </w:p>
        </w:tc>
        <w:tc>
          <w:tcPr>
            <w:tcW w:w="780" w:type="dxa"/>
            <w:vAlign w:val="bottom"/>
            <w:tcBorders>
              <w:bottom w:val="single" w:sz="8" w:color="88888B"/>
            </w:tcBorders>
          </w:tcPr>
          <w:p>
            <w:pPr>
              <w:spacing w:after="0"/>
              <w:rPr>
                <w:sz w:val="3"/>
                <w:szCs w:val="3"/>
                <w:color w:val="auto"/>
              </w:rPr>
            </w:pPr>
          </w:p>
        </w:tc>
        <w:tc>
          <w:tcPr>
            <w:tcW w:w="5160" w:type="dxa"/>
            <w:vAlign w:val="bottom"/>
            <w:tcBorders>
              <w:bottom w:val="single" w:sz="8" w:color="88888B"/>
            </w:tcBorders>
          </w:tcPr>
          <w:p>
            <w:pPr>
              <w:spacing w:after="0"/>
              <w:rPr>
                <w:sz w:val="3"/>
                <w:szCs w:val="3"/>
                <w:color w:val="auto"/>
              </w:rPr>
            </w:pPr>
          </w:p>
        </w:tc>
        <w:tc>
          <w:tcPr>
            <w:tcW w:w="3700" w:type="dxa"/>
            <w:vAlign w:val="bottom"/>
            <w:tcBorders>
              <w:bottom w:val="single" w:sz="8" w:color="88888B"/>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160" w:type="dxa"/>
            <w:vAlign w:val="bottom"/>
          </w:tcPr>
          <w:p>
            <w:pPr>
              <w:spacing w:after="0"/>
              <w:rPr>
                <w:sz w:val="4"/>
                <w:szCs w:val="4"/>
                <w:color w:val="auto"/>
              </w:rPr>
            </w:pP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7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55565A"/>
              </w:rPr>
              <w:t>   “Big 3” Segments Combined</w:t>
            </w:r>
          </w:p>
        </w:tc>
        <w:tc>
          <w:tcPr>
            <w:tcW w:w="3700" w:type="dxa"/>
            <w:vAlign w:val="bottom"/>
            <w:tcBorders>
              <w:bottom w:val="single" w:sz="8" w:color="CCEEFF"/>
            </w:tcBorders>
            <w:shd w:val="clear" w:color="auto" w:fill="CCEEFF"/>
          </w:tcPr>
          <w:p>
            <w:pPr>
              <w:jc w:val="right"/>
              <w:ind w:right="829"/>
              <w:spacing w:after="0"/>
              <w:rPr>
                <w:sz w:val="20"/>
                <w:szCs w:val="20"/>
                <w:color w:val="auto"/>
              </w:rPr>
            </w:pPr>
            <w:r>
              <w:rPr>
                <w:rFonts w:ascii="Arial" w:cs="Arial" w:eastAsia="Arial" w:hAnsi="Arial"/>
                <w:sz w:val="14"/>
                <w:szCs w:val="14"/>
                <w:color w:val="55565A"/>
              </w:rPr>
              <w:t>2,408</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20" w:type="dxa"/>
            <w:vAlign w:val="bottom"/>
            <w:gridSpan w:val="4"/>
          </w:tcPr>
          <w:p>
            <w:pPr>
              <w:ind w:left="60"/>
              <w:spacing w:after="0"/>
              <w:rPr>
                <w:sz w:val="20"/>
                <w:szCs w:val="20"/>
                <w:color w:val="auto"/>
              </w:rPr>
            </w:pPr>
            <w:r>
              <w:rPr>
                <w:rFonts w:ascii="Arial" w:cs="Arial" w:eastAsia="Arial" w:hAnsi="Arial"/>
                <w:sz w:val="14"/>
                <w:szCs w:val="14"/>
                <w:b w:val="1"/>
                <w:bCs w:val="1"/>
                <w:color w:val="55565A"/>
              </w:rPr>
              <w:t>   Reuters News</w:t>
            </w:r>
          </w:p>
        </w:tc>
        <w:tc>
          <w:tcPr>
            <w:tcW w:w="3700" w:type="dxa"/>
            <w:vAlign w:val="bottom"/>
          </w:tcPr>
          <w:p>
            <w:pPr>
              <w:jc w:val="right"/>
              <w:ind w:right="829"/>
              <w:spacing w:after="0"/>
              <w:rPr>
                <w:sz w:val="20"/>
                <w:szCs w:val="20"/>
                <w:color w:val="auto"/>
              </w:rPr>
            </w:pPr>
            <w:r>
              <w:rPr>
                <w:rFonts w:ascii="Arial" w:cs="Arial" w:eastAsia="Arial" w:hAnsi="Arial"/>
                <w:sz w:val="14"/>
                <w:szCs w:val="14"/>
                <w:color w:val="55565A"/>
              </w:rPr>
              <w:t>172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12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Global Print</w:t>
            </w:r>
          </w:p>
        </w:tc>
        <w:tc>
          <w:tcPr>
            <w:tcW w:w="3700" w:type="dxa"/>
            <w:vAlign w:val="bottom"/>
            <w:tcBorders>
              <w:bottom w:val="single" w:sz="8" w:color="CCEEFF"/>
            </w:tcBorders>
            <w:shd w:val="clear" w:color="auto" w:fill="CCEEFF"/>
          </w:tcPr>
          <w:p>
            <w:pPr>
              <w:jc w:val="right"/>
              <w:ind w:right="829"/>
              <w:spacing w:after="0"/>
              <w:rPr>
                <w:sz w:val="20"/>
                <w:szCs w:val="20"/>
                <w:color w:val="auto"/>
              </w:rPr>
            </w:pPr>
            <w:r>
              <w:rPr>
                <w:rFonts w:ascii="Arial" w:cs="Arial" w:eastAsia="Arial" w:hAnsi="Arial"/>
                <w:sz w:val="14"/>
                <w:szCs w:val="14"/>
                <w:color w:val="55565A"/>
              </w:rPr>
              <w:t>213</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20" w:type="dxa"/>
            <w:vAlign w:val="bottom"/>
            <w:gridSpan w:val="4"/>
          </w:tcPr>
          <w:p>
            <w:pPr>
              <w:ind w:left="60"/>
              <w:spacing w:after="0"/>
              <w:rPr>
                <w:sz w:val="20"/>
                <w:szCs w:val="20"/>
                <w:color w:val="auto"/>
              </w:rPr>
            </w:pPr>
            <w:r>
              <w:rPr>
                <w:rFonts w:ascii="Arial" w:cs="Arial" w:eastAsia="Arial" w:hAnsi="Arial"/>
                <w:sz w:val="14"/>
                <w:szCs w:val="14"/>
                <w:b w:val="1"/>
                <w:bCs w:val="1"/>
                <w:color w:val="55565A"/>
              </w:rPr>
              <w:t>   Corporate costs</w:t>
            </w:r>
          </w:p>
        </w:tc>
        <w:tc>
          <w:tcPr>
            <w:tcW w:w="3700" w:type="dxa"/>
            <w:vAlign w:val="bottom"/>
          </w:tcPr>
          <w:p>
            <w:pPr>
              <w:jc w:val="right"/>
              <w:ind w:right="829"/>
              <w:spacing w:after="0"/>
              <w:rPr>
                <w:sz w:val="20"/>
                <w:szCs w:val="20"/>
                <w:color w:val="auto"/>
              </w:rPr>
            </w:pPr>
            <w:r>
              <w:rPr>
                <w:rFonts w:ascii="Arial" w:cs="Arial" w:eastAsia="Arial" w:hAnsi="Arial"/>
                <w:sz w:val="14"/>
                <w:szCs w:val="14"/>
                <w:color w:val="55565A"/>
              </w:rPr>
              <w:t>(115)</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88888B"/>
            </w:tcBorders>
          </w:tcPr>
          <w:p>
            <w:pPr>
              <w:spacing w:after="0"/>
              <w:rPr>
                <w:sz w:val="3"/>
                <w:szCs w:val="3"/>
                <w:color w:val="auto"/>
              </w:rPr>
            </w:pPr>
          </w:p>
        </w:tc>
        <w:tc>
          <w:tcPr>
            <w:tcW w:w="900" w:type="dxa"/>
            <w:vAlign w:val="bottom"/>
            <w:tcBorders>
              <w:bottom w:val="single" w:sz="8" w:color="88888B"/>
            </w:tcBorders>
          </w:tcPr>
          <w:p>
            <w:pPr>
              <w:spacing w:after="0"/>
              <w:rPr>
                <w:sz w:val="3"/>
                <w:szCs w:val="3"/>
                <w:color w:val="auto"/>
              </w:rPr>
            </w:pPr>
          </w:p>
        </w:tc>
        <w:tc>
          <w:tcPr>
            <w:tcW w:w="280" w:type="dxa"/>
            <w:vAlign w:val="bottom"/>
            <w:tcBorders>
              <w:bottom w:val="single" w:sz="8" w:color="88888B"/>
            </w:tcBorders>
          </w:tcPr>
          <w:p>
            <w:pPr>
              <w:spacing w:after="0"/>
              <w:rPr>
                <w:sz w:val="3"/>
                <w:szCs w:val="3"/>
                <w:color w:val="auto"/>
              </w:rPr>
            </w:pPr>
          </w:p>
        </w:tc>
        <w:tc>
          <w:tcPr>
            <w:tcW w:w="780" w:type="dxa"/>
            <w:vAlign w:val="bottom"/>
            <w:tcBorders>
              <w:bottom w:val="single" w:sz="8" w:color="88888B"/>
            </w:tcBorders>
          </w:tcPr>
          <w:p>
            <w:pPr>
              <w:spacing w:after="0"/>
              <w:rPr>
                <w:sz w:val="3"/>
                <w:szCs w:val="3"/>
                <w:color w:val="auto"/>
              </w:rPr>
            </w:pPr>
          </w:p>
        </w:tc>
        <w:tc>
          <w:tcPr>
            <w:tcW w:w="5160" w:type="dxa"/>
            <w:vAlign w:val="bottom"/>
            <w:tcBorders>
              <w:bottom w:val="single" w:sz="8" w:color="88888B"/>
            </w:tcBorders>
          </w:tcPr>
          <w:p>
            <w:pPr>
              <w:spacing w:after="0"/>
              <w:rPr>
                <w:sz w:val="3"/>
                <w:szCs w:val="3"/>
                <w:color w:val="auto"/>
              </w:rPr>
            </w:pPr>
          </w:p>
        </w:tc>
        <w:tc>
          <w:tcPr>
            <w:tcW w:w="3700" w:type="dxa"/>
            <w:vAlign w:val="bottom"/>
            <w:tcBorders>
              <w:bottom w:val="single" w:sz="8" w:color="88888B"/>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160" w:type="dxa"/>
            <w:vAlign w:val="bottom"/>
          </w:tcPr>
          <w:p>
            <w:pPr>
              <w:spacing w:after="0"/>
              <w:rPr>
                <w:sz w:val="4"/>
                <w:szCs w:val="4"/>
                <w:color w:val="auto"/>
              </w:rPr>
            </w:pP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7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55565A"/>
              </w:rPr>
              <w:t>   Adjusted EBITDA</w:t>
            </w:r>
          </w:p>
        </w:tc>
        <w:tc>
          <w:tcPr>
            <w:tcW w:w="3700" w:type="dxa"/>
            <w:vAlign w:val="bottom"/>
            <w:tcBorders>
              <w:bottom w:val="single" w:sz="8" w:color="CCEEFF"/>
            </w:tcBorders>
            <w:shd w:val="clear" w:color="auto" w:fill="CCEEFF"/>
          </w:tcPr>
          <w:p>
            <w:pPr>
              <w:jc w:val="right"/>
              <w:ind w:right="829"/>
              <w:spacing w:after="0"/>
              <w:rPr>
                <w:sz w:val="20"/>
                <w:szCs w:val="20"/>
                <w:color w:val="auto"/>
              </w:rPr>
            </w:pPr>
            <w:r>
              <w:rPr>
                <w:rFonts w:ascii="Arial" w:cs="Arial" w:eastAsia="Arial" w:hAnsi="Arial"/>
                <w:sz w:val="14"/>
                <w:szCs w:val="14"/>
                <w:color w:val="55565A"/>
              </w:rPr>
              <w:t>2,678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88888B"/>
          </w:tcPr>
          <w:p>
            <w:pPr>
              <w:spacing w:after="0" w:line="20" w:lineRule="exact"/>
              <w:rPr>
                <w:sz w:val="1"/>
                <w:szCs w:val="1"/>
                <w:color w:val="auto"/>
              </w:rPr>
            </w:pPr>
          </w:p>
        </w:tc>
        <w:tc>
          <w:tcPr>
            <w:tcW w:w="900" w:type="dxa"/>
            <w:vAlign w:val="bottom"/>
            <w:shd w:val="clear" w:color="auto" w:fill="88888B"/>
          </w:tcPr>
          <w:p>
            <w:pPr>
              <w:spacing w:after="0" w:line="20" w:lineRule="exact"/>
              <w:rPr>
                <w:sz w:val="1"/>
                <w:szCs w:val="1"/>
                <w:color w:val="auto"/>
              </w:rPr>
            </w:pPr>
          </w:p>
        </w:tc>
        <w:tc>
          <w:tcPr>
            <w:tcW w:w="280" w:type="dxa"/>
            <w:vAlign w:val="bottom"/>
            <w:shd w:val="clear" w:color="auto" w:fill="88888B"/>
          </w:tcPr>
          <w:p>
            <w:pPr>
              <w:spacing w:after="0" w:line="20" w:lineRule="exact"/>
              <w:rPr>
                <w:sz w:val="1"/>
                <w:szCs w:val="1"/>
                <w:color w:val="auto"/>
              </w:rPr>
            </w:pPr>
          </w:p>
        </w:tc>
        <w:tc>
          <w:tcPr>
            <w:tcW w:w="780" w:type="dxa"/>
            <w:vAlign w:val="bottom"/>
            <w:shd w:val="clear" w:color="auto" w:fill="88888B"/>
          </w:tcPr>
          <w:p>
            <w:pPr>
              <w:spacing w:after="0" w:line="20" w:lineRule="exact"/>
              <w:rPr>
                <w:sz w:val="1"/>
                <w:szCs w:val="1"/>
                <w:color w:val="auto"/>
              </w:rPr>
            </w:pPr>
          </w:p>
        </w:tc>
        <w:tc>
          <w:tcPr>
            <w:tcW w:w="5160" w:type="dxa"/>
            <w:vAlign w:val="bottom"/>
            <w:shd w:val="clear" w:color="auto" w:fill="88888B"/>
          </w:tcPr>
          <w:p>
            <w:pPr>
              <w:spacing w:after="0" w:line="20" w:lineRule="exact"/>
              <w:rPr>
                <w:sz w:val="1"/>
                <w:szCs w:val="1"/>
                <w:color w:val="auto"/>
              </w:rPr>
            </w:pPr>
          </w:p>
        </w:tc>
        <w:tc>
          <w:tcPr>
            <w:tcW w:w="3700" w:type="dxa"/>
            <w:vAlign w:val="bottom"/>
            <w:shd w:val="clear" w:color="auto" w:fill="8888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220" w:type="dxa"/>
            <w:vAlign w:val="bottom"/>
            <w:gridSpan w:val="6"/>
          </w:tcPr>
          <w:p>
            <w:pPr>
              <w:spacing w:after="0"/>
              <w:rPr>
                <w:sz w:val="20"/>
                <w:szCs w:val="20"/>
                <w:color w:val="auto"/>
              </w:rPr>
            </w:pPr>
            <w:r>
              <w:rPr>
                <w:rFonts w:ascii="Arial" w:cs="Arial" w:eastAsia="Arial" w:hAnsi="Arial"/>
                <w:sz w:val="14"/>
                <w:szCs w:val="14"/>
                <w:b w:val="1"/>
                <w:bCs w:val="1"/>
                <w:color w:val="55565A"/>
              </w:rPr>
              <w:t>   “Big 3” Segments Combined</w:t>
            </w:r>
          </w:p>
        </w:tc>
        <w:tc>
          <w:tcPr>
            <w:tcW w:w="3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55565A"/>
            </w:tcBorders>
          </w:tcPr>
          <w:p>
            <w:pPr>
              <w:spacing w:after="0"/>
              <w:rPr>
                <w:sz w:val="12"/>
                <w:szCs w:val="12"/>
                <w:color w:val="auto"/>
              </w:rPr>
            </w:pPr>
          </w:p>
        </w:tc>
        <w:tc>
          <w:tcPr>
            <w:tcW w:w="280" w:type="dxa"/>
            <w:vAlign w:val="bottom"/>
            <w:tcBorders>
              <w:top w:val="single" w:sz="8" w:color="55565A"/>
            </w:tcBorders>
          </w:tcPr>
          <w:p>
            <w:pPr>
              <w:spacing w:after="0"/>
              <w:rPr>
                <w:sz w:val="12"/>
                <w:szCs w:val="12"/>
                <w:color w:val="auto"/>
              </w:rPr>
            </w:pPr>
          </w:p>
        </w:tc>
        <w:tc>
          <w:tcPr>
            <w:tcW w:w="780" w:type="dxa"/>
            <w:vAlign w:val="bottom"/>
            <w:tcBorders>
              <w:top w:val="single" w:sz="8" w:color="55565A"/>
            </w:tcBorders>
          </w:tcPr>
          <w:p>
            <w:pPr>
              <w:spacing w:after="0"/>
              <w:rPr>
                <w:sz w:val="12"/>
                <w:szCs w:val="12"/>
                <w:color w:val="auto"/>
              </w:rPr>
            </w:pPr>
          </w:p>
        </w:tc>
        <w:tc>
          <w:tcPr>
            <w:tcW w:w="5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12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Adjusted EBITDA</w:t>
            </w:r>
          </w:p>
        </w:tc>
        <w:tc>
          <w:tcPr>
            <w:tcW w:w="3700" w:type="dxa"/>
            <w:vAlign w:val="bottom"/>
            <w:tcBorders>
              <w:bottom w:val="single" w:sz="8" w:color="CCEEFF"/>
            </w:tcBorders>
            <w:shd w:val="clear" w:color="auto" w:fill="CCEEFF"/>
          </w:tcPr>
          <w:p>
            <w:pPr>
              <w:jc w:val="right"/>
              <w:ind w:right="829"/>
              <w:spacing w:after="0"/>
              <w:rPr>
                <w:sz w:val="20"/>
                <w:szCs w:val="20"/>
                <w:color w:val="auto"/>
              </w:rPr>
            </w:pPr>
            <w:r>
              <w:rPr>
                <w:rFonts w:ascii="Arial" w:cs="Arial" w:eastAsia="Arial" w:hAnsi="Arial"/>
                <w:sz w:val="14"/>
                <w:szCs w:val="14"/>
                <w:color w:val="55565A"/>
              </w:rPr>
              <w:t>2,408</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20" w:type="dxa"/>
            <w:vAlign w:val="bottom"/>
            <w:gridSpan w:val="4"/>
          </w:tcPr>
          <w:p>
            <w:pPr>
              <w:ind w:left="60"/>
              <w:spacing w:after="0"/>
              <w:rPr>
                <w:sz w:val="20"/>
                <w:szCs w:val="20"/>
                <w:color w:val="auto"/>
              </w:rPr>
            </w:pPr>
            <w:r>
              <w:rPr>
                <w:rFonts w:ascii="Arial" w:cs="Arial" w:eastAsia="Arial" w:hAnsi="Arial"/>
                <w:sz w:val="14"/>
                <w:szCs w:val="14"/>
                <w:b w:val="1"/>
                <w:bCs w:val="1"/>
                <w:color w:val="55565A"/>
              </w:rPr>
              <w:t>   Revenues, excluding $15 million of fair value adjustments to acquired deferred revenue</w:t>
            </w:r>
          </w:p>
        </w:tc>
        <w:tc>
          <w:tcPr>
            <w:tcW w:w="3700" w:type="dxa"/>
            <w:vAlign w:val="bottom"/>
          </w:tcPr>
          <w:p>
            <w:pPr>
              <w:jc w:val="right"/>
              <w:ind w:right="829"/>
              <w:spacing w:after="0"/>
              <w:rPr>
                <w:sz w:val="20"/>
                <w:szCs w:val="20"/>
                <w:color w:val="auto"/>
              </w:rPr>
            </w:pPr>
            <w:r>
              <w:rPr>
                <w:rFonts w:ascii="Arial" w:cs="Arial" w:eastAsia="Arial" w:hAnsi="Arial"/>
                <w:sz w:val="14"/>
                <w:szCs w:val="14"/>
                <w:color w:val="55565A"/>
              </w:rPr>
              <w:t>5,500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12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b w:val="1"/>
                <w:bCs w:val="1"/>
                <w:color w:val="55565A"/>
              </w:rPr>
              <w:t>   Adjusted EBITDA margin</w:t>
            </w:r>
          </w:p>
        </w:tc>
        <w:tc>
          <w:tcPr>
            <w:tcW w:w="3700" w:type="dxa"/>
            <w:vAlign w:val="bottom"/>
            <w:tcBorders>
              <w:bottom w:val="single" w:sz="8" w:color="CCEEFF"/>
            </w:tcBorders>
            <w:shd w:val="clear" w:color="auto" w:fill="CCEEFF"/>
          </w:tcPr>
          <w:p>
            <w:pPr>
              <w:jc w:val="right"/>
              <w:ind w:right="829"/>
              <w:spacing w:after="0"/>
              <w:rPr>
                <w:sz w:val="20"/>
                <w:szCs w:val="20"/>
                <w:color w:val="auto"/>
              </w:rPr>
            </w:pPr>
            <w:r>
              <w:rPr>
                <w:rFonts w:ascii="Arial" w:cs="Arial" w:eastAsia="Arial" w:hAnsi="Arial"/>
                <w:sz w:val="14"/>
                <w:szCs w:val="14"/>
                <w:color w:val="55565A"/>
              </w:rPr>
              <w:t>43.8%</w:t>
            </w:r>
          </w:p>
        </w:tc>
        <w:tc>
          <w:tcPr>
            <w:tcW w:w="0" w:type="dxa"/>
            <w:vAlign w:val="bottom"/>
          </w:tcPr>
          <w:p>
            <w:pPr>
              <w:spacing w:after="0"/>
              <w:rPr>
                <w:sz w:val="1"/>
                <w:szCs w:val="1"/>
                <w:color w:val="auto"/>
              </w:rPr>
            </w:pPr>
          </w:p>
        </w:tc>
      </w:tr>
      <w:tr>
        <w:trPr>
          <w:trHeight w:val="294"/>
        </w:trPr>
        <w:tc>
          <w:tcPr>
            <w:tcW w:w="7220" w:type="dxa"/>
            <w:vAlign w:val="bottom"/>
            <w:gridSpan w:val="6"/>
          </w:tcPr>
          <w:p>
            <w:pPr>
              <w:spacing w:after="0"/>
              <w:rPr>
                <w:sz w:val="20"/>
                <w:szCs w:val="20"/>
                <w:color w:val="auto"/>
              </w:rPr>
            </w:pPr>
            <w:r>
              <w:rPr>
                <w:rFonts w:ascii="Arial" w:cs="Arial" w:eastAsia="Arial" w:hAnsi="Arial"/>
                <w:sz w:val="14"/>
                <w:szCs w:val="14"/>
                <w:b w:val="1"/>
                <w:bCs w:val="1"/>
                <w:color w:val="55565A"/>
              </w:rPr>
              <w:t>   Consolidated</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55565A"/>
            </w:tcBorders>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7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55565A"/>
              </w:rPr>
              <w:t>   Adjusted EBITDA</w:t>
            </w:r>
          </w:p>
        </w:tc>
        <w:tc>
          <w:tcPr>
            <w:tcW w:w="3700" w:type="dxa"/>
            <w:vAlign w:val="bottom"/>
            <w:tcBorders>
              <w:bottom w:val="single" w:sz="8" w:color="CCEEFF"/>
            </w:tcBorders>
            <w:shd w:val="clear" w:color="auto" w:fill="CCEEFF"/>
          </w:tcPr>
          <w:p>
            <w:pPr>
              <w:jc w:val="right"/>
              <w:ind w:right="829"/>
              <w:spacing w:after="0"/>
              <w:rPr>
                <w:sz w:val="20"/>
                <w:szCs w:val="20"/>
                <w:color w:val="auto"/>
              </w:rPr>
            </w:pPr>
            <w:r>
              <w:rPr>
                <w:rFonts w:ascii="Arial" w:cs="Arial" w:eastAsia="Arial" w:hAnsi="Arial"/>
                <w:sz w:val="14"/>
                <w:szCs w:val="14"/>
                <w:color w:val="55565A"/>
              </w:rPr>
              <w:t>2,678</w:t>
            </w:r>
          </w:p>
        </w:tc>
        <w:tc>
          <w:tcPr>
            <w:tcW w:w="0" w:type="dxa"/>
            <w:vAlign w:val="bottom"/>
          </w:tcPr>
          <w:p>
            <w:pPr>
              <w:spacing w:after="0"/>
              <w:rPr>
                <w:sz w:val="1"/>
                <w:szCs w:val="1"/>
                <w:color w:val="auto"/>
              </w:rPr>
            </w:pPr>
          </w:p>
        </w:tc>
      </w:tr>
      <w:tr>
        <w:trPr>
          <w:trHeight w:val="253"/>
        </w:trPr>
        <w:tc>
          <w:tcPr>
            <w:tcW w:w="7220" w:type="dxa"/>
            <w:vAlign w:val="bottom"/>
            <w:gridSpan w:val="6"/>
          </w:tcPr>
          <w:p>
            <w:pPr>
              <w:spacing w:after="0"/>
              <w:rPr>
                <w:sz w:val="20"/>
                <w:szCs w:val="20"/>
                <w:color w:val="auto"/>
              </w:rPr>
            </w:pPr>
            <w:r>
              <w:rPr>
                <w:rFonts w:ascii="Arial" w:cs="Arial" w:eastAsia="Arial" w:hAnsi="Arial"/>
                <w:sz w:val="14"/>
                <w:szCs w:val="14"/>
                <w:b w:val="1"/>
                <w:bCs w:val="1"/>
                <w:color w:val="55565A"/>
              </w:rPr>
              <w:t>   Revenues, excluding $16 million of fair value adjustments to acquired deferred revenue</w:t>
            </w:r>
          </w:p>
        </w:tc>
        <w:tc>
          <w:tcPr>
            <w:tcW w:w="3700" w:type="dxa"/>
            <w:vAlign w:val="bottom"/>
          </w:tcPr>
          <w:p>
            <w:pPr>
              <w:jc w:val="right"/>
              <w:ind w:right="829"/>
              <w:spacing w:after="0"/>
              <w:rPr>
                <w:sz w:val="20"/>
                <w:szCs w:val="20"/>
                <w:color w:val="auto"/>
              </w:rPr>
            </w:pPr>
            <w:r>
              <w:rPr>
                <w:rFonts w:ascii="Arial" w:cs="Arial" w:eastAsia="Arial" w:hAnsi="Arial"/>
                <w:sz w:val="14"/>
                <w:szCs w:val="14"/>
                <w:color w:val="55565A"/>
              </w:rPr>
              <w:t>6,810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19"/>
                <w:szCs w:val="19"/>
                <w:color w:val="auto"/>
              </w:rPr>
            </w:pPr>
          </w:p>
        </w:tc>
        <w:tc>
          <w:tcPr>
            <w:tcW w:w="7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55565A"/>
              </w:rPr>
              <w:t>   Adjusted EBITDA margin</w:t>
            </w:r>
          </w:p>
        </w:tc>
        <w:tc>
          <w:tcPr>
            <w:tcW w:w="3700" w:type="dxa"/>
            <w:vAlign w:val="bottom"/>
            <w:tcBorders>
              <w:bottom w:val="single" w:sz="8" w:color="CCEEFF"/>
            </w:tcBorders>
            <w:shd w:val="clear" w:color="auto" w:fill="CCEEFF"/>
          </w:tcPr>
          <w:p>
            <w:pPr>
              <w:jc w:val="right"/>
              <w:ind w:right="829"/>
              <w:spacing w:after="0"/>
              <w:rPr>
                <w:sz w:val="20"/>
                <w:szCs w:val="20"/>
                <w:color w:val="auto"/>
              </w:rPr>
            </w:pPr>
            <w:r>
              <w:rPr>
                <w:rFonts w:ascii="Arial" w:cs="Arial" w:eastAsia="Arial" w:hAnsi="Arial"/>
                <w:sz w:val="14"/>
                <w:szCs w:val="14"/>
                <w:color w:val="55565A"/>
              </w:rPr>
              <w:t>39.3%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Borders>
              <w:top w:val="single" w:sz="8" w:color="55565A"/>
              <w:bottom w:val="single" w:sz="8" w:color="55565A"/>
            </w:tcBorders>
          </w:tcPr>
          <w:p>
            <w:pPr>
              <w:spacing w:after="0"/>
              <w:rPr>
                <w:sz w:val="14"/>
                <w:szCs w:val="14"/>
                <w:color w:val="auto"/>
              </w:rPr>
            </w:pPr>
          </w:p>
        </w:tc>
        <w:tc>
          <w:tcPr>
            <w:tcW w:w="900" w:type="dxa"/>
            <w:vAlign w:val="bottom"/>
            <w:tcBorders>
              <w:top w:val="single" w:sz="8" w:color="55565A"/>
              <w:bottom w:val="single" w:sz="8" w:color="55565A"/>
            </w:tcBorders>
          </w:tcPr>
          <w:p>
            <w:pPr>
              <w:spacing w:after="0"/>
              <w:rPr>
                <w:sz w:val="14"/>
                <w:szCs w:val="14"/>
                <w:color w:val="auto"/>
              </w:rPr>
            </w:pPr>
          </w:p>
        </w:tc>
        <w:tc>
          <w:tcPr>
            <w:tcW w:w="280" w:type="dxa"/>
            <w:vAlign w:val="bottom"/>
            <w:tcBorders>
              <w:top w:val="single" w:sz="8" w:color="55565A"/>
              <w:bottom w:val="single" w:sz="8" w:color="55565A"/>
            </w:tcBorders>
          </w:tcPr>
          <w:p>
            <w:pPr>
              <w:spacing w:after="0"/>
              <w:rPr>
                <w:sz w:val="14"/>
                <w:szCs w:val="14"/>
                <w:color w:val="auto"/>
              </w:rPr>
            </w:pPr>
          </w:p>
        </w:tc>
        <w:tc>
          <w:tcPr>
            <w:tcW w:w="780" w:type="dxa"/>
            <w:vAlign w:val="bottom"/>
            <w:tcBorders>
              <w:top w:val="single" w:sz="8" w:color="55565A"/>
              <w:bottom w:val="single" w:sz="8" w:color="55565A"/>
            </w:tcBorders>
          </w:tcPr>
          <w:p>
            <w:pPr>
              <w:spacing w:after="0"/>
              <w:rPr>
                <w:sz w:val="14"/>
                <w:szCs w:val="14"/>
                <w:color w:val="auto"/>
              </w:rPr>
            </w:pPr>
          </w:p>
        </w:tc>
        <w:tc>
          <w:tcPr>
            <w:tcW w:w="5160" w:type="dxa"/>
            <w:vAlign w:val="bottom"/>
            <w:tcBorders>
              <w:top w:val="single" w:sz="8" w:color="55565A"/>
              <w:bottom w:val="single" w:sz="8" w:color="55565A"/>
            </w:tcBorders>
          </w:tcPr>
          <w:p>
            <w:pPr>
              <w:spacing w:after="0"/>
              <w:rPr>
                <w:sz w:val="14"/>
                <w:szCs w:val="14"/>
                <w:color w:val="auto"/>
              </w:rPr>
            </w:pPr>
          </w:p>
        </w:tc>
        <w:tc>
          <w:tcPr>
            <w:tcW w:w="3700" w:type="dxa"/>
            <w:vAlign w:val="bottom"/>
            <w:tcBorders>
              <w:top w:val="single" w:sz="8" w:color="55565A"/>
              <w:bottom w:val="single" w:sz="8" w:color="55565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080"/>
          </w:cols>
          <w:pgMar w:left="320" w:top="454" w:right="499" w:bottom="0" w:gutter="0" w:footer="0" w:header="0"/>
        </w:sectPr>
      </w:pPr>
    </w:p>
    <w:p>
      <w:pPr>
        <w:ind w:left="160"/>
        <w:spacing w:after="0"/>
        <w:rPr>
          <w:sz w:val="20"/>
          <w:szCs w:val="20"/>
          <w:color w:val="auto"/>
        </w:rPr>
      </w:pPr>
      <w:r>
        <w:rPr>
          <w:rFonts w:ascii="Arial" w:cs="Arial" w:eastAsia="Arial" w:hAnsi="Arial"/>
          <w:sz w:val="13"/>
          <w:szCs w:val="13"/>
          <w:color w:val="55565A"/>
        </w:rPr>
        <w:t>Page 30</w:t>
      </w:r>
    </w:p>
    <w:p>
      <w:pPr>
        <w:sectPr>
          <w:pgSz w:w="11900" w:h="16838" w:orient="portrait"/>
          <w:cols w:equalWidth="0" w:num="1">
            <w:col w:w="11080"/>
          </w:cols>
          <w:pgMar w:left="320" w:top="454" w:right="499"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5565A"/>
        </w:rPr>
        <w:t>Reconciliation of adjusted EBITDA margin</w:t>
      </w:r>
    </w:p>
    <w:p>
      <w:pPr>
        <w:spacing w:after="0" w:line="108"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55565A"/>
        </w:rPr>
        <w:t>To compute segment and consolidated adjusted EBITDA margin, we exclude fair value adjustments related to acquired deferred revenue from our IFRS revenues. The chart below reconciles IFRS revenues to revenues used in the calculation of adjusted EBITDA margin, which excludes fair value adjustments related to acquired deferred revenue.</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60" w:type="dxa"/>
            <w:vAlign w:val="bottom"/>
            <w:tcBorders>
              <w:top w:val="single" w:sz="8" w:color="55565A"/>
            </w:tcBorders>
          </w:tcPr>
          <w:p>
            <w:pPr>
              <w:spacing w:after="0"/>
              <w:rPr>
                <w:sz w:val="18"/>
                <w:szCs w:val="18"/>
                <w:color w:val="auto"/>
              </w:rPr>
            </w:pPr>
          </w:p>
        </w:tc>
        <w:tc>
          <w:tcPr>
            <w:tcW w:w="2580" w:type="dxa"/>
            <w:vAlign w:val="bottom"/>
            <w:tcBorders>
              <w:top w:val="single" w:sz="8" w:color="55565A"/>
            </w:tcBorders>
          </w:tcPr>
          <w:p>
            <w:pPr>
              <w:spacing w:after="0"/>
              <w:rPr>
                <w:sz w:val="18"/>
                <w:szCs w:val="18"/>
                <w:color w:val="auto"/>
              </w:rPr>
            </w:pPr>
          </w:p>
        </w:tc>
        <w:tc>
          <w:tcPr>
            <w:tcW w:w="1460" w:type="dxa"/>
            <w:vAlign w:val="bottom"/>
            <w:tcBorders>
              <w:top w:val="single" w:sz="8" w:color="55565A"/>
            </w:tcBorders>
          </w:tcPr>
          <w:p>
            <w:pPr>
              <w:spacing w:after="0"/>
              <w:rPr>
                <w:sz w:val="18"/>
                <w:szCs w:val="18"/>
                <w:color w:val="auto"/>
              </w:rPr>
            </w:pPr>
          </w:p>
        </w:tc>
        <w:tc>
          <w:tcPr>
            <w:tcW w:w="3840" w:type="dxa"/>
            <w:vAlign w:val="bottom"/>
            <w:tcBorders>
              <w:top w:val="single" w:sz="8" w:color="55565A"/>
            </w:tcBorders>
            <w:gridSpan w:val="2"/>
          </w:tcPr>
          <w:p>
            <w:pPr>
              <w:ind w:left="1200"/>
              <w:spacing w:after="0"/>
              <w:rPr>
                <w:sz w:val="20"/>
                <w:szCs w:val="20"/>
                <w:color w:val="auto"/>
              </w:rPr>
            </w:pPr>
            <w:r>
              <w:rPr>
                <w:rFonts w:ascii="Arial" w:cs="Arial" w:eastAsia="Arial" w:hAnsi="Arial"/>
                <w:sz w:val="14"/>
                <w:szCs w:val="14"/>
                <w:b w:val="1"/>
                <w:bCs w:val="1"/>
                <w:color w:val="55565A"/>
              </w:rPr>
              <w:t>Three months ended March 31, 2024</w:t>
            </w:r>
          </w:p>
        </w:tc>
        <w:tc>
          <w:tcPr>
            <w:tcW w:w="1080" w:type="dxa"/>
            <w:vAlign w:val="bottom"/>
            <w:tcBorders>
              <w:top w:val="single" w:sz="8" w:color="55565A"/>
            </w:tcBorders>
          </w:tcPr>
          <w:p>
            <w:pPr>
              <w:spacing w:after="0"/>
              <w:rPr>
                <w:sz w:val="18"/>
                <w:szCs w:val="18"/>
                <w:color w:val="auto"/>
              </w:rPr>
            </w:pPr>
          </w:p>
        </w:tc>
        <w:tc>
          <w:tcPr>
            <w:tcW w:w="1280" w:type="dxa"/>
            <w:vAlign w:val="bottom"/>
            <w:tcBorders>
              <w:top w:val="single" w:sz="8" w:color="55565A"/>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20" w:type="dxa"/>
            <w:vAlign w:val="bottom"/>
          </w:tcPr>
          <w:p>
            <w:pPr>
              <w:jc w:val="center"/>
              <w:ind w:left="309"/>
              <w:spacing w:after="0"/>
              <w:rPr>
                <w:sz w:val="20"/>
                <w:szCs w:val="20"/>
                <w:color w:val="auto"/>
              </w:rPr>
            </w:pPr>
            <w:r>
              <w:rPr>
                <w:rFonts w:ascii="Arial" w:cs="Arial" w:eastAsia="Arial" w:hAnsi="Arial"/>
                <w:sz w:val="14"/>
                <w:szCs w:val="14"/>
                <w:b w:val="1"/>
                <w:bCs w:val="1"/>
                <w:color w:val="55565A"/>
              </w:rPr>
              <w:t>Revenues</w:t>
            </w: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20" w:type="dxa"/>
            <w:vAlign w:val="bottom"/>
            <w:vMerge w:val="restart"/>
          </w:tcPr>
          <w:p>
            <w:pPr>
              <w:jc w:val="center"/>
              <w:ind w:right="169"/>
              <w:spacing w:after="0"/>
              <w:rPr>
                <w:sz w:val="20"/>
                <w:szCs w:val="20"/>
                <w:color w:val="auto"/>
              </w:rPr>
            </w:pPr>
            <w:r>
              <w:rPr>
                <w:rFonts w:ascii="Arial" w:cs="Arial" w:eastAsia="Arial" w:hAnsi="Arial"/>
                <w:sz w:val="14"/>
                <w:szCs w:val="14"/>
                <w:b w:val="1"/>
                <w:bCs w:val="1"/>
                <w:color w:val="55565A"/>
              </w:rPr>
              <w:t>Remove fair value</w:t>
            </w:r>
          </w:p>
        </w:tc>
        <w:tc>
          <w:tcPr>
            <w:tcW w:w="1820" w:type="dxa"/>
            <w:vAlign w:val="bottom"/>
          </w:tcPr>
          <w:p>
            <w:pPr>
              <w:jc w:val="center"/>
              <w:ind w:left="309"/>
              <w:spacing w:after="0"/>
              <w:rPr>
                <w:sz w:val="20"/>
                <w:szCs w:val="20"/>
                <w:color w:val="auto"/>
              </w:rPr>
            </w:pPr>
            <w:r>
              <w:rPr>
                <w:rFonts w:ascii="Arial" w:cs="Arial" w:eastAsia="Arial" w:hAnsi="Arial"/>
                <w:sz w:val="14"/>
                <w:szCs w:val="14"/>
                <w:b w:val="1"/>
                <w:bCs w:val="1"/>
                <w:color w:val="55565A"/>
              </w:rPr>
              <w:t>excluding</w:t>
            </w: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820" w:type="dxa"/>
            <w:vAlign w:val="bottom"/>
          </w:tcPr>
          <w:p>
            <w:pPr>
              <w:jc w:val="center"/>
              <w:ind w:left="309"/>
              <w:spacing w:after="0" w:line="147" w:lineRule="exact"/>
              <w:rPr>
                <w:sz w:val="20"/>
                <w:szCs w:val="20"/>
                <w:color w:val="auto"/>
              </w:rPr>
            </w:pPr>
            <w:r>
              <w:rPr>
                <w:rFonts w:ascii="Arial" w:cs="Arial" w:eastAsia="Arial" w:hAnsi="Arial"/>
                <w:sz w:val="14"/>
                <w:szCs w:val="14"/>
                <w:b w:val="1"/>
                <w:bCs w:val="1"/>
                <w:color w:val="55565A"/>
              </w:rPr>
              <w:t>fair value</w:t>
            </w:r>
          </w:p>
        </w:tc>
        <w:tc>
          <w:tcPr>
            <w:tcW w:w="1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20" w:type="dxa"/>
            <w:vAlign w:val="bottom"/>
          </w:tcPr>
          <w:p>
            <w:pPr>
              <w:jc w:val="center"/>
              <w:ind w:right="149"/>
              <w:spacing w:after="0"/>
              <w:rPr>
                <w:sz w:val="20"/>
                <w:szCs w:val="20"/>
                <w:color w:val="auto"/>
              </w:rPr>
            </w:pPr>
            <w:r>
              <w:rPr>
                <w:rFonts w:ascii="Arial" w:cs="Arial" w:eastAsia="Arial" w:hAnsi="Arial"/>
                <w:sz w:val="14"/>
                <w:szCs w:val="14"/>
                <w:b w:val="1"/>
                <w:bCs w:val="1"/>
                <w:color w:val="55565A"/>
              </w:rPr>
              <w:t>adjustments</w:t>
            </w:r>
          </w:p>
        </w:tc>
        <w:tc>
          <w:tcPr>
            <w:tcW w:w="1820" w:type="dxa"/>
            <w:vAlign w:val="bottom"/>
          </w:tcPr>
          <w:p>
            <w:pPr>
              <w:jc w:val="center"/>
              <w:ind w:left="309"/>
              <w:spacing w:after="0"/>
              <w:rPr>
                <w:sz w:val="20"/>
                <w:szCs w:val="20"/>
                <w:color w:val="auto"/>
              </w:rPr>
            </w:pPr>
            <w:r>
              <w:rPr>
                <w:rFonts w:ascii="Arial" w:cs="Arial" w:eastAsia="Arial" w:hAnsi="Arial"/>
                <w:sz w:val="14"/>
                <w:szCs w:val="14"/>
                <w:b w:val="1"/>
                <w:bCs w:val="1"/>
                <w:color w:val="55565A"/>
              </w:rPr>
              <w:t>adjustments</w:t>
            </w:r>
          </w:p>
        </w:tc>
        <w:tc>
          <w:tcPr>
            <w:tcW w:w="1080" w:type="dxa"/>
            <w:vAlign w:val="bottom"/>
          </w:tcPr>
          <w:p>
            <w:pPr>
              <w:spacing w:after="0"/>
              <w:rPr>
                <w:sz w:val="13"/>
                <w:szCs w:val="13"/>
                <w:color w:val="auto"/>
              </w:rPr>
            </w:pPr>
          </w:p>
        </w:tc>
        <w:tc>
          <w:tcPr>
            <w:tcW w:w="1280" w:type="dxa"/>
            <w:vAlign w:val="bottom"/>
          </w:tcPr>
          <w:p>
            <w:pPr>
              <w:jc w:val="right"/>
              <w:ind w:right="289"/>
              <w:spacing w:after="0"/>
              <w:rPr>
                <w:sz w:val="20"/>
                <w:szCs w:val="20"/>
                <w:color w:val="auto"/>
              </w:rPr>
            </w:pPr>
            <w:r>
              <w:rPr>
                <w:rFonts w:ascii="Arial" w:cs="Arial" w:eastAsia="Arial" w:hAnsi="Arial"/>
                <w:sz w:val="14"/>
                <w:szCs w:val="14"/>
                <w:b w:val="1"/>
                <w:bCs w:val="1"/>
                <w:color w:val="55565A"/>
              </w:rPr>
              <w:t>Adjusted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60" w:type="dxa"/>
            <w:vAlign w:val="bottom"/>
          </w:tcPr>
          <w:p>
            <w:pPr>
              <w:jc w:val="right"/>
              <w:ind w:right="429"/>
              <w:spacing w:after="0"/>
              <w:rPr>
                <w:sz w:val="20"/>
                <w:szCs w:val="20"/>
                <w:color w:val="auto"/>
              </w:rPr>
            </w:pPr>
            <w:r>
              <w:rPr>
                <w:rFonts w:ascii="Arial" w:cs="Arial" w:eastAsia="Arial" w:hAnsi="Arial"/>
                <w:sz w:val="14"/>
                <w:szCs w:val="14"/>
                <w:b w:val="1"/>
                <w:bCs w:val="1"/>
                <w:color w:val="55565A"/>
              </w:rPr>
              <w:t>IFRS</w:t>
            </w:r>
          </w:p>
        </w:tc>
        <w:tc>
          <w:tcPr>
            <w:tcW w:w="2020" w:type="dxa"/>
            <w:vAlign w:val="bottom"/>
          </w:tcPr>
          <w:p>
            <w:pPr>
              <w:jc w:val="center"/>
              <w:ind w:right="169"/>
              <w:spacing w:after="0"/>
              <w:rPr>
                <w:sz w:val="20"/>
                <w:szCs w:val="20"/>
                <w:color w:val="auto"/>
              </w:rPr>
            </w:pPr>
            <w:r>
              <w:rPr>
                <w:rFonts w:ascii="Arial" w:cs="Arial" w:eastAsia="Arial" w:hAnsi="Arial"/>
                <w:sz w:val="14"/>
                <w:szCs w:val="14"/>
                <w:b w:val="1"/>
                <w:bCs w:val="1"/>
                <w:color w:val="55565A"/>
              </w:rPr>
              <w:t>to acquired</w:t>
            </w:r>
          </w:p>
        </w:tc>
        <w:tc>
          <w:tcPr>
            <w:tcW w:w="1820" w:type="dxa"/>
            <w:vAlign w:val="bottom"/>
          </w:tcPr>
          <w:p>
            <w:pPr>
              <w:jc w:val="center"/>
              <w:ind w:left="309"/>
              <w:spacing w:after="0"/>
              <w:rPr>
                <w:sz w:val="20"/>
                <w:szCs w:val="20"/>
                <w:color w:val="auto"/>
              </w:rPr>
            </w:pPr>
            <w:r>
              <w:rPr>
                <w:rFonts w:ascii="Arial" w:cs="Arial" w:eastAsia="Arial" w:hAnsi="Arial"/>
                <w:sz w:val="14"/>
                <w:szCs w:val="14"/>
                <w:b w:val="1"/>
                <w:bCs w:val="1"/>
                <w:color w:val="55565A"/>
              </w:rPr>
              <w:t>to acquired</w:t>
            </w: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55565A"/>
              </w:rPr>
              <w:t>Adjusted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55565A"/>
              </w:rPr>
              <w:t>EBITDA</w:t>
            </w:r>
          </w:p>
        </w:tc>
        <w:tc>
          <w:tcPr>
            <w:tcW w:w="0" w:type="dxa"/>
            <w:vAlign w:val="bottom"/>
          </w:tcPr>
          <w:p>
            <w:pPr>
              <w:spacing w:after="0"/>
              <w:rPr>
                <w:sz w:val="1"/>
                <w:szCs w:val="1"/>
                <w:color w:val="auto"/>
              </w:rPr>
            </w:pPr>
          </w:p>
        </w:tc>
      </w:tr>
      <w:tr>
        <w:trPr>
          <w:trHeight w:val="183"/>
        </w:trPr>
        <w:tc>
          <w:tcPr>
            <w:tcW w:w="3260" w:type="dxa"/>
            <w:vAlign w:val="bottom"/>
            <w:gridSpan w:val="3"/>
          </w:tcPr>
          <w:p>
            <w:pPr>
              <w:spacing w:after="0"/>
              <w:rPr>
                <w:sz w:val="20"/>
                <w:szCs w:val="20"/>
                <w:color w:val="auto"/>
              </w:rPr>
            </w:pPr>
            <w:r>
              <w:rPr>
                <w:rFonts w:ascii="Arial" w:cs="Arial" w:eastAsia="Arial" w:hAnsi="Arial"/>
                <w:sz w:val="14"/>
                <w:szCs w:val="14"/>
                <w:b w:val="1"/>
                <w:bCs w:val="1"/>
                <w:color w:val="55565A"/>
              </w:rPr>
              <w:t>(millions of U.S. dollars, except margins)</w:t>
            </w:r>
          </w:p>
        </w:tc>
        <w:tc>
          <w:tcPr>
            <w:tcW w:w="1460" w:type="dxa"/>
            <w:vAlign w:val="bottom"/>
          </w:tcPr>
          <w:p>
            <w:pPr>
              <w:jc w:val="right"/>
              <w:ind w:right="269"/>
              <w:spacing w:after="0"/>
              <w:rPr>
                <w:sz w:val="20"/>
                <w:szCs w:val="20"/>
                <w:color w:val="auto"/>
              </w:rPr>
            </w:pPr>
            <w:r>
              <w:rPr>
                <w:rFonts w:ascii="Arial" w:cs="Arial" w:eastAsia="Arial" w:hAnsi="Arial"/>
                <w:sz w:val="14"/>
                <w:szCs w:val="14"/>
                <w:b w:val="1"/>
                <w:bCs w:val="1"/>
                <w:color w:val="55565A"/>
              </w:rPr>
              <w:t>revenues</w:t>
            </w:r>
          </w:p>
        </w:tc>
        <w:tc>
          <w:tcPr>
            <w:tcW w:w="2020" w:type="dxa"/>
            <w:vAlign w:val="bottom"/>
          </w:tcPr>
          <w:p>
            <w:pPr>
              <w:jc w:val="center"/>
              <w:ind w:right="169"/>
              <w:spacing w:after="0"/>
              <w:rPr>
                <w:sz w:val="20"/>
                <w:szCs w:val="20"/>
                <w:color w:val="auto"/>
              </w:rPr>
            </w:pPr>
            <w:r>
              <w:rPr>
                <w:rFonts w:ascii="Arial" w:cs="Arial" w:eastAsia="Arial" w:hAnsi="Arial"/>
                <w:sz w:val="14"/>
                <w:szCs w:val="14"/>
                <w:b w:val="1"/>
                <w:bCs w:val="1"/>
                <w:color w:val="55565A"/>
              </w:rPr>
              <w:t>deferred revenue</w:t>
            </w:r>
          </w:p>
        </w:tc>
        <w:tc>
          <w:tcPr>
            <w:tcW w:w="1820" w:type="dxa"/>
            <w:vAlign w:val="bottom"/>
          </w:tcPr>
          <w:p>
            <w:pPr>
              <w:jc w:val="center"/>
              <w:ind w:left="309"/>
              <w:spacing w:after="0"/>
              <w:rPr>
                <w:sz w:val="20"/>
                <w:szCs w:val="20"/>
                <w:color w:val="auto"/>
              </w:rPr>
            </w:pPr>
            <w:r>
              <w:rPr>
                <w:rFonts w:ascii="Arial" w:cs="Arial" w:eastAsia="Arial" w:hAnsi="Arial"/>
                <w:sz w:val="14"/>
                <w:szCs w:val="14"/>
                <w:b w:val="1"/>
                <w:bCs w:val="1"/>
                <w:color w:val="55565A"/>
              </w:rPr>
              <w:t>deferred revenue</w:t>
            </w: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55565A"/>
                <w:w w:val="99"/>
              </w:rPr>
              <w:t>EBITDA</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55565A"/>
                <w:w w:val="98"/>
              </w:rPr>
              <w:t>margin</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60" w:type="dxa"/>
            <w:vAlign w:val="bottom"/>
            <w:tcBorders>
              <w:top w:val="single" w:sz="8" w:color="88888B"/>
            </w:tcBorders>
          </w:tcPr>
          <w:p>
            <w:pPr>
              <w:spacing w:after="0"/>
              <w:rPr>
                <w:sz w:val="2"/>
                <w:szCs w:val="2"/>
                <w:color w:val="auto"/>
              </w:rPr>
            </w:pPr>
          </w:p>
        </w:tc>
        <w:tc>
          <w:tcPr>
            <w:tcW w:w="2580" w:type="dxa"/>
            <w:vAlign w:val="bottom"/>
            <w:tcBorders>
              <w:top w:val="single" w:sz="8" w:color="88888B"/>
            </w:tcBorders>
          </w:tcPr>
          <w:p>
            <w:pPr>
              <w:spacing w:after="0"/>
              <w:rPr>
                <w:sz w:val="2"/>
                <w:szCs w:val="2"/>
                <w:color w:val="auto"/>
              </w:rPr>
            </w:pPr>
          </w:p>
        </w:tc>
        <w:tc>
          <w:tcPr>
            <w:tcW w:w="1460" w:type="dxa"/>
            <w:vAlign w:val="bottom"/>
            <w:tcBorders>
              <w:top w:val="single" w:sz="8" w:color="88888B"/>
            </w:tcBorders>
          </w:tcPr>
          <w:p>
            <w:pPr>
              <w:spacing w:after="0"/>
              <w:rPr>
                <w:sz w:val="2"/>
                <w:szCs w:val="2"/>
                <w:color w:val="auto"/>
              </w:rPr>
            </w:pPr>
          </w:p>
        </w:tc>
        <w:tc>
          <w:tcPr>
            <w:tcW w:w="2020" w:type="dxa"/>
            <w:vAlign w:val="bottom"/>
            <w:tcBorders>
              <w:top w:val="single" w:sz="8" w:color="88888B"/>
            </w:tcBorders>
          </w:tcPr>
          <w:p>
            <w:pPr>
              <w:spacing w:after="0"/>
              <w:rPr>
                <w:sz w:val="2"/>
                <w:szCs w:val="2"/>
                <w:color w:val="auto"/>
              </w:rPr>
            </w:pPr>
          </w:p>
        </w:tc>
        <w:tc>
          <w:tcPr>
            <w:tcW w:w="1820" w:type="dxa"/>
            <w:vAlign w:val="bottom"/>
            <w:tcBorders>
              <w:top w:val="single" w:sz="8" w:color="88888B"/>
            </w:tcBorders>
          </w:tcPr>
          <w:p>
            <w:pPr>
              <w:spacing w:after="0"/>
              <w:rPr>
                <w:sz w:val="2"/>
                <w:szCs w:val="2"/>
                <w:color w:val="auto"/>
              </w:rPr>
            </w:pPr>
          </w:p>
        </w:tc>
        <w:tc>
          <w:tcPr>
            <w:tcW w:w="1080" w:type="dxa"/>
            <w:vAlign w:val="bottom"/>
            <w:tcBorders>
              <w:top w:val="single" w:sz="8" w:color="88888B"/>
            </w:tcBorders>
          </w:tcPr>
          <w:p>
            <w:pPr>
              <w:spacing w:after="0"/>
              <w:rPr>
                <w:sz w:val="2"/>
                <w:szCs w:val="2"/>
                <w:color w:val="auto"/>
              </w:rPr>
            </w:pPr>
          </w:p>
        </w:tc>
        <w:tc>
          <w:tcPr>
            <w:tcW w:w="1280" w:type="dxa"/>
            <w:vAlign w:val="bottom"/>
            <w:tcBorders>
              <w:top w:val="single" w:sz="8" w:color="88888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2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b w:val="1"/>
                <w:bCs w:val="1"/>
                <w:color w:val="55565A"/>
              </w:rPr>
              <w:t>Revenues</w:t>
            </w:r>
          </w:p>
        </w:tc>
        <w:tc>
          <w:tcPr>
            <w:tcW w:w="14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top w:val="single" w:sz="8" w:color="55565A"/>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gridSpan w:val="2"/>
          </w:tcPr>
          <w:p>
            <w:pPr>
              <w:ind w:left="140"/>
              <w:spacing w:after="0"/>
              <w:rPr>
                <w:sz w:val="20"/>
                <w:szCs w:val="20"/>
                <w:color w:val="auto"/>
              </w:rPr>
            </w:pPr>
            <w:r>
              <w:rPr>
                <w:rFonts w:ascii="Arial" w:cs="Arial" w:eastAsia="Arial" w:hAnsi="Arial"/>
                <w:sz w:val="14"/>
                <w:szCs w:val="14"/>
                <w:b w:val="1"/>
                <w:bCs w:val="1"/>
                <w:color w:val="55565A"/>
              </w:rPr>
              <w:t>Legal Professionals</w:t>
            </w:r>
          </w:p>
        </w:tc>
        <w:tc>
          <w:tcPr>
            <w:tcW w:w="1460" w:type="dxa"/>
            <w:vAlign w:val="bottom"/>
          </w:tcPr>
          <w:p>
            <w:pPr>
              <w:jc w:val="right"/>
              <w:ind w:right="269"/>
              <w:spacing w:after="0"/>
              <w:rPr>
                <w:sz w:val="20"/>
                <w:szCs w:val="20"/>
                <w:color w:val="auto"/>
              </w:rPr>
            </w:pPr>
            <w:r>
              <w:rPr>
                <w:rFonts w:ascii="Arial" w:cs="Arial" w:eastAsia="Arial" w:hAnsi="Arial"/>
                <w:sz w:val="14"/>
                <w:szCs w:val="14"/>
                <w:b w:val="1"/>
                <w:bCs w:val="1"/>
                <w:color w:val="55565A"/>
              </w:rPr>
              <w:t>721</w:t>
            </w:r>
          </w:p>
        </w:tc>
        <w:tc>
          <w:tcPr>
            <w:tcW w:w="2020" w:type="dxa"/>
            <w:vAlign w:val="bottom"/>
          </w:tcPr>
          <w:p>
            <w:pPr>
              <w:ind w:left="1420"/>
              <w:spacing w:after="0"/>
              <w:rPr>
                <w:sz w:val="20"/>
                <w:szCs w:val="20"/>
                <w:color w:val="auto"/>
              </w:rPr>
            </w:pPr>
            <w:r>
              <w:rPr>
                <w:rFonts w:ascii="Arial" w:cs="Arial" w:eastAsia="Arial" w:hAnsi="Arial"/>
                <w:sz w:val="14"/>
                <w:szCs w:val="14"/>
                <w:b w:val="1"/>
                <w:bCs w:val="1"/>
                <w:color w:val="55565A"/>
              </w:rPr>
              <w:t>–</w:t>
            </w:r>
          </w:p>
        </w:tc>
        <w:tc>
          <w:tcPr>
            <w:tcW w:w="1820" w:type="dxa"/>
            <w:vAlign w:val="bottom"/>
          </w:tcPr>
          <w:p>
            <w:pPr>
              <w:jc w:val="right"/>
              <w:ind w:right="69"/>
              <w:spacing w:after="0"/>
              <w:rPr>
                <w:sz w:val="20"/>
                <w:szCs w:val="20"/>
                <w:color w:val="auto"/>
              </w:rPr>
            </w:pPr>
            <w:r>
              <w:rPr>
                <w:rFonts w:ascii="Arial" w:cs="Arial" w:eastAsia="Arial" w:hAnsi="Arial"/>
                <w:sz w:val="14"/>
                <w:szCs w:val="14"/>
                <w:b w:val="1"/>
                <w:bCs w:val="1"/>
                <w:color w:val="55565A"/>
              </w:rPr>
              <w:t>721</w:t>
            </w:r>
          </w:p>
        </w:tc>
        <w:tc>
          <w:tcPr>
            <w:tcW w:w="1080" w:type="dxa"/>
            <w:vAlign w:val="bottom"/>
          </w:tcPr>
          <w:p>
            <w:pPr>
              <w:jc w:val="right"/>
              <w:ind w:right="249"/>
              <w:spacing w:after="0"/>
              <w:rPr>
                <w:sz w:val="20"/>
                <w:szCs w:val="20"/>
                <w:color w:val="auto"/>
              </w:rPr>
            </w:pPr>
            <w:r>
              <w:rPr>
                <w:rFonts w:ascii="Arial" w:cs="Arial" w:eastAsia="Arial" w:hAnsi="Arial"/>
                <w:sz w:val="14"/>
                <w:szCs w:val="14"/>
                <w:b w:val="1"/>
                <w:bCs w:val="1"/>
                <w:color w:val="55565A"/>
              </w:rPr>
              <w:t>342</w:t>
            </w:r>
          </w:p>
        </w:tc>
        <w:tc>
          <w:tcPr>
            <w:tcW w:w="1280" w:type="dxa"/>
            <w:vAlign w:val="bottom"/>
          </w:tcPr>
          <w:p>
            <w:pPr>
              <w:jc w:val="right"/>
              <w:ind w:right="289"/>
              <w:spacing w:after="0"/>
              <w:rPr>
                <w:sz w:val="20"/>
                <w:szCs w:val="20"/>
                <w:color w:val="auto"/>
              </w:rPr>
            </w:pPr>
            <w:r>
              <w:rPr>
                <w:rFonts w:ascii="Arial" w:cs="Arial" w:eastAsia="Arial" w:hAnsi="Arial"/>
                <w:sz w:val="14"/>
                <w:szCs w:val="14"/>
                <w:b w:val="1"/>
                <w:bCs w:val="1"/>
                <w:color w:val="55565A"/>
              </w:rPr>
              <w:t>47.4%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55565A"/>
              </w:rPr>
              <w:t>Corporates</w:t>
            </w:r>
          </w:p>
        </w:tc>
        <w:tc>
          <w:tcPr>
            <w:tcW w:w="146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55565A"/>
              </w:rPr>
              <w:t>507</w:t>
            </w:r>
          </w:p>
        </w:tc>
        <w:tc>
          <w:tcPr>
            <w:tcW w:w="2020" w:type="dxa"/>
            <w:vAlign w:val="bottom"/>
            <w:shd w:val="clear" w:color="auto" w:fill="CCEEFF"/>
          </w:tcPr>
          <w:p>
            <w:pPr>
              <w:ind w:left="1420"/>
              <w:spacing w:after="0"/>
              <w:rPr>
                <w:sz w:val="20"/>
                <w:szCs w:val="20"/>
                <w:color w:val="auto"/>
              </w:rPr>
            </w:pPr>
            <w:r>
              <w:rPr>
                <w:rFonts w:ascii="Arial" w:cs="Arial" w:eastAsia="Arial" w:hAnsi="Arial"/>
                <w:sz w:val="14"/>
                <w:szCs w:val="14"/>
                <w:b w:val="1"/>
                <w:bCs w:val="1"/>
                <w:color w:val="55565A"/>
              </w:rPr>
              <w:t>3</w:t>
            </w:r>
          </w:p>
        </w:tc>
        <w:tc>
          <w:tcPr>
            <w:tcW w:w="18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5565A"/>
              </w:rPr>
              <w:t>510</w:t>
            </w:r>
          </w:p>
        </w:tc>
        <w:tc>
          <w:tcPr>
            <w:tcW w:w="108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193</w:t>
            </w:r>
          </w:p>
        </w:tc>
        <w:tc>
          <w:tcPr>
            <w:tcW w:w="128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37.8%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tcBorders>
              <w:bottom w:val="single" w:sz="8" w:color="88888B"/>
            </w:tcBorders>
            <w:gridSpan w:val="2"/>
          </w:tcPr>
          <w:p>
            <w:pPr>
              <w:ind w:left="140"/>
              <w:spacing w:after="0"/>
              <w:rPr>
                <w:sz w:val="20"/>
                <w:szCs w:val="20"/>
                <w:color w:val="auto"/>
              </w:rPr>
            </w:pPr>
            <w:r>
              <w:rPr>
                <w:rFonts w:ascii="Arial" w:cs="Arial" w:eastAsia="Arial" w:hAnsi="Arial"/>
                <w:sz w:val="14"/>
                <w:szCs w:val="14"/>
                <w:b w:val="1"/>
                <w:bCs w:val="1"/>
                <w:color w:val="55565A"/>
              </w:rPr>
              <w:t>Tax &amp; Accounting Professionals</w:t>
            </w:r>
          </w:p>
        </w:tc>
        <w:tc>
          <w:tcPr>
            <w:tcW w:w="1460" w:type="dxa"/>
            <w:vAlign w:val="bottom"/>
            <w:tcBorders>
              <w:bottom w:val="single" w:sz="8" w:color="88888B"/>
            </w:tcBorders>
          </w:tcPr>
          <w:p>
            <w:pPr>
              <w:jc w:val="right"/>
              <w:ind w:right="269"/>
              <w:spacing w:after="0"/>
              <w:rPr>
                <w:sz w:val="20"/>
                <w:szCs w:val="20"/>
                <w:color w:val="auto"/>
              </w:rPr>
            </w:pPr>
            <w:r>
              <w:rPr>
                <w:rFonts w:ascii="Arial" w:cs="Arial" w:eastAsia="Arial" w:hAnsi="Arial"/>
                <w:sz w:val="14"/>
                <w:szCs w:val="14"/>
                <w:b w:val="1"/>
                <w:bCs w:val="1"/>
                <w:color w:val="55565A"/>
              </w:rPr>
              <w:t>328</w:t>
            </w:r>
          </w:p>
        </w:tc>
        <w:tc>
          <w:tcPr>
            <w:tcW w:w="2020" w:type="dxa"/>
            <w:vAlign w:val="bottom"/>
            <w:tcBorders>
              <w:bottom w:val="single" w:sz="8" w:color="88888B"/>
            </w:tcBorders>
          </w:tcPr>
          <w:p>
            <w:pPr>
              <w:ind w:left="1420"/>
              <w:spacing w:after="0"/>
              <w:rPr>
                <w:sz w:val="20"/>
                <w:szCs w:val="20"/>
                <w:color w:val="auto"/>
              </w:rPr>
            </w:pPr>
            <w:r>
              <w:rPr>
                <w:rFonts w:ascii="Arial" w:cs="Arial" w:eastAsia="Arial" w:hAnsi="Arial"/>
                <w:sz w:val="14"/>
                <w:szCs w:val="14"/>
                <w:b w:val="1"/>
                <w:bCs w:val="1"/>
                <w:color w:val="55565A"/>
              </w:rPr>
              <w:t>–</w:t>
            </w:r>
          </w:p>
        </w:tc>
        <w:tc>
          <w:tcPr>
            <w:tcW w:w="1820" w:type="dxa"/>
            <w:vAlign w:val="bottom"/>
            <w:tcBorders>
              <w:bottom w:val="single" w:sz="8" w:color="88888B"/>
            </w:tcBorders>
          </w:tcPr>
          <w:p>
            <w:pPr>
              <w:jc w:val="right"/>
              <w:ind w:right="69"/>
              <w:spacing w:after="0"/>
              <w:rPr>
                <w:sz w:val="20"/>
                <w:szCs w:val="20"/>
                <w:color w:val="auto"/>
              </w:rPr>
            </w:pPr>
            <w:r>
              <w:rPr>
                <w:rFonts w:ascii="Arial" w:cs="Arial" w:eastAsia="Arial" w:hAnsi="Arial"/>
                <w:sz w:val="14"/>
                <w:szCs w:val="14"/>
                <w:b w:val="1"/>
                <w:bCs w:val="1"/>
                <w:color w:val="55565A"/>
              </w:rPr>
              <w:t>328</w:t>
            </w:r>
          </w:p>
        </w:tc>
        <w:tc>
          <w:tcPr>
            <w:tcW w:w="108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181</w:t>
            </w:r>
          </w:p>
        </w:tc>
        <w:tc>
          <w:tcPr>
            <w:tcW w:w="128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b w:val="1"/>
                <w:bCs w:val="1"/>
                <w:color w:val="55565A"/>
              </w:rPr>
              <w:t>55.0%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40" w:type="dxa"/>
            <w:vAlign w:val="bottom"/>
            <w:gridSpan w:val="2"/>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“Big 3” Segments Combined</w:t>
            </w:r>
          </w:p>
        </w:tc>
        <w:tc>
          <w:tcPr>
            <w:tcW w:w="1460" w:type="dxa"/>
            <w:vAlign w:val="bottom"/>
            <w:shd w:val="clear" w:color="auto" w:fill="CCEEFF"/>
          </w:tcPr>
          <w:p>
            <w:pPr>
              <w:jc w:val="right"/>
              <w:ind w:right="269"/>
              <w:spacing w:after="0" w:line="154" w:lineRule="exact"/>
              <w:rPr>
                <w:sz w:val="20"/>
                <w:szCs w:val="20"/>
                <w:color w:val="auto"/>
              </w:rPr>
            </w:pPr>
            <w:r>
              <w:rPr>
                <w:rFonts w:ascii="Arial" w:cs="Arial" w:eastAsia="Arial" w:hAnsi="Arial"/>
                <w:sz w:val="14"/>
                <w:szCs w:val="14"/>
                <w:b w:val="1"/>
                <w:bCs w:val="1"/>
                <w:color w:val="55565A"/>
              </w:rPr>
              <w:t>1,556</w:t>
            </w:r>
          </w:p>
        </w:tc>
        <w:tc>
          <w:tcPr>
            <w:tcW w:w="2020" w:type="dxa"/>
            <w:vAlign w:val="bottom"/>
            <w:shd w:val="clear" w:color="auto" w:fill="CCEEFF"/>
          </w:tcPr>
          <w:p>
            <w:pPr>
              <w:ind w:left="1420"/>
              <w:spacing w:after="0" w:line="154" w:lineRule="exact"/>
              <w:rPr>
                <w:sz w:val="20"/>
                <w:szCs w:val="20"/>
                <w:color w:val="auto"/>
              </w:rPr>
            </w:pPr>
            <w:r>
              <w:rPr>
                <w:rFonts w:ascii="Arial" w:cs="Arial" w:eastAsia="Arial" w:hAnsi="Arial"/>
                <w:sz w:val="14"/>
                <w:szCs w:val="14"/>
                <w:b w:val="1"/>
                <w:bCs w:val="1"/>
                <w:color w:val="55565A"/>
              </w:rPr>
              <w:t>3</w:t>
            </w:r>
          </w:p>
        </w:tc>
        <w:tc>
          <w:tcPr>
            <w:tcW w:w="1820" w:type="dxa"/>
            <w:vAlign w:val="bottom"/>
            <w:shd w:val="clear" w:color="auto" w:fill="CCEEFF"/>
          </w:tcPr>
          <w:p>
            <w:pPr>
              <w:jc w:val="right"/>
              <w:ind w:right="69"/>
              <w:spacing w:after="0" w:line="154" w:lineRule="exact"/>
              <w:rPr>
                <w:sz w:val="20"/>
                <w:szCs w:val="20"/>
                <w:color w:val="auto"/>
              </w:rPr>
            </w:pPr>
            <w:r>
              <w:rPr>
                <w:rFonts w:ascii="Arial" w:cs="Arial" w:eastAsia="Arial" w:hAnsi="Arial"/>
                <w:sz w:val="14"/>
                <w:szCs w:val="14"/>
                <w:b w:val="1"/>
                <w:bCs w:val="1"/>
                <w:color w:val="55565A"/>
              </w:rPr>
              <w:t>1,559</w:t>
            </w:r>
          </w:p>
        </w:tc>
        <w:tc>
          <w:tcPr>
            <w:tcW w:w="1080" w:type="dxa"/>
            <w:vAlign w:val="bottom"/>
            <w:shd w:val="clear" w:color="auto" w:fill="CCEEFF"/>
          </w:tcPr>
          <w:p>
            <w:pPr>
              <w:jc w:val="right"/>
              <w:ind w:right="249"/>
              <w:spacing w:after="0" w:line="154" w:lineRule="exact"/>
              <w:rPr>
                <w:sz w:val="20"/>
                <w:szCs w:val="20"/>
                <w:color w:val="auto"/>
              </w:rPr>
            </w:pPr>
            <w:r>
              <w:rPr>
                <w:rFonts w:ascii="Arial" w:cs="Arial" w:eastAsia="Arial" w:hAnsi="Arial"/>
                <w:sz w:val="14"/>
                <w:szCs w:val="14"/>
                <w:b w:val="1"/>
                <w:bCs w:val="1"/>
                <w:color w:val="55565A"/>
              </w:rPr>
              <w:t>716</w:t>
            </w:r>
          </w:p>
        </w:tc>
        <w:tc>
          <w:tcPr>
            <w:tcW w:w="1280" w:type="dxa"/>
            <w:vAlign w:val="bottom"/>
            <w:shd w:val="clear" w:color="auto" w:fill="CCEEFF"/>
          </w:tcPr>
          <w:p>
            <w:pPr>
              <w:jc w:val="right"/>
              <w:ind w:right="289"/>
              <w:spacing w:after="0" w:line="154" w:lineRule="exact"/>
              <w:rPr>
                <w:sz w:val="20"/>
                <w:szCs w:val="20"/>
                <w:color w:val="auto"/>
              </w:rPr>
            </w:pPr>
            <w:r>
              <w:rPr>
                <w:rFonts w:ascii="Arial" w:cs="Arial" w:eastAsia="Arial" w:hAnsi="Arial"/>
                <w:sz w:val="14"/>
                <w:szCs w:val="14"/>
                <w:b w:val="1"/>
                <w:bCs w:val="1"/>
                <w:color w:val="55565A"/>
              </w:rPr>
              <w:t>45.8%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gridSpan w:val="2"/>
          </w:tcPr>
          <w:p>
            <w:pPr>
              <w:ind w:left="140"/>
              <w:spacing w:after="0"/>
              <w:rPr>
                <w:sz w:val="20"/>
                <w:szCs w:val="20"/>
                <w:color w:val="auto"/>
              </w:rPr>
            </w:pPr>
            <w:r>
              <w:rPr>
                <w:rFonts w:ascii="Arial" w:cs="Arial" w:eastAsia="Arial" w:hAnsi="Arial"/>
                <w:sz w:val="14"/>
                <w:szCs w:val="14"/>
                <w:b w:val="1"/>
                <w:bCs w:val="1"/>
                <w:color w:val="55565A"/>
              </w:rPr>
              <w:t>Reuters News</w:t>
            </w:r>
          </w:p>
        </w:tc>
        <w:tc>
          <w:tcPr>
            <w:tcW w:w="1460" w:type="dxa"/>
            <w:vAlign w:val="bottom"/>
          </w:tcPr>
          <w:p>
            <w:pPr>
              <w:jc w:val="right"/>
              <w:ind w:right="269"/>
              <w:spacing w:after="0"/>
              <w:rPr>
                <w:sz w:val="20"/>
                <w:szCs w:val="20"/>
                <w:color w:val="auto"/>
              </w:rPr>
            </w:pPr>
            <w:r>
              <w:rPr>
                <w:rFonts w:ascii="Arial" w:cs="Arial" w:eastAsia="Arial" w:hAnsi="Arial"/>
                <w:sz w:val="14"/>
                <w:szCs w:val="14"/>
                <w:b w:val="1"/>
                <w:bCs w:val="1"/>
                <w:color w:val="55565A"/>
              </w:rPr>
              <w:t>210</w:t>
            </w:r>
          </w:p>
        </w:tc>
        <w:tc>
          <w:tcPr>
            <w:tcW w:w="2020" w:type="dxa"/>
            <w:vAlign w:val="bottom"/>
          </w:tcPr>
          <w:p>
            <w:pPr>
              <w:ind w:left="1420"/>
              <w:spacing w:after="0"/>
              <w:rPr>
                <w:sz w:val="20"/>
                <w:szCs w:val="20"/>
                <w:color w:val="auto"/>
              </w:rPr>
            </w:pPr>
            <w:r>
              <w:rPr>
                <w:rFonts w:ascii="Arial" w:cs="Arial" w:eastAsia="Arial" w:hAnsi="Arial"/>
                <w:sz w:val="14"/>
                <w:szCs w:val="14"/>
                <w:b w:val="1"/>
                <w:bCs w:val="1"/>
                <w:color w:val="55565A"/>
              </w:rPr>
              <w:t>1</w:t>
            </w:r>
          </w:p>
        </w:tc>
        <w:tc>
          <w:tcPr>
            <w:tcW w:w="1820" w:type="dxa"/>
            <w:vAlign w:val="bottom"/>
          </w:tcPr>
          <w:p>
            <w:pPr>
              <w:jc w:val="right"/>
              <w:ind w:right="69"/>
              <w:spacing w:after="0"/>
              <w:rPr>
                <w:sz w:val="20"/>
                <w:szCs w:val="20"/>
                <w:color w:val="auto"/>
              </w:rPr>
            </w:pPr>
            <w:r>
              <w:rPr>
                <w:rFonts w:ascii="Arial" w:cs="Arial" w:eastAsia="Arial" w:hAnsi="Arial"/>
                <w:sz w:val="14"/>
                <w:szCs w:val="14"/>
                <w:b w:val="1"/>
                <w:bCs w:val="1"/>
                <w:color w:val="55565A"/>
              </w:rPr>
              <w:t>211</w:t>
            </w:r>
          </w:p>
        </w:tc>
        <w:tc>
          <w:tcPr>
            <w:tcW w:w="1080" w:type="dxa"/>
            <w:vAlign w:val="bottom"/>
          </w:tcPr>
          <w:p>
            <w:pPr>
              <w:jc w:val="right"/>
              <w:ind w:right="249"/>
              <w:spacing w:after="0"/>
              <w:rPr>
                <w:sz w:val="20"/>
                <w:szCs w:val="20"/>
                <w:color w:val="auto"/>
              </w:rPr>
            </w:pPr>
            <w:r>
              <w:rPr>
                <w:rFonts w:ascii="Arial" w:cs="Arial" w:eastAsia="Arial" w:hAnsi="Arial"/>
                <w:sz w:val="14"/>
                <w:szCs w:val="14"/>
                <w:b w:val="1"/>
                <w:bCs w:val="1"/>
                <w:color w:val="55565A"/>
              </w:rPr>
              <w:t>60</w:t>
            </w:r>
          </w:p>
        </w:tc>
        <w:tc>
          <w:tcPr>
            <w:tcW w:w="1280" w:type="dxa"/>
            <w:vAlign w:val="bottom"/>
          </w:tcPr>
          <w:p>
            <w:pPr>
              <w:jc w:val="right"/>
              <w:ind w:right="289"/>
              <w:spacing w:after="0"/>
              <w:rPr>
                <w:sz w:val="20"/>
                <w:szCs w:val="20"/>
                <w:color w:val="auto"/>
              </w:rPr>
            </w:pPr>
            <w:r>
              <w:rPr>
                <w:rFonts w:ascii="Arial" w:cs="Arial" w:eastAsia="Arial" w:hAnsi="Arial"/>
                <w:sz w:val="14"/>
                <w:szCs w:val="14"/>
                <w:b w:val="1"/>
                <w:bCs w:val="1"/>
                <w:color w:val="55565A"/>
              </w:rPr>
              <w:t>28.3%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55565A"/>
              </w:rPr>
              <w:t>Global Print</w:t>
            </w:r>
          </w:p>
        </w:tc>
        <w:tc>
          <w:tcPr>
            <w:tcW w:w="146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55565A"/>
              </w:rPr>
              <w:t>124</w:t>
            </w:r>
          </w:p>
        </w:tc>
        <w:tc>
          <w:tcPr>
            <w:tcW w:w="2020" w:type="dxa"/>
            <w:vAlign w:val="bottom"/>
            <w:shd w:val="clear" w:color="auto" w:fill="CCEEFF"/>
          </w:tcPr>
          <w:p>
            <w:pPr>
              <w:ind w:left="1420"/>
              <w:spacing w:after="0"/>
              <w:rPr>
                <w:sz w:val="20"/>
                <w:szCs w:val="20"/>
                <w:color w:val="auto"/>
              </w:rPr>
            </w:pPr>
            <w:r>
              <w:rPr>
                <w:rFonts w:ascii="Arial" w:cs="Arial" w:eastAsia="Arial" w:hAnsi="Arial"/>
                <w:sz w:val="14"/>
                <w:szCs w:val="14"/>
                <w:b w:val="1"/>
                <w:bCs w:val="1"/>
                <w:color w:val="55565A"/>
              </w:rPr>
              <w:t>–</w:t>
            </w:r>
          </w:p>
        </w:tc>
        <w:tc>
          <w:tcPr>
            <w:tcW w:w="18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5565A"/>
              </w:rPr>
              <w:t>124</w:t>
            </w:r>
          </w:p>
        </w:tc>
        <w:tc>
          <w:tcPr>
            <w:tcW w:w="108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47</w:t>
            </w:r>
          </w:p>
        </w:tc>
        <w:tc>
          <w:tcPr>
            <w:tcW w:w="128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38.2%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gridSpan w:val="2"/>
          </w:tcPr>
          <w:p>
            <w:pPr>
              <w:ind w:left="140"/>
              <w:spacing w:after="0"/>
              <w:rPr>
                <w:sz w:val="20"/>
                <w:szCs w:val="20"/>
                <w:color w:val="auto"/>
              </w:rPr>
            </w:pPr>
            <w:r>
              <w:rPr>
                <w:rFonts w:ascii="Arial" w:cs="Arial" w:eastAsia="Arial" w:hAnsi="Arial"/>
                <w:sz w:val="14"/>
                <w:szCs w:val="14"/>
                <w:b w:val="1"/>
                <w:bCs w:val="1"/>
                <w:color w:val="55565A"/>
              </w:rPr>
              <w:t>Eliminations/Rounding</w:t>
            </w:r>
          </w:p>
        </w:tc>
        <w:tc>
          <w:tcPr>
            <w:tcW w:w="1460" w:type="dxa"/>
            <w:vAlign w:val="bottom"/>
          </w:tcPr>
          <w:p>
            <w:pPr>
              <w:jc w:val="right"/>
              <w:ind w:right="269"/>
              <w:spacing w:after="0"/>
              <w:rPr>
                <w:sz w:val="20"/>
                <w:szCs w:val="20"/>
                <w:color w:val="auto"/>
              </w:rPr>
            </w:pPr>
            <w:r>
              <w:rPr>
                <w:rFonts w:ascii="Arial" w:cs="Arial" w:eastAsia="Arial" w:hAnsi="Arial"/>
                <w:sz w:val="14"/>
                <w:szCs w:val="14"/>
                <w:b w:val="1"/>
                <w:bCs w:val="1"/>
                <w:color w:val="55565A"/>
              </w:rPr>
              <w:t>(5)</w:t>
            </w:r>
          </w:p>
        </w:tc>
        <w:tc>
          <w:tcPr>
            <w:tcW w:w="2020" w:type="dxa"/>
            <w:vAlign w:val="bottom"/>
          </w:tcPr>
          <w:p>
            <w:pPr>
              <w:ind w:left="1420"/>
              <w:spacing w:after="0"/>
              <w:rPr>
                <w:sz w:val="20"/>
                <w:szCs w:val="20"/>
                <w:color w:val="auto"/>
              </w:rPr>
            </w:pPr>
            <w:r>
              <w:rPr>
                <w:rFonts w:ascii="Arial" w:cs="Arial" w:eastAsia="Arial" w:hAnsi="Arial"/>
                <w:sz w:val="14"/>
                <w:szCs w:val="14"/>
                <w:b w:val="1"/>
                <w:bCs w:val="1"/>
                <w:color w:val="55565A"/>
              </w:rPr>
              <w:t>–</w:t>
            </w:r>
          </w:p>
        </w:tc>
        <w:tc>
          <w:tcPr>
            <w:tcW w:w="1820" w:type="dxa"/>
            <w:vAlign w:val="bottom"/>
          </w:tcPr>
          <w:p>
            <w:pPr>
              <w:jc w:val="right"/>
              <w:ind w:right="69"/>
              <w:spacing w:after="0"/>
              <w:rPr>
                <w:sz w:val="20"/>
                <w:szCs w:val="20"/>
                <w:color w:val="auto"/>
              </w:rPr>
            </w:pPr>
            <w:r>
              <w:rPr>
                <w:rFonts w:ascii="Arial" w:cs="Arial" w:eastAsia="Arial" w:hAnsi="Arial"/>
                <w:sz w:val="14"/>
                <w:szCs w:val="14"/>
                <w:b w:val="1"/>
                <w:bCs w:val="1"/>
                <w:color w:val="55565A"/>
              </w:rPr>
              <w:t>(5)</w:t>
            </w:r>
          </w:p>
        </w:tc>
        <w:tc>
          <w:tcPr>
            <w:tcW w:w="1080" w:type="dxa"/>
            <w:vAlign w:val="bottom"/>
          </w:tcPr>
          <w:p>
            <w:pPr>
              <w:jc w:val="right"/>
              <w:ind w:right="249"/>
              <w:spacing w:after="0"/>
              <w:rPr>
                <w:sz w:val="20"/>
                <w:szCs w:val="20"/>
                <w:color w:val="auto"/>
              </w:rPr>
            </w:pPr>
            <w:r>
              <w:rPr>
                <w:rFonts w:ascii="Arial" w:cs="Arial" w:eastAsia="Arial" w:hAnsi="Arial"/>
                <w:sz w:val="14"/>
                <w:szCs w:val="14"/>
                <w:b w:val="1"/>
                <w:bCs w:val="1"/>
                <w:color w:val="55565A"/>
              </w:rPr>
              <w:t>–</w:t>
            </w:r>
          </w:p>
        </w:tc>
        <w:tc>
          <w:tcPr>
            <w:tcW w:w="1280" w:type="dxa"/>
            <w:vAlign w:val="bottom"/>
          </w:tcPr>
          <w:p>
            <w:pPr>
              <w:jc w:val="right"/>
              <w:ind w:right="289"/>
              <w:spacing w:after="0"/>
              <w:rPr>
                <w:sz w:val="20"/>
                <w:szCs w:val="20"/>
                <w:color w:val="auto"/>
              </w:rPr>
            </w:pPr>
            <w:r>
              <w:rPr>
                <w:rFonts w:ascii="Arial" w:cs="Arial" w:eastAsia="Arial" w:hAnsi="Arial"/>
                <w:sz w:val="14"/>
                <w:szCs w:val="14"/>
                <w:b w:val="1"/>
                <w:bCs w:val="1"/>
                <w:color w:val="55565A"/>
              </w:rPr>
              <w:t>n/a</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tcBorders>
              <w:bottom w:val="single" w:sz="8" w:color="88888B"/>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55565A"/>
              </w:rPr>
              <w:t>Corporate costs</w:t>
            </w:r>
          </w:p>
        </w:tc>
        <w:tc>
          <w:tcPr>
            <w:tcW w:w="1460" w:type="dxa"/>
            <w:vAlign w:val="bottom"/>
            <w:tcBorders>
              <w:bottom w:val="single" w:sz="8" w:color="88888B"/>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55565A"/>
              </w:rPr>
              <w:t>–</w:t>
            </w:r>
          </w:p>
        </w:tc>
        <w:tc>
          <w:tcPr>
            <w:tcW w:w="2020" w:type="dxa"/>
            <w:vAlign w:val="bottom"/>
            <w:tcBorders>
              <w:bottom w:val="single" w:sz="8" w:color="88888B"/>
            </w:tcBorders>
            <w:shd w:val="clear" w:color="auto" w:fill="CCEEFF"/>
          </w:tcPr>
          <w:p>
            <w:pPr>
              <w:ind w:left="1420"/>
              <w:spacing w:after="0"/>
              <w:rPr>
                <w:sz w:val="20"/>
                <w:szCs w:val="20"/>
                <w:color w:val="auto"/>
              </w:rPr>
            </w:pPr>
            <w:r>
              <w:rPr>
                <w:rFonts w:ascii="Arial" w:cs="Arial" w:eastAsia="Arial" w:hAnsi="Arial"/>
                <w:sz w:val="14"/>
                <w:szCs w:val="14"/>
                <w:b w:val="1"/>
                <w:bCs w:val="1"/>
                <w:color w:val="55565A"/>
              </w:rPr>
              <w:t>–</w:t>
            </w:r>
          </w:p>
        </w:tc>
        <w:tc>
          <w:tcPr>
            <w:tcW w:w="1820" w:type="dxa"/>
            <w:vAlign w:val="bottom"/>
            <w:tcBorders>
              <w:bottom w:val="single" w:sz="8" w:color="88888B"/>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55565A"/>
              </w:rPr>
              <w:t>–</w:t>
            </w:r>
          </w:p>
        </w:tc>
        <w:tc>
          <w:tcPr>
            <w:tcW w:w="108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(17)</w:t>
            </w:r>
          </w:p>
        </w:tc>
        <w:tc>
          <w:tcPr>
            <w:tcW w:w="1280" w:type="dxa"/>
            <w:vAlign w:val="bottom"/>
            <w:tcBorders>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n/a</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40" w:type="dxa"/>
            <w:vAlign w:val="bottom"/>
            <w:tcBorders>
              <w:bottom w:val="single" w:sz="8" w:color="55565A"/>
            </w:tcBorders>
            <w:gridSpan w:val="2"/>
          </w:tcPr>
          <w:p>
            <w:pPr>
              <w:spacing w:after="0" w:line="154" w:lineRule="exact"/>
              <w:rPr>
                <w:sz w:val="20"/>
                <w:szCs w:val="20"/>
                <w:color w:val="auto"/>
              </w:rPr>
            </w:pPr>
            <w:r>
              <w:rPr>
                <w:rFonts w:ascii="Arial" w:cs="Arial" w:eastAsia="Arial" w:hAnsi="Arial"/>
                <w:sz w:val="14"/>
                <w:szCs w:val="14"/>
                <w:b w:val="1"/>
                <w:bCs w:val="1"/>
                <w:color w:val="55565A"/>
              </w:rPr>
              <w:t>Consolidated totals</w:t>
            </w:r>
          </w:p>
        </w:tc>
        <w:tc>
          <w:tcPr>
            <w:tcW w:w="1460" w:type="dxa"/>
            <w:vAlign w:val="bottom"/>
            <w:tcBorders>
              <w:bottom w:val="single" w:sz="8" w:color="55565A"/>
            </w:tcBorders>
          </w:tcPr>
          <w:p>
            <w:pPr>
              <w:jc w:val="right"/>
              <w:ind w:right="269"/>
              <w:spacing w:after="0" w:line="154" w:lineRule="exact"/>
              <w:rPr>
                <w:sz w:val="20"/>
                <w:szCs w:val="20"/>
                <w:color w:val="auto"/>
              </w:rPr>
            </w:pPr>
            <w:r>
              <w:rPr>
                <w:rFonts w:ascii="Arial" w:cs="Arial" w:eastAsia="Arial" w:hAnsi="Arial"/>
                <w:sz w:val="14"/>
                <w:szCs w:val="14"/>
                <w:b w:val="1"/>
                <w:bCs w:val="1"/>
                <w:color w:val="55565A"/>
              </w:rPr>
              <w:t>1,885</w:t>
            </w:r>
          </w:p>
        </w:tc>
        <w:tc>
          <w:tcPr>
            <w:tcW w:w="2020" w:type="dxa"/>
            <w:vAlign w:val="bottom"/>
            <w:tcBorders>
              <w:bottom w:val="single" w:sz="8" w:color="55565A"/>
            </w:tcBorders>
          </w:tcPr>
          <w:p>
            <w:pPr>
              <w:ind w:left="1420"/>
              <w:spacing w:after="0" w:line="154" w:lineRule="exact"/>
              <w:rPr>
                <w:sz w:val="20"/>
                <w:szCs w:val="20"/>
                <w:color w:val="auto"/>
              </w:rPr>
            </w:pPr>
            <w:r>
              <w:rPr>
                <w:rFonts w:ascii="Arial" w:cs="Arial" w:eastAsia="Arial" w:hAnsi="Arial"/>
                <w:sz w:val="14"/>
                <w:szCs w:val="14"/>
                <w:b w:val="1"/>
                <w:bCs w:val="1"/>
                <w:color w:val="55565A"/>
              </w:rPr>
              <w:t>4</w:t>
            </w:r>
          </w:p>
        </w:tc>
        <w:tc>
          <w:tcPr>
            <w:tcW w:w="1820" w:type="dxa"/>
            <w:vAlign w:val="bottom"/>
            <w:tcBorders>
              <w:bottom w:val="single" w:sz="8" w:color="55565A"/>
            </w:tcBorders>
          </w:tcPr>
          <w:p>
            <w:pPr>
              <w:jc w:val="right"/>
              <w:ind w:right="69"/>
              <w:spacing w:after="0" w:line="154" w:lineRule="exact"/>
              <w:rPr>
                <w:sz w:val="20"/>
                <w:szCs w:val="20"/>
                <w:color w:val="auto"/>
              </w:rPr>
            </w:pPr>
            <w:r>
              <w:rPr>
                <w:rFonts w:ascii="Arial" w:cs="Arial" w:eastAsia="Arial" w:hAnsi="Arial"/>
                <w:sz w:val="14"/>
                <w:szCs w:val="14"/>
                <w:b w:val="1"/>
                <w:bCs w:val="1"/>
                <w:color w:val="55565A"/>
              </w:rPr>
              <w:t>1,889</w:t>
            </w:r>
          </w:p>
        </w:tc>
        <w:tc>
          <w:tcPr>
            <w:tcW w:w="1080" w:type="dxa"/>
            <w:vAlign w:val="bottom"/>
            <w:tcBorders>
              <w:bottom w:val="single" w:sz="8" w:color="55565A"/>
            </w:tcBorders>
          </w:tcPr>
          <w:p>
            <w:pPr>
              <w:jc w:val="right"/>
              <w:ind w:right="249"/>
              <w:spacing w:after="0" w:line="154" w:lineRule="exact"/>
              <w:rPr>
                <w:sz w:val="20"/>
                <w:szCs w:val="20"/>
                <w:color w:val="auto"/>
              </w:rPr>
            </w:pPr>
            <w:r>
              <w:rPr>
                <w:rFonts w:ascii="Arial" w:cs="Arial" w:eastAsia="Arial" w:hAnsi="Arial"/>
                <w:sz w:val="14"/>
                <w:szCs w:val="14"/>
                <w:b w:val="1"/>
                <w:bCs w:val="1"/>
                <w:color w:val="55565A"/>
              </w:rPr>
              <w:t>806</w:t>
            </w:r>
          </w:p>
        </w:tc>
        <w:tc>
          <w:tcPr>
            <w:tcW w:w="1280" w:type="dxa"/>
            <w:vAlign w:val="bottom"/>
            <w:tcBorders>
              <w:bottom w:val="single" w:sz="8" w:color="55565A"/>
            </w:tcBorders>
          </w:tcPr>
          <w:p>
            <w:pPr>
              <w:jc w:val="right"/>
              <w:ind w:right="289"/>
              <w:spacing w:after="0" w:line="154" w:lineRule="exact"/>
              <w:rPr>
                <w:sz w:val="20"/>
                <w:szCs w:val="20"/>
                <w:color w:val="auto"/>
              </w:rPr>
            </w:pPr>
            <w:r>
              <w:rPr>
                <w:rFonts w:ascii="Arial" w:cs="Arial" w:eastAsia="Arial" w:hAnsi="Arial"/>
                <w:sz w:val="14"/>
                <w:szCs w:val="14"/>
                <w:b w:val="1"/>
                <w:bCs w:val="1"/>
                <w:color w:val="55565A"/>
              </w:rPr>
              <w:t>42.7%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Borders>
              <w:bottom w:val="single" w:sz="8" w:color="55565A"/>
            </w:tcBorders>
          </w:tcPr>
          <w:p>
            <w:pPr>
              <w:spacing w:after="0"/>
              <w:rPr>
                <w:sz w:val="20"/>
                <w:szCs w:val="20"/>
                <w:color w:val="auto"/>
              </w:rPr>
            </w:pPr>
          </w:p>
        </w:tc>
        <w:tc>
          <w:tcPr>
            <w:tcW w:w="2580" w:type="dxa"/>
            <w:vAlign w:val="bottom"/>
            <w:tcBorders>
              <w:bottom w:val="single" w:sz="8" w:color="55565A"/>
            </w:tcBorders>
          </w:tcPr>
          <w:p>
            <w:pPr>
              <w:spacing w:after="0"/>
              <w:rPr>
                <w:sz w:val="20"/>
                <w:szCs w:val="20"/>
                <w:color w:val="auto"/>
              </w:rPr>
            </w:pPr>
          </w:p>
        </w:tc>
        <w:tc>
          <w:tcPr>
            <w:tcW w:w="1460" w:type="dxa"/>
            <w:vAlign w:val="bottom"/>
            <w:tcBorders>
              <w:bottom w:val="single" w:sz="8" w:color="55565A"/>
            </w:tcBorders>
          </w:tcPr>
          <w:p>
            <w:pPr>
              <w:spacing w:after="0"/>
              <w:rPr>
                <w:sz w:val="20"/>
                <w:szCs w:val="20"/>
                <w:color w:val="auto"/>
              </w:rPr>
            </w:pPr>
          </w:p>
        </w:tc>
        <w:tc>
          <w:tcPr>
            <w:tcW w:w="3840" w:type="dxa"/>
            <w:vAlign w:val="bottom"/>
            <w:tcBorders>
              <w:bottom w:val="single" w:sz="8" w:color="55565A"/>
            </w:tcBorders>
            <w:gridSpan w:val="2"/>
          </w:tcPr>
          <w:p>
            <w:pPr>
              <w:spacing w:after="0"/>
              <w:rPr>
                <w:sz w:val="20"/>
                <w:szCs w:val="20"/>
                <w:color w:val="auto"/>
              </w:rPr>
            </w:pPr>
          </w:p>
        </w:tc>
        <w:tc>
          <w:tcPr>
            <w:tcW w:w="1080" w:type="dxa"/>
            <w:vAlign w:val="bottom"/>
            <w:tcBorders>
              <w:bottom w:val="single" w:sz="8" w:color="55565A"/>
            </w:tcBorders>
          </w:tcPr>
          <w:p>
            <w:pPr>
              <w:spacing w:after="0"/>
              <w:rPr>
                <w:sz w:val="20"/>
                <w:szCs w:val="20"/>
                <w:color w:val="auto"/>
              </w:rPr>
            </w:pPr>
          </w:p>
        </w:tc>
        <w:tc>
          <w:tcPr>
            <w:tcW w:w="1280" w:type="dxa"/>
            <w:vAlign w:val="bottom"/>
            <w:tcBorders>
              <w:bottom w:val="single" w:sz="8" w:color="55565A"/>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40" w:type="dxa"/>
            <w:vAlign w:val="bottom"/>
            <w:gridSpan w:val="2"/>
          </w:tcPr>
          <w:p>
            <w:pPr>
              <w:ind w:left="1220"/>
              <w:spacing w:after="0"/>
              <w:rPr>
                <w:sz w:val="20"/>
                <w:szCs w:val="20"/>
                <w:color w:val="auto"/>
              </w:rPr>
            </w:pPr>
            <w:r>
              <w:rPr>
                <w:rFonts w:ascii="Arial" w:cs="Arial" w:eastAsia="Arial" w:hAnsi="Arial"/>
                <w:sz w:val="14"/>
                <w:szCs w:val="14"/>
                <w:b w:val="1"/>
                <w:bCs w:val="1"/>
                <w:color w:val="55565A"/>
              </w:rPr>
              <w:t>Three months ended March 31, 2023</w:t>
            </w: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20" w:type="dxa"/>
            <w:vAlign w:val="bottom"/>
          </w:tcPr>
          <w:p>
            <w:pPr>
              <w:jc w:val="center"/>
              <w:ind w:left="309"/>
              <w:spacing w:after="0"/>
              <w:rPr>
                <w:sz w:val="20"/>
                <w:szCs w:val="20"/>
                <w:color w:val="auto"/>
              </w:rPr>
            </w:pPr>
            <w:r>
              <w:rPr>
                <w:rFonts w:ascii="Arial" w:cs="Arial" w:eastAsia="Arial" w:hAnsi="Arial"/>
                <w:sz w:val="14"/>
                <w:szCs w:val="14"/>
                <w:b w:val="1"/>
                <w:bCs w:val="1"/>
                <w:color w:val="55565A"/>
              </w:rPr>
              <w:t>Revenues</w:t>
            </w: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20" w:type="dxa"/>
            <w:vAlign w:val="bottom"/>
          </w:tcPr>
          <w:p>
            <w:pPr>
              <w:jc w:val="center"/>
              <w:ind w:left="309"/>
              <w:spacing w:after="0"/>
              <w:rPr>
                <w:sz w:val="20"/>
                <w:szCs w:val="20"/>
                <w:color w:val="auto"/>
              </w:rPr>
            </w:pPr>
            <w:r>
              <w:rPr>
                <w:rFonts w:ascii="Arial" w:cs="Arial" w:eastAsia="Arial" w:hAnsi="Arial"/>
                <w:sz w:val="14"/>
                <w:szCs w:val="14"/>
                <w:b w:val="1"/>
                <w:bCs w:val="1"/>
                <w:color w:val="55565A"/>
              </w:rPr>
              <w:t>excluding</w:t>
            </w: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20" w:type="dxa"/>
            <w:vAlign w:val="bottom"/>
          </w:tcPr>
          <w:p>
            <w:pPr>
              <w:jc w:val="center"/>
              <w:ind w:right="129"/>
              <w:spacing w:after="0"/>
              <w:rPr>
                <w:sz w:val="20"/>
                <w:szCs w:val="20"/>
                <w:color w:val="auto"/>
              </w:rPr>
            </w:pPr>
            <w:r>
              <w:rPr>
                <w:rFonts w:ascii="Arial" w:cs="Arial" w:eastAsia="Arial" w:hAnsi="Arial"/>
                <w:sz w:val="14"/>
                <w:szCs w:val="14"/>
                <w:b w:val="1"/>
                <w:bCs w:val="1"/>
                <w:color w:val="55565A"/>
              </w:rPr>
              <w:t>Remove fair value</w:t>
            </w:r>
          </w:p>
        </w:tc>
        <w:tc>
          <w:tcPr>
            <w:tcW w:w="1820" w:type="dxa"/>
            <w:vAlign w:val="bottom"/>
          </w:tcPr>
          <w:p>
            <w:pPr>
              <w:jc w:val="center"/>
              <w:ind w:left="309"/>
              <w:spacing w:after="0"/>
              <w:rPr>
                <w:sz w:val="20"/>
                <w:szCs w:val="20"/>
                <w:color w:val="auto"/>
              </w:rPr>
            </w:pPr>
            <w:r>
              <w:rPr>
                <w:rFonts w:ascii="Arial" w:cs="Arial" w:eastAsia="Arial" w:hAnsi="Arial"/>
                <w:sz w:val="14"/>
                <w:szCs w:val="14"/>
                <w:b w:val="1"/>
                <w:bCs w:val="1"/>
                <w:color w:val="55565A"/>
              </w:rPr>
              <w:t>fair value</w:t>
            </w: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20" w:type="dxa"/>
            <w:vAlign w:val="bottom"/>
          </w:tcPr>
          <w:p>
            <w:pPr>
              <w:jc w:val="center"/>
              <w:ind w:right="129"/>
              <w:spacing w:after="0"/>
              <w:rPr>
                <w:sz w:val="20"/>
                <w:szCs w:val="20"/>
                <w:color w:val="auto"/>
              </w:rPr>
            </w:pPr>
            <w:r>
              <w:rPr>
                <w:rFonts w:ascii="Arial" w:cs="Arial" w:eastAsia="Arial" w:hAnsi="Arial"/>
                <w:sz w:val="14"/>
                <w:szCs w:val="14"/>
                <w:b w:val="1"/>
                <w:bCs w:val="1"/>
                <w:color w:val="55565A"/>
              </w:rPr>
              <w:t>adjustments to</w:t>
            </w:r>
          </w:p>
        </w:tc>
        <w:tc>
          <w:tcPr>
            <w:tcW w:w="1820" w:type="dxa"/>
            <w:vAlign w:val="bottom"/>
          </w:tcPr>
          <w:p>
            <w:pPr>
              <w:jc w:val="center"/>
              <w:ind w:left="309"/>
              <w:spacing w:after="0"/>
              <w:rPr>
                <w:sz w:val="20"/>
                <w:szCs w:val="20"/>
                <w:color w:val="auto"/>
              </w:rPr>
            </w:pPr>
            <w:r>
              <w:rPr>
                <w:rFonts w:ascii="Arial" w:cs="Arial" w:eastAsia="Arial" w:hAnsi="Arial"/>
                <w:sz w:val="14"/>
                <w:szCs w:val="14"/>
                <w:b w:val="1"/>
                <w:bCs w:val="1"/>
                <w:color w:val="55565A"/>
              </w:rPr>
              <w:t>adjustments</w:t>
            </w:r>
          </w:p>
        </w:tc>
        <w:tc>
          <w:tcPr>
            <w:tcW w:w="1080" w:type="dxa"/>
            <w:vAlign w:val="bottom"/>
          </w:tcPr>
          <w:p>
            <w:pPr>
              <w:spacing w:after="0"/>
              <w:rPr>
                <w:sz w:val="13"/>
                <w:szCs w:val="13"/>
                <w:color w:val="auto"/>
              </w:rPr>
            </w:pPr>
          </w:p>
        </w:tc>
        <w:tc>
          <w:tcPr>
            <w:tcW w:w="1280" w:type="dxa"/>
            <w:vAlign w:val="bottom"/>
          </w:tcPr>
          <w:p>
            <w:pPr>
              <w:jc w:val="right"/>
              <w:ind w:right="289"/>
              <w:spacing w:after="0"/>
              <w:rPr>
                <w:sz w:val="20"/>
                <w:szCs w:val="20"/>
                <w:color w:val="auto"/>
              </w:rPr>
            </w:pPr>
            <w:r>
              <w:rPr>
                <w:rFonts w:ascii="Arial" w:cs="Arial" w:eastAsia="Arial" w:hAnsi="Arial"/>
                <w:sz w:val="14"/>
                <w:szCs w:val="14"/>
                <w:b w:val="1"/>
                <w:bCs w:val="1"/>
                <w:color w:val="55565A"/>
              </w:rPr>
              <w:t>Adjusted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60" w:type="dxa"/>
            <w:vAlign w:val="bottom"/>
          </w:tcPr>
          <w:p>
            <w:pPr>
              <w:jc w:val="right"/>
              <w:ind w:right="389"/>
              <w:spacing w:after="0"/>
              <w:rPr>
                <w:sz w:val="20"/>
                <w:szCs w:val="20"/>
                <w:color w:val="auto"/>
              </w:rPr>
            </w:pPr>
            <w:r>
              <w:rPr>
                <w:rFonts w:ascii="Arial" w:cs="Arial" w:eastAsia="Arial" w:hAnsi="Arial"/>
                <w:sz w:val="14"/>
                <w:szCs w:val="14"/>
                <w:b w:val="1"/>
                <w:bCs w:val="1"/>
                <w:color w:val="55565A"/>
              </w:rPr>
              <w:t>IFRS</w:t>
            </w:r>
          </w:p>
        </w:tc>
        <w:tc>
          <w:tcPr>
            <w:tcW w:w="2020" w:type="dxa"/>
            <w:vAlign w:val="bottom"/>
          </w:tcPr>
          <w:p>
            <w:pPr>
              <w:jc w:val="center"/>
              <w:ind w:right="149"/>
              <w:spacing w:after="0"/>
              <w:rPr>
                <w:sz w:val="20"/>
                <w:szCs w:val="20"/>
                <w:color w:val="auto"/>
              </w:rPr>
            </w:pPr>
            <w:r>
              <w:rPr>
                <w:rFonts w:ascii="Arial" w:cs="Arial" w:eastAsia="Arial" w:hAnsi="Arial"/>
                <w:sz w:val="14"/>
                <w:szCs w:val="14"/>
                <w:b w:val="1"/>
                <w:bCs w:val="1"/>
                <w:color w:val="55565A"/>
              </w:rPr>
              <w:t>acquired</w:t>
            </w:r>
          </w:p>
        </w:tc>
        <w:tc>
          <w:tcPr>
            <w:tcW w:w="1820" w:type="dxa"/>
            <w:vAlign w:val="bottom"/>
          </w:tcPr>
          <w:p>
            <w:pPr>
              <w:jc w:val="center"/>
              <w:ind w:left="309"/>
              <w:spacing w:after="0"/>
              <w:rPr>
                <w:sz w:val="20"/>
                <w:szCs w:val="20"/>
                <w:color w:val="auto"/>
              </w:rPr>
            </w:pPr>
            <w:r>
              <w:rPr>
                <w:rFonts w:ascii="Arial" w:cs="Arial" w:eastAsia="Arial" w:hAnsi="Arial"/>
                <w:sz w:val="14"/>
                <w:szCs w:val="14"/>
                <w:b w:val="1"/>
                <w:bCs w:val="1"/>
                <w:color w:val="55565A"/>
              </w:rPr>
              <w:t>to acquired</w:t>
            </w: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55565A"/>
              </w:rPr>
              <w:t>Adjusted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55565A"/>
              </w:rPr>
              <w:t>EBITDA</w:t>
            </w:r>
          </w:p>
        </w:tc>
        <w:tc>
          <w:tcPr>
            <w:tcW w:w="0" w:type="dxa"/>
            <w:vAlign w:val="bottom"/>
          </w:tcPr>
          <w:p>
            <w:pPr>
              <w:spacing w:after="0"/>
              <w:rPr>
                <w:sz w:val="1"/>
                <w:szCs w:val="1"/>
                <w:color w:val="auto"/>
              </w:rPr>
            </w:pPr>
          </w:p>
        </w:tc>
      </w:tr>
      <w:tr>
        <w:trPr>
          <w:trHeight w:val="195"/>
        </w:trPr>
        <w:tc>
          <w:tcPr>
            <w:tcW w:w="3260" w:type="dxa"/>
            <w:vAlign w:val="bottom"/>
            <w:gridSpan w:val="3"/>
          </w:tcPr>
          <w:p>
            <w:pPr>
              <w:spacing w:after="0"/>
              <w:rPr>
                <w:sz w:val="20"/>
                <w:szCs w:val="20"/>
                <w:color w:val="auto"/>
              </w:rPr>
            </w:pPr>
            <w:r>
              <w:rPr>
                <w:rFonts w:ascii="Arial" w:cs="Arial" w:eastAsia="Arial" w:hAnsi="Arial"/>
                <w:sz w:val="14"/>
                <w:szCs w:val="14"/>
                <w:b w:val="1"/>
                <w:bCs w:val="1"/>
                <w:color w:val="55565A"/>
              </w:rPr>
              <w:t>(millions of U.S. dollars, except margins)</w:t>
            </w:r>
          </w:p>
        </w:tc>
        <w:tc>
          <w:tcPr>
            <w:tcW w:w="1460" w:type="dxa"/>
            <w:vAlign w:val="bottom"/>
          </w:tcPr>
          <w:p>
            <w:pPr>
              <w:jc w:val="right"/>
              <w:ind w:right="229"/>
              <w:spacing w:after="0"/>
              <w:rPr>
                <w:sz w:val="20"/>
                <w:szCs w:val="20"/>
                <w:color w:val="auto"/>
              </w:rPr>
            </w:pPr>
            <w:r>
              <w:rPr>
                <w:rFonts w:ascii="Arial" w:cs="Arial" w:eastAsia="Arial" w:hAnsi="Arial"/>
                <w:sz w:val="14"/>
                <w:szCs w:val="14"/>
                <w:b w:val="1"/>
                <w:bCs w:val="1"/>
                <w:color w:val="55565A"/>
              </w:rPr>
              <w:t>revenues</w:t>
            </w:r>
          </w:p>
        </w:tc>
        <w:tc>
          <w:tcPr>
            <w:tcW w:w="2020" w:type="dxa"/>
            <w:vAlign w:val="bottom"/>
          </w:tcPr>
          <w:p>
            <w:pPr>
              <w:jc w:val="center"/>
              <w:ind w:right="149"/>
              <w:spacing w:after="0"/>
              <w:rPr>
                <w:sz w:val="20"/>
                <w:szCs w:val="20"/>
                <w:color w:val="auto"/>
              </w:rPr>
            </w:pPr>
            <w:r>
              <w:rPr>
                <w:rFonts w:ascii="Arial" w:cs="Arial" w:eastAsia="Arial" w:hAnsi="Arial"/>
                <w:sz w:val="14"/>
                <w:szCs w:val="14"/>
                <w:b w:val="1"/>
                <w:bCs w:val="1"/>
                <w:color w:val="55565A"/>
              </w:rPr>
              <w:t>deferred revenue</w:t>
            </w:r>
          </w:p>
        </w:tc>
        <w:tc>
          <w:tcPr>
            <w:tcW w:w="1820" w:type="dxa"/>
            <w:vAlign w:val="bottom"/>
          </w:tcPr>
          <w:p>
            <w:pPr>
              <w:jc w:val="center"/>
              <w:ind w:left="309"/>
              <w:spacing w:after="0"/>
              <w:rPr>
                <w:sz w:val="20"/>
                <w:szCs w:val="20"/>
                <w:color w:val="auto"/>
              </w:rPr>
            </w:pPr>
            <w:r>
              <w:rPr>
                <w:rFonts w:ascii="Arial" w:cs="Arial" w:eastAsia="Arial" w:hAnsi="Arial"/>
                <w:sz w:val="14"/>
                <w:szCs w:val="14"/>
                <w:b w:val="1"/>
                <w:bCs w:val="1"/>
                <w:color w:val="55565A"/>
              </w:rPr>
              <w:t>deferred revenue</w:t>
            </w: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55565A"/>
                <w:w w:val="99"/>
              </w:rPr>
              <w:t>EBITDA</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55565A"/>
                <w:w w:val="98"/>
              </w:rPr>
              <w:t>margin</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Borders>
              <w:bottom w:val="single" w:sz="8" w:color="88888B"/>
            </w:tcBorders>
          </w:tcPr>
          <w:p>
            <w:pPr>
              <w:spacing w:after="0"/>
              <w:rPr>
                <w:sz w:val="2"/>
                <w:szCs w:val="2"/>
                <w:color w:val="auto"/>
              </w:rPr>
            </w:pPr>
          </w:p>
        </w:tc>
        <w:tc>
          <w:tcPr>
            <w:tcW w:w="2580" w:type="dxa"/>
            <w:vAlign w:val="bottom"/>
            <w:tcBorders>
              <w:bottom w:val="single" w:sz="8" w:color="88888B"/>
            </w:tcBorders>
          </w:tcPr>
          <w:p>
            <w:pPr>
              <w:spacing w:after="0"/>
              <w:rPr>
                <w:sz w:val="2"/>
                <w:szCs w:val="2"/>
                <w:color w:val="auto"/>
              </w:rPr>
            </w:pPr>
          </w:p>
        </w:tc>
        <w:tc>
          <w:tcPr>
            <w:tcW w:w="1460" w:type="dxa"/>
            <w:vAlign w:val="bottom"/>
            <w:tcBorders>
              <w:bottom w:val="single" w:sz="8" w:color="88888B"/>
            </w:tcBorders>
          </w:tcPr>
          <w:p>
            <w:pPr>
              <w:spacing w:after="0"/>
              <w:rPr>
                <w:sz w:val="2"/>
                <w:szCs w:val="2"/>
                <w:color w:val="auto"/>
              </w:rPr>
            </w:pPr>
          </w:p>
        </w:tc>
        <w:tc>
          <w:tcPr>
            <w:tcW w:w="2020" w:type="dxa"/>
            <w:vAlign w:val="bottom"/>
            <w:tcBorders>
              <w:bottom w:val="single" w:sz="8" w:color="88888B"/>
            </w:tcBorders>
          </w:tcPr>
          <w:p>
            <w:pPr>
              <w:spacing w:after="0"/>
              <w:rPr>
                <w:sz w:val="2"/>
                <w:szCs w:val="2"/>
                <w:color w:val="auto"/>
              </w:rPr>
            </w:pPr>
          </w:p>
        </w:tc>
        <w:tc>
          <w:tcPr>
            <w:tcW w:w="1820" w:type="dxa"/>
            <w:vAlign w:val="bottom"/>
            <w:tcBorders>
              <w:bottom w:val="single" w:sz="8" w:color="88888B"/>
            </w:tcBorders>
          </w:tcPr>
          <w:p>
            <w:pPr>
              <w:spacing w:after="0"/>
              <w:rPr>
                <w:sz w:val="2"/>
                <w:szCs w:val="2"/>
                <w:color w:val="auto"/>
              </w:rPr>
            </w:pPr>
          </w:p>
        </w:tc>
        <w:tc>
          <w:tcPr>
            <w:tcW w:w="1080" w:type="dxa"/>
            <w:vAlign w:val="bottom"/>
            <w:tcBorders>
              <w:bottom w:val="single" w:sz="8" w:color="88888B"/>
            </w:tcBorders>
          </w:tcPr>
          <w:p>
            <w:pPr>
              <w:spacing w:after="0"/>
              <w:rPr>
                <w:sz w:val="2"/>
                <w:szCs w:val="2"/>
                <w:color w:val="auto"/>
              </w:rPr>
            </w:pPr>
          </w:p>
        </w:tc>
        <w:tc>
          <w:tcPr>
            <w:tcW w:w="128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2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b w:val="1"/>
                <w:bCs w:val="1"/>
                <w:color w:val="55565A"/>
              </w:rPr>
              <w:t>Revenues</w:t>
            </w:r>
          </w:p>
        </w:tc>
        <w:tc>
          <w:tcPr>
            <w:tcW w:w="14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top w:val="single" w:sz="8" w:color="55565A"/>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gridSpan w:val="2"/>
          </w:tcPr>
          <w:p>
            <w:pPr>
              <w:ind w:left="140"/>
              <w:spacing w:after="0"/>
              <w:rPr>
                <w:sz w:val="20"/>
                <w:szCs w:val="20"/>
                <w:color w:val="auto"/>
              </w:rPr>
            </w:pPr>
            <w:r>
              <w:rPr>
                <w:rFonts w:ascii="Arial" w:cs="Arial" w:eastAsia="Arial" w:hAnsi="Arial"/>
                <w:sz w:val="14"/>
                <w:szCs w:val="14"/>
                <w:b w:val="1"/>
                <w:bCs w:val="1"/>
                <w:color w:val="55565A"/>
              </w:rPr>
              <w:t>Legal Professionals</w:t>
            </w:r>
          </w:p>
        </w:tc>
        <w:tc>
          <w:tcPr>
            <w:tcW w:w="1460" w:type="dxa"/>
            <w:vAlign w:val="bottom"/>
          </w:tcPr>
          <w:p>
            <w:pPr>
              <w:jc w:val="right"/>
              <w:ind w:right="229"/>
              <w:spacing w:after="0"/>
              <w:rPr>
                <w:sz w:val="20"/>
                <w:szCs w:val="20"/>
                <w:color w:val="auto"/>
              </w:rPr>
            </w:pPr>
            <w:r>
              <w:rPr>
                <w:rFonts w:ascii="Arial" w:cs="Arial" w:eastAsia="Arial" w:hAnsi="Arial"/>
                <w:sz w:val="14"/>
                <w:szCs w:val="14"/>
                <w:color w:val="55565A"/>
              </w:rPr>
              <w:t>714</w:t>
            </w:r>
          </w:p>
        </w:tc>
        <w:tc>
          <w:tcPr>
            <w:tcW w:w="2020" w:type="dxa"/>
            <w:vAlign w:val="bottom"/>
          </w:tcPr>
          <w:p>
            <w:pPr>
              <w:ind w:left="1440"/>
              <w:spacing w:after="0"/>
              <w:rPr>
                <w:sz w:val="20"/>
                <w:szCs w:val="20"/>
                <w:color w:val="auto"/>
              </w:rPr>
            </w:pPr>
            <w:r>
              <w:rPr>
                <w:rFonts w:ascii="Arial" w:cs="Arial" w:eastAsia="Arial" w:hAnsi="Arial"/>
                <w:sz w:val="14"/>
                <w:szCs w:val="14"/>
                <w:color w:val="55565A"/>
              </w:rPr>
              <w:t>–</w:t>
            </w:r>
          </w:p>
        </w:tc>
        <w:tc>
          <w:tcPr>
            <w:tcW w:w="1820" w:type="dxa"/>
            <w:vAlign w:val="bottom"/>
          </w:tcPr>
          <w:p>
            <w:pPr>
              <w:jc w:val="right"/>
              <w:ind w:right="69"/>
              <w:spacing w:after="0"/>
              <w:rPr>
                <w:sz w:val="20"/>
                <w:szCs w:val="20"/>
                <w:color w:val="auto"/>
              </w:rPr>
            </w:pPr>
            <w:r>
              <w:rPr>
                <w:rFonts w:ascii="Arial" w:cs="Arial" w:eastAsia="Arial" w:hAnsi="Arial"/>
                <w:sz w:val="14"/>
                <w:szCs w:val="14"/>
                <w:color w:val="55565A"/>
              </w:rPr>
              <w:t>714</w:t>
            </w:r>
          </w:p>
        </w:tc>
        <w:tc>
          <w:tcPr>
            <w:tcW w:w="1080" w:type="dxa"/>
            <w:vAlign w:val="bottom"/>
          </w:tcPr>
          <w:p>
            <w:pPr>
              <w:jc w:val="right"/>
              <w:ind w:right="249"/>
              <w:spacing w:after="0"/>
              <w:rPr>
                <w:sz w:val="20"/>
                <w:szCs w:val="20"/>
                <w:color w:val="auto"/>
              </w:rPr>
            </w:pPr>
            <w:r>
              <w:rPr>
                <w:rFonts w:ascii="Arial" w:cs="Arial" w:eastAsia="Arial" w:hAnsi="Arial"/>
                <w:sz w:val="14"/>
                <w:szCs w:val="14"/>
                <w:color w:val="55565A"/>
              </w:rPr>
              <w:t>318</w:t>
            </w:r>
          </w:p>
        </w:tc>
        <w:tc>
          <w:tcPr>
            <w:tcW w:w="1280" w:type="dxa"/>
            <w:vAlign w:val="bottom"/>
          </w:tcPr>
          <w:p>
            <w:pPr>
              <w:jc w:val="right"/>
              <w:ind w:right="289"/>
              <w:spacing w:after="0"/>
              <w:rPr>
                <w:sz w:val="20"/>
                <w:szCs w:val="20"/>
                <w:color w:val="auto"/>
              </w:rPr>
            </w:pPr>
            <w:r>
              <w:rPr>
                <w:rFonts w:ascii="Arial" w:cs="Arial" w:eastAsia="Arial" w:hAnsi="Arial"/>
                <w:sz w:val="14"/>
                <w:szCs w:val="14"/>
                <w:color w:val="55565A"/>
              </w:rPr>
              <w:t>44.6%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55565A"/>
              </w:rPr>
              <w:t>Corporates</w:t>
            </w:r>
          </w:p>
        </w:tc>
        <w:tc>
          <w:tcPr>
            <w:tcW w:w="14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435</w:t>
            </w:r>
          </w:p>
        </w:tc>
        <w:tc>
          <w:tcPr>
            <w:tcW w:w="2020" w:type="dxa"/>
            <w:vAlign w:val="bottom"/>
            <w:shd w:val="clear" w:color="auto" w:fill="CCEEFF"/>
          </w:tcPr>
          <w:p>
            <w:pPr>
              <w:ind w:left="1440"/>
              <w:spacing w:after="0"/>
              <w:rPr>
                <w:sz w:val="20"/>
                <w:szCs w:val="20"/>
                <w:color w:val="auto"/>
              </w:rPr>
            </w:pPr>
            <w:r>
              <w:rPr>
                <w:rFonts w:ascii="Arial" w:cs="Arial" w:eastAsia="Arial" w:hAnsi="Arial"/>
                <w:sz w:val="14"/>
                <w:szCs w:val="14"/>
                <w:color w:val="55565A"/>
              </w:rPr>
              <w:t>2</w:t>
            </w:r>
          </w:p>
        </w:tc>
        <w:tc>
          <w:tcPr>
            <w:tcW w:w="1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55565A"/>
              </w:rPr>
              <w:t>437</w:t>
            </w:r>
          </w:p>
        </w:tc>
        <w:tc>
          <w:tcPr>
            <w:tcW w:w="10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154</w:t>
            </w:r>
          </w:p>
        </w:tc>
        <w:tc>
          <w:tcPr>
            <w:tcW w:w="128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35.1%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tcBorders>
              <w:bottom w:val="single" w:sz="8" w:color="88888B"/>
            </w:tcBorders>
            <w:gridSpan w:val="2"/>
          </w:tcPr>
          <w:p>
            <w:pPr>
              <w:ind w:left="140"/>
              <w:spacing w:after="0"/>
              <w:rPr>
                <w:sz w:val="20"/>
                <w:szCs w:val="20"/>
                <w:color w:val="auto"/>
              </w:rPr>
            </w:pPr>
            <w:r>
              <w:rPr>
                <w:rFonts w:ascii="Arial" w:cs="Arial" w:eastAsia="Arial" w:hAnsi="Arial"/>
                <w:sz w:val="14"/>
                <w:szCs w:val="14"/>
                <w:b w:val="1"/>
                <w:bCs w:val="1"/>
                <w:color w:val="55565A"/>
              </w:rPr>
              <w:t>Tax &amp; Accounting Professionals</w:t>
            </w:r>
          </w:p>
        </w:tc>
        <w:tc>
          <w:tcPr>
            <w:tcW w:w="146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282</w:t>
            </w:r>
          </w:p>
        </w:tc>
        <w:tc>
          <w:tcPr>
            <w:tcW w:w="2020" w:type="dxa"/>
            <w:vAlign w:val="bottom"/>
            <w:tcBorders>
              <w:bottom w:val="single" w:sz="8" w:color="88888B"/>
            </w:tcBorders>
          </w:tcPr>
          <w:p>
            <w:pPr>
              <w:ind w:left="1440"/>
              <w:spacing w:after="0"/>
              <w:rPr>
                <w:sz w:val="20"/>
                <w:szCs w:val="20"/>
                <w:color w:val="auto"/>
              </w:rPr>
            </w:pPr>
            <w:r>
              <w:rPr>
                <w:rFonts w:ascii="Arial" w:cs="Arial" w:eastAsia="Arial" w:hAnsi="Arial"/>
                <w:sz w:val="14"/>
                <w:szCs w:val="14"/>
                <w:color w:val="55565A"/>
              </w:rPr>
              <w:t>7</w:t>
            </w:r>
          </w:p>
        </w:tc>
        <w:tc>
          <w:tcPr>
            <w:tcW w:w="1820" w:type="dxa"/>
            <w:vAlign w:val="bottom"/>
            <w:tcBorders>
              <w:bottom w:val="single" w:sz="8" w:color="88888B"/>
            </w:tcBorders>
          </w:tcPr>
          <w:p>
            <w:pPr>
              <w:jc w:val="right"/>
              <w:ind w:right="69"/>
              <w:spacing w:after="0"/>
              <w:rPr>
                <w:sz w:val="20"/>
                <w:szCs w:val="20"/>
                <w:color w:val="auto"/>
              </w:rPr>
            </w:pPr>
            <w:r>
              <w:rPr>
                <w:rFonts w:ascii="Arial" w:cs="Arial" w:eastAsia="Arial" w:hAnsi="Arial"/>
                <w:sz w:val="14"/>
                <w:szCs w:val="14"/>
                <w:color w:val="55565A"/>
              </w:rPr>
              <w:t>289</w:t>
            </w:r>
          </w:p>
        </w:tc>
        <w:tc>
          <w:tcPr>
            <w:tcW w:w="108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color w:val="55565A"/>
              </w:rPr>
              <w:t>149</w:t>
            </w:r>
          </w:p>
        </w:tc>
        <w:tc>
          <w:tcPr>
            <w:tcW w:w="128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color w:val="55565A"/>
              </w:rPr>
              <w:t>51.4%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40" w:type="dxa"/>
            <w:vAlign w:val="bottom"/>
            <w:gridSpan w:val="2"/>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“Big 3” Segments Combined</w:t>
            </w:r>
          </w:p>
        </w:tc>
        <w:tc>
          <w:tcPr>
            <w:tcW w:w="1460" w:type="dxa"/>
            <w:vAlign w:val="bottom"/>
            <w:shd w:val="clear" w:color="auto" w:fill="CCEEFF"/>
          </w:tcPr>
          <w:p>
            <w:pPr>
              <w:jc w:val="right"/>
              <w:ind w:right="229"/>
              <w:spacing w:after="0" w:line="154" w:lineRule="exact"/>
              <w:rPr>
                <w:sz w:val="20"/>
                <w:szCs w:val="20"/>
                <w:color w:val="auto"/>
              </w:rPr>
            </w:pPr>
            <w:r>
              <w:rPr>
                <w:rFonts w:ascii="Arial" w:cs="Arial" w:eastAsia="Arial" w:hAnsi="Arial"/>
                <w:sz w:val="14"/>
                <w:szCs w:val="14"/>
                <w:color w:val="55565A"/>
              </w:rPr>
              <w:t>1,431</w:t>
            </w:r>
          </w:p>
        </w:tc>
        <w:tc>
          <w:tcPr>
            <w:tcW w:w="2020" w:type="dxa"/>
            <w:vAlign w:val="bottom"/>
            <w:shd w:val="clear" w:color="auto" w:fill="CCEEFF"/>
          </w:tcPr>
          <w:p>
            <w:pPr>
              <w:ind w:left="1440"/>
              <w:spacing w:after="0" w:line="154" w:lineRule="exact"/>
              <w:rPr>
                <w:sz w:val="20"/>
                <w:szCs w:val="20"/>
                <w:color w:val="auto"/>
              </w:rPr>
            </w:pPr>
            <w:r>
              <w:rPr>
                <w:rFonts w:ascii="Arial" w:cs="Arial" w:eastAsia="Arial" w:hAnsi="Arial"/>
                <w:sz w:val="14"/>
                <w:szCs w:val="14"/>
                <w:color w:val="55565A"/>
              </w:rPr>
              <w:t>9</w:t>
            </w:r>
          </w:p>
        </w:tc>
        <w:tc>
          <w:tcPr>
            <w:tcW w:w="1820" w:type="dxa"/>
            <w:vAlign w:val="bottom"/>
            <w:shd w:val="clear" w:color="auto" w:fill="CCEEFF"/>
          </w:tcPr>
          <w:p>
            <w:pPr>
              <w:jc w:val="right"/>
              <w:ind w:right="69"/>
              <w:spacing w:after="0" w:line="154" w:lineRule="exact"/>
              <w:rPr>
                <w:sz w:val="20"/>
                <w:szCs w:val="20"/>
                <w:color w:val="auto"/>
              </w:rPr>
            </w:pPr>
            <w:r>
              <w:rPr>
                <w:rFonts w:ascii="Arial" w:cs="Arial" w:eastAsia="Arial" w:hAnsi="Arial"/>
                <w:sz w:val="14"/>
                <w:szCs w:val="14"/>
                <w:color w:val="55565A"/>
              </w:rPr>
              <w:t>1,440</w:t>
            </w:r>
          </w:p>
        </w:tc>
        <w:tc>
          <w:tcPr>
            <w:tcW w:w="1080" w:type="dxa"/>
            <w:vAlign w:val="bottom"/>
            <w:shd w:val="clear" w:color="auto" w:fill="CCEEFF"/>
          </w:tcPr>
          <w:p>
            <w:pPr>
              <w:jc w:val="right"/>
              <w:ind w:right="249"/>
              <w:spacing w:after="0" w:line="154" w:lineRule="exact"/>
              <w:rPr>
                <w:sz w:val="20"/>
                <w:szCs w:val="20"/>
                <w:color w:val="auto"/>
              </w:rPr>
            </w:pPr>
            <w:r>
              <w:rPr>
                <w:rFonts w:ascii="Arial" w:cs="Arial" w:eastAsia="Arial" w:hAnsi="Arial"/>
                <w:sz w:val="14"/>
                <w:szCs w:val="14"/>
                <w:color w:val="55565A"/>
              </w:rPr>
              <w:t>621</w:t>
            </w:r>
          </w:p>
        </w:tc>
        <w:tc>
          <w:tcPr>
            <w:tcW w:w="1280" w:type="dxa"/>
            <w:vAlign w:val="bottom"/>
            <w:shd w:val="clear" w:color="auto" w:fill="CCEEFF"/>
          </w:tcPr>
          <w:p>
            <w:pPr>
              <w:jc w:val="right"/>
              <w:ind w:right="289"/>
              <w:spacing w:after="0" w:line="154" w:lineRule="exact"/>
              <w:rPr>
                <w:sz w:val="20"/>
                <w:szCs w:val="20"/>
                <w:color w:val="auto"/>
              </w:rPr>
            </w:pPr>
            <w:r>
              <w:rPr>
                <w:rFonts w:ascii="Arial" w:cs="Arial" w:eastAsia="Arial" w:hAnsi="Arial"/>
                <w:sz w:val="14"/>
                <w:szCs w:val="14"/>
                <w:color w:val="55565A"/>
              </w:rPr>
              <w:t>43.1%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gridSpan w:val="2"/>
          </w:tcPr>
          <w:p>
            <w:pPr>
              <w:ind w:left="140"/>
              <w:spacing w:after="0"/>
              <w:rPr>
                <w:sz w:val="20"/>
                <w:szCs w:val="20"/>
                <w:color w:val="auto"/>
              </w:rPr>
            </w:pPr>
            <w:r>
              <w:rPr>
                <w:rFonts w:ascii="Arial" w:cs="Arial" w:eastAsia="Arial" w:hAnsi="Arial"/>
                <w:sz w:val="14"/>
                <w:szCs w:val="14"/>
                <w:b w:val="1"/>
                <w:bCs w:val="1"/>
                <w:color w:val="55565A"/>
              </w:rPr>
              <w:t>Reuters News</w:t>
            </w:r>
          </w:p>
        </w:tc>
        <w:tc>
          <w:tcPr>
            <w:tcW w:w="1460" w:type="dxa"/>
            <w:vAlign w:val="bottom"/>
          </w:tcPr>
          <w:p>
            <w:pPr>
              <w:jc w:val="right"/>
              <w:ind w:right="229"/>
              <w:spacing w:after="0"/>
              <w:rPr>
                <w:sz w:val="20"/>
                <w:szCs w:val="20"/>
                <w:color w:val="auto"/>
              </w:rPr>
            </w:pPr>
            <w:r>
              <w:rPr>
                <w:rFonts w:ascii="Arial" w:cs="Arial" w:eastAsia="Arial" w:hAnsi="Arial"/>
                <w:sz w:val="14"/>
                <w:szCs w:val="14"/>
                <w:color w:val="55565A"/>
              </w:rPr>
              <w:t>175</w:t>
            </w:r>
          </w:p>
        </w:tc>
        <w:tc>
          <w:tcPr>
            <w:tcW w:w="2020" w:type="dxa"/>
            <w:vAlign w:val="bottom"/>
          </w:tcPr>
          <w:p>
            <w:pPr>
              <w:ind w:left="1440"/>
              <w:spacing w:after="0"/>
              <w:rPr>
                <w:sz w:val="20"/>
                <w:szCs w:val="20"/>
                <w:color w:val="auto"/>
              </w:rPr>
            </w:pPr>
            <w:r>
              <w:rPr>
                <w:rFonts w:ascii="Arial" w:cs="Arial" w:eastAsia="Arial" w:hAnsi="Arial"/>
                <w:sz w:val="14"/>
                <w:szCs w:val="14"/>
                <w:color w:val="55565A"/>
              </w:rPr>
              <w:t>–</w:t>
            </w:r>
          </w:p>
        </w:tc>
        <w:tc>
          <w:tcPr>
            <w:tcW w:w="1820" w:type="dxa"/>
            <w:vAlign w:val="bottom"/>
          </w:tcPr>
          <w:p>
            <w:pPr>
              <w:jc w:val="right"/>
              <w:ind w:right="69"/>
              <w:spacing w:after="0"/>
              <w:rPr>
                <w:sz w:val="20"/>
                <w:szCs w:val="20"/>
                <w:color w:val="auto"/>
              </w:rPr>
            </w:pPr>
            <w:r>
              <w:rPr>
                <w:rFonts w:ascii="Arial" w:cs="Arial" w:eastAsia="Arial" w:hAnsi="Arial"/>
                <w:sz w:val="14"/>
                <w:szCs w:val="14"/>
                <w:color w:val="55565A"/>
              </w:rPr>
              <w:t>175</w:t>
            </w:r>
          </w:p>
        </w:tc>
        <w:tc>
          <w:tcPr>
            <w:tcW w:w="1080" w:type="dxa"/>
            <w:vAlign w:val="bottom"/>
          </w:tcPr>
          <w:p>
            <w:pPr>
              <w:jc w:val="right"/>
              <w:ind w:right="249"/>
              <w:spacing w:after="0"/>
              <w:rPr>
                <w:sz w:val="20"/>
                <w:szCs w:val="20"/>
                <w:color w:val="auto"/>
              </w:rPr>
            </w:pPr>
            <w:r>
              <w:rPr>
                <w:rFonts w:ascii="Arial" w:cs="Arial" w:eastAsia="Arial" w:hAnsi="Arial"/>
                <w:sz w:val="14"/>
                <w:szCs w:val="14"/>
                <w:color w:val="55565A"/>
              </w:rPr>
              <w:t>29</w:t>
            </w:r>
          </w:p>
        </w:tc>
        <w:tc>
          <w:tcPr>
            <w:tcW w:w="1280" w:type="dxa"/>
            <w:vAlign w:val="bottom"/>
          </w:tcPr>
          <w:p>
            <w:pPr>
              <w:jc w:val="right"/>
              <w:ind w:right="289"/>
              <w:spacing w:after="0"/>
              <w:rPr>
                <w:sz w:val="20"/>
                <w:szCs w:val="20"/>
                <w:color w:val="auto"/>
              </w:rPr>
            </w:pPr>
            <w:r>
              <w:rPr>
                <w:rFonts w:ascii="Arial" w:cs="Arial" w:eastAsia="Arial" w:hAnsi="Arial"/>
                <w:sz w:val="14"/>
                <w:szCs w:val="14"/>
                <w:color w:val="55565A"/>
              </w:rPr>
              <w:t>16.6%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55565A"/>
              </w:rPr>
              <w:t>Global Print</w:t>
            </w:r>
          </w:p>
        </w:tc>
        <w:tc>
          <w:tcPr>
            <w:tcW w:w="14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138</w:t>
            </w:r>
          </w:p>
        </w:tc>
        <w:tc>
          <w:tcPr>
            <w:tcW w:w="2020" w:type="dxa"/>
            <w:vAlign w:val="bottom"/>
            <w:shd w:val="clear" w:color="auto" w:fill="CCEEFF"/>
          </w:tcPr>
          <w:p>
            <w:pPr>
              <w:ind w:left="1440"/>
              <w:spacing w:after="0"/>
              <w:rPr>
                <w:sz w:val="20"/>
                <w:szCs w:val="20"/>
                <w:color w:val="auto"/>
              </w:rPr>
            </w:pPr>
            <w:r>
              <w:rPr>
                <w:rFonts w:ascii="Arial" w:cs="Arial" w:eastAsia="Arial" w:hAnsi="Arial"/>
                <w:sz w:val="14"/>
                <w:szCs w:val="14"/>
                <w:color w:val="55565A"/>
              </w:rPr>
              <w:t>–</w:t>
            </w:r>
          </w:p>
        </w:tc>
        <w:tc>
          <w:tcPr>
            <w:tcW w:w="1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55565A"/>
              </w:rPr>
              <w:t>138</w:t>
            </w:r>
          </w:p>
        </w:tc>
        <w:tc>
          <w:tcPr>
            <w:tcW w:w="10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50</w:t>
            </w:r>
          </w:p>
        </w:tc>
        <w:tc>
          <w:tcPr>
            <w:tcW w:w="128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36.5%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gridSpan w:val="2"/>
          </w:tcPr>
          <w:p>
            <w:pPr>
              <w:ind w:left="140"/>
              <w:spacing w:after="0"/>
              <w:rPr>
                <w:sz w:val="20"/>
                <w:szCs w:val="20"/>
                <w:color w:val="auto"/>
              </w:rPr>
            </w:pPr>
            <w:r>
              <w:rPr>
                <w:rFonts w:ascii="Arial" w:cs="Arial" w:eastAsia="Arial" w:hAnsi="Arial"/>
                <w:sz w:val="14"/>
                <w:szCs w:val="14"/>
                <w:b w:val="1"/>
                <w:bCs w:val="1"/>
                <w:color w:val="55565A"/>
              </w:rPr>
              <w:t>Eliminations/Rounding</w:t>
            </w:r>
          </w:p>
        </w:tc>
        <w:tc>
          <w:tcPr>
            <w:tcW w:w="1460" w:type="dxa"/>
            <w:vAlign w:val="bottom"/>
          </w:tcPr>
          <w:p>
            <w:pPr>
              <w:jc w:val="right"/>
              <w:ind w:right="229"/>
              <w:spacing w:after="0"/>
              <w:rPr>
                <w:sz w:val="20"/>
                <w:szCs w:val="20"/>
                <w:color w:val="auto"/>
              </w:rPr>
            </w:pPr>
            <w:r>
              <w:rPr>
                <w:rFonts w:ascii="Arial" w:cs="Arial" w:eastAsia="Arial" w:hAnsi="Arial"/>
                <w:sz w:val="14"/>
                <w:szCs w:val="14"/>
                <w:color w:val="55565A"/>
              </w:rPr>
              <w:t>(6)</w:t>
            </w:r>
          </w:p>
        </w:tc>
        <w:tc>
          <w:tcPr>
            <w:tcW w:w="2020" w:type="dxa"/>
            <w:vAlign w:val="bottom"/>
          </w:tcPr>
          <w:p>
            <w:pPr>
              <w:ind w:left="1440"/>
              <w:spacing w:after="0"/>
              <w:rPr>
                <w:sz w:val="20"/>
                <w:szCs w:val="20"/>
                <w:color w:val="auto"/>
              </w:rPr>
            </w:pPr>
            <w:r>
              <w:rPr>
                <w:rFonts w:ascii="Arial" w:cs="Arial" w:eastAsia="Arial" w:hAnsi="Arial"/>
                <w:sz w:val="14"/>
                <w:szCs w:val="14"/>
                <w:color w:val="55565A"/>
              </w:rPr>
              <w:t>–</w:t>
            </w:r>
          </w:p>
        </w:tc>
        <w:tc>
          <w:tcPr>
            <w:tcW w:w="1820" w:type="dxa"/>
            <w:vAlign w:val="bottom"/>
          </w:tcPr>
          <w:p>
            <w:pPr>
              <w:jc w:val="right"/>
              <w:ind w:right="69"/>
              <w:spacing w:after="0"/>
              <w:rPr>
                <w:sz w:val="20"/>
                <w:szCs w:val="20"/>
                <w:color w:val="auto"/>
              </w:rPr>
            </w:pPr>
            <w:r>
              <w:rPr>
                <w:rFonts w:ascii="Arial" w:cs="Arial" w:eastAsia="Arial" w:hAnsi="Arial"/>
                <w:sz w:val="14"/>
                <w:szCs w:val="14"/>
                <w:color w:val="55565A"/>
              </w:rPr>
              <w:t>(6)</w:t>
            </w:r>
          </w:p>
        </w:tc>
        <w:tc>
          <w:tcPr>
            <w:tcW w:w="1080" w:type="dxa"/>
            <w:vAlign w:val="bottom"/>
          </w:tcPr>
          <w:p>
            <w:pPr>
              <w:jc w:val="right"/>
              <w:ind w:right="249"/>
              <w:spacing w:after="0"/>
              <w:rPr>
                <w:sz w:val="20"/>
                <w:szCs w:val="20"/>
                <w:color w:val="auto"/>
              </w:rPr>
            </w:pPr>
            <w:r>
              <w:rPr>
                <w:rFonts w:ascii="Arial" w:cs="Arial" w:eastAsia="Arial" w:hAnsi="Arial"/>
                <w:sz w:val="14"/>
                <w:szCs w:val="14"/>
                <w:color w:val="55565A"/>
              </w:rPr>
              <w:t>–</w:t>
            </w:r>
          </w:p>
        </w:tc>
        <w:tc>
          <w:tcPr>
            <w:tcW w:w="1280" w:type="dxa"/>
            <w:vAlign w:val="bottom"/>
          </w:tcPr>
          <w:p>
            <w:pPr>
              <w:jc w:val="right"/>
              <w:ind w:right="289"/>
              <w:spacing w:after="0"/>
              <w:rPr>
                <w:sz w:val="20"/>
                <w:szCs w:val="20"/>
                <w:color w:val="auto"/>
              </w:rPr>
            </w:pPr>
            <w:r>
              <w:rPr>
                <w:rFonts w:ascii="Arial" w:cs="Arial" w:eastAsia="Arial" w:hAnsi="Arial"/>
                <w:sz w:val="14"/>
                <w:szCs w:val="14"/>
                <w:color w:val="55565A"/>
              </w:rPr>
              <w:t>n/a</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tcBorders>
              <w:bottom w:val="single" w:sz="8" w:color="88888B"/>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55565A"/>
              </w:rPr>
              <w:t>Corporate costs</w:t>
            </w:r>
          </w:p>
        </w:tc>
        <w:tc>
          <w:tcPr>
            <w:tcW w:w="146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w:t>
            </w:r>
          </w:p>
        </w:tc>
        <w:tc>
          <w:tcPr>
            <w:tcW w:w="2020" w:type="dxa"/>
            <w:vAlign w:val="bottom"/>
            <w:tcBorders>
              <w:bottom w:val="single" w:sz="8" w:color="88888B"/>
            </w:tcBorders>
            <w:shd w:val="clear" w:color="auto" w:fill="CCEEFF"/>
          </w:tcPr>
          <w:p>
            <w:pPr>
              <w:ind w:left="1440"/>
              <w:spacing w:after="0"/>
              <w:rPr>
                <w:sz w:val="20"/>
                <w:szCs w:val="20"/>
                <w:color w:val="auto"/>
              </w:rPr>
            </w:pPr>
            <w:r>
              <w:rPr>
                <w:rFonts w:ascii="Arial" w:cs="Arial" w:eastAsia="Arial" w:hAnsi="Arial"/>
                <w:sz w:val="14"/>
                <w:szCs w:val="14"/>
                <w:color w:val="55565A"/>
              </w:rPr>
              <w:t>–</w:t>
            </w:r>
          </w:p>
        </w:tc>
        <w:tc>
          <w:tcPr>
            <w:tcW w:w="1820" w:type="dxa"/>
            <w:vAlign w:val="bottom"/>
            <w:tcBorders>
              <w:bottom w:val="single" w:sz="8" w:color="88888B"/>
            </w:tcBorders>
            <w:shd w:val="clear" w:color="auto" w:fill="CCEEFF"/>
          </w:tcPr>
          <w:p>
            <w:pPr>
              <w:jc w:val="right"/>
              <w:ind w:right="69"/>
              <w:spacing w:after="0"/>
              <w:rPr>
                <w:sz w:val="20"/>
                <w:szCs w:val="20"/>
                <w:color w:val="auto"/>
              </w:rPr>
            </w:pPr>
            <w:r>
              <w:rPr>
                <w:rFonts w:ascii="Arial" w:cs="Arial" w:eastAsia="Arial" w:hAnsi="Arial"/>
                <w:sz w:val="14"/>
                <w:szCs w:val="14"/>
                <w:color w:val="55565A"/>
              </w:rPr>
              <w:t>–</w:t>
            </w:r>
          </w:p>
        </w:tc>
        <w:tc>
          <w:tcPr>
            <w:tcW w:w="108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color w:val="55565A"/>
              </w:rPr>
              <w:t>(23)</w:t>
            </w:r>
          </w:p>
        </w:tc>
        <w:tc>
          <w:tcPr>
            <w:tcW w:w="1280" w:type="dxa"/>
            <w:vAlign w:val="bottom"/>
            <w:tcBorders>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color w:val="55565A"/>
              </w:rPr>
              <w:t>n/a</w:t>
            </w:r>
          </w:p>
        </w:tc>
        <w:tc>
          <w:tcPr>
            <w:tcW w:w="0" w:type="dxa"/>
            <w:vAlign w:val="bottom"/>
          </w:tcPr>
          <w:p>
            <w:pPr>
              <w:spacing w:after="0"/>
              <w:rPr>
                <w:sz w:val="1"/>
                <w:szCs w:val="1"/>
                <w:color w:val="auto"/>
              </w:rPr>
            </w:pPr>
          </w:p>
        </w:tc>
      </w:tr>
      <w:tr>
        <w:trPr>
          <w:trHeight w:val="154"/>
        </w:trPr>
        <w:tc>
          <w:tcPr>
            <w:tcW w:w="20" w:type="dxa"/>
            <w:vAlign w:val="bottom"/>
            <w:tcBorders>
              <w:bottom w:val="single" w:sz="8" w:color="55565A"/>
            </w:tcBorders>
          </w:tcPr>
          <w:p>
            <w:pPr>
              <w:spacing w:after="0"/>
              <w:rPr>
                <w:sz w:val="13"/>
                <w:szCs w:val="13"/>
                <w:color w:val="auto"/>
              </w:rPr>
            </w:pPr>
          </w:p>
        </w:tc>
        <w:tc>
          <w:tcPr>
            <w:tcW w:w="3240" w:type="dxa"/>
            <w:vAlign w:val="bottom"/>
            <w:tcBorders>
              <w:bottom w:val="single" w:sz="8" w:color="55565A"/>
            </w:tcBorders>
            <w:gridSpan w:val="2"/>
          </w:tcPr>
          <w:p>
            <w:pPr>
              <w:spacing w:after="0" w:line="154" w:lineRule="exact"/>
              <w:rPr>
                <w:sz w:val="20"/>
                <w:szCs w:val="20"/>
                <w:color w:val="auto"/>
              </w:rPr>
            </w:pPr>
            <w:r>
              <w:rPr>
                <w:rFonts w:ascii="Arial" w:cs="Arial" w:eastAsia="Arial" w:hAnsi="Arial"/>
                <w:sz w:val="14"/>
                <w:szCs w:val="14"/>
                <w:b w:val="1"/>
                <w:bCs w:val="1"/>
                <w:color w:val="55565A"/>
              </w:rPr>
              <w:t>Consolidated totals</w:t>
            </w:r>
          </w:p>
        </w:tc>
        <w:tc>
          <w:tcPr>
            <w:tcW w:w="1460" w:type="dxa"/>
            <w:vAlign w:val="bottom"/>
            <w:tcBorders>
              <w:bottom w:val="single" w:sz="8" w:color="55565A"/>
            </w:tcBorders>
          </w:tcPr>
          <w:p>
            <w:pPr>
              <w:jc w:val="right"/>
              <w:ind w:right="229"/>
              <w:spacing w:after="0" w:line="154" w:lineRule="exact"/>
              <w:rPr>
                <w:sz w:val="20"/>
                <w:szCs w:val="20"/>
                <w:color w:val="auto"/>
              </w:rPr>
            </w:pPr>
            <w:r>
              <w:rPr>
                <w:rFonts w:ascii="Arial" w:cs="Arial" w:eastAsia="Arial" w:hAnsi="Arial"/>
                <w:sz w:val="14"/>
                <w:szCs w:val="14"/>
                <w:color w:val="55565A"/>
              </w:rPr>
              <w:t>1,738</w:t>
            </w:r>
          </w:p>
        </w:tc>
        <w:tc>
          <w:tcPr>
            <w:tcW w:w="2020" w:type="dxa"/>
            <w:vAlign w:val="bottom"/>
            <w:tcBorders>
              <w:bottom w:val="single" w:sz="8" w:color="55565A"/>
            </w:tcBorders>
          </w:tcPr>
          <w:p>
            <w:pPr>
              <w:ind w:left="1440"/>
              <w:spacing w:after="0" w:line="154" w:lineRule="exact"/>
              <w:rPr>
                <w:sz w:val="20"/>
                <w:szCs w:val="20"/>
                <w:color w:val="auto"/>
              </w:rPr>
            </w:pPr>
            <w:r>
              <w:rPr>
                <w:rFonts w:ascii="Arial" w:cs="Arial" w:eastAsia="Arial" w:hAnsi="Arial"/>
                <w:sz w:val="14"/>
                <w:szCs w:val="14"/>
                <w:color w:val="55565A"/>
              </w:rPr>
              <w:t>9</w:t>
            </w:r>
          </w:p>
        </w:tc>
        <w:tc>
          <w:tcPr>
            <w:tcW w:w="1820" w:type="dxa"/>
            <w:vAlign w:val="bottom"/>
            <w:tcBorders>
              <w:bottom w:val="single" w:sz="8" w:color="55565A"/>
            </w:tcBorders>
          </w:tcPr>
          <w:p>
            <w:pPr>
              <w:jc w:val="right"/>
              <w:ind w:right="69"/>
              <w:spacing w:after="0" w:line="154" w:lineRule="exact"/>
              <w:rPr>
                <w:sz w:val="20"/>
                <w:szCs w:val="20"/>
                <w:color w:val="auto"/>
              </w:rPr>
            </w:pPr>
            <w:r>
              <w:rPr>
                <w:rFonts w:ascii="Arial" w:cs="Arial" w:eastAsia="Arial" w:hAnsi="Arial"/>
                <w:sz w:val="14"/>
                <w:szCs w:val="14"/>
                <w:color w:val="55565A"/>
              </w:rPr>
              <w:t>1,747</w:t>
            </w:r>
          </w:p>
        </w:tc>
        <w:tc>
          <w:tcPr>
            <w:tcW w:w="1080" w:type="dxa"/>
            <w:vAlign w:val="bottom"/>
            <w:tcBorders>
              <w:bottom w:val="single" w:sz="8" w:color="55565A"/>
            </w:tcBorders>
          </w:tcPr>
          <w:p>
            <w:pPr>
              <w:jc w:val="right"/>
              <w:ind w:right="249"/>
              <w:spacing w:after="0" w:line="154" w:lineRule="exact"/>
              <w:rPr>
                <w:sz w:val="20"/>
                <w:szCs w:val="20"/>
                <w:color w:val="auto"/>
              </w:rPr>
            </w:pPr>
            <w:r>
              <w:rPr>
                <w:rFonts w:ascii="Arial" w:cs="Arial" w:eastAsia="Arial" w:hAnsi="Arial"/>
                <w:sz w:val="14"/>
                <w:szCs w:val="14"/>
                <w:color w:val="55565A"/>
              </w:rPr>
              <w:t>677</w:t>
            </w:r>
          </w:p>
        </w:tc>
        <w:tc>
          <w:tcPr>
            <w:tcW w:w="1280" w:type="dxa"/>
            <w:vAlign w:val="bottom"/>
            <w:tcBorders>
              <w:bottom w:val="single" w:sz="8" w:color="55565A"/>
            </w:tcBorders>
          </w:tcPr>
          <w:p>
            <w:pPr>
              <w:jc w:val="right"/>
              <w:ind w:right="289"/>
              <w:spacing w:after="0" w:line="154" w:lineRule="exact"/>
              <w:rPr>
                <w:sz w:val="20"/>
                <w:szCs w:val="20"/>
                <w:color w:val="auto"/>
              </w:rPr>
            </w:pPr>
            <w:r>
              <w:rPr>
                <w:rFonts w:ascii="Arial" w:cs="Arial" w:eastAsia="Arial" w:hAnsi="Arial"/>
                <w:sz w:val="14"/>
                <w:szCs w:val="14"/>
                <w:color w:val="55565A"/>
              </w:rPr>
              <w:t>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31</w:t>
      </w:r>
    </w:p>
    <w:p>
      <w:pPr>
        <w:sectPr>
          <w:pgSz w:w="11900" w:h="16838" w:orient="portrait"/>
          <w:cols w:equalWidth="0" w:num="1">
            <w:col w:w="11080"/>
          </w:cols>
          <w:pgMar w:left="320" w:top="454"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Appendix C</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5565A"/>
        </w:rPr>
        <w:t>Quarterly information (unaudited)</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The following table presents a summary of our consolidated operating results for the eight most recent quarters.</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260" w:type="dxa"/>
            <w:vAlign w:val="bottom"/>
            <w:tcBorders>
              <w:top w:val="single" w:sz="8" w:color="55565A"/>
            </w:tcBorders>
          </w:tcPr>
          <w:p>
            <w:pPr>
              <w:spacing w:after="0"/>
              <w:rPr>
                <w:sz w:val="18"/>
                <w:szCs w:val="18"/>
                <w:color w:val="auto"/>
              </w:rPr>
            </w:pPr>
          </w:p>
        </w:tc>
        <w:tc>
          <w:tcPr>
            <w:tcW w:w="980" w:type="dxa"/>
            <w:vAlign w:val="bottom"/>
            <w:tcBorders>
              <w:top w:val="single" w:sz="8" w:color="55565A"/>
            </w:tcBorders>
          </w:tcPr>
          <w:p>
            <w:pPr>
              <w:spacing w:after="0"/>
              <w:rPr>
                <w:sz w:val="18"/>
                <w:szCs w:val="18"/>
                <w:color w:val="auto"/>
              </w:rPr>
            </w:pPr>
          </w:p>
        </w:tc>
        <w:tc>
          <w:tcPr>
            <w:tcW w:w="1240" w:type="dxa"/>
            <w:vAlign w:val="bottom"/>
            <w:tcBorders>
              <w:top w:val="single" w:sz="8" w:color="55565A"/>
            </w:tcBorders>
          </w:tcPr>
          <w:p>
            <w:pPr>
              <w:spacing w:after="0"/>
              <w:rPr>
                <w:sz w:val="18"/>
                <w:szCs w:val="18"/>
                <w:color w:val="auto"/>
              </w:rPr>
            </w:pPr>
          </w:p>
        </w:tc>
        <w:tc>
          <w:tcPr>
            <w:tcW w:w="1280" w:type="dxa"/>
            <w:vAlign w:val="bottom"/>
            <w:tcBorders>
              <w:top w:val="single" w:sz="8" w:color="55565A"/>
            </w:tcBorders>
          </w:tcPr>
          <w:p>
            <w:pPr>
              <w:spacing w:after="0"/>
              <w:rPr>
                <w:sz w:val="18"/>
                <w:szCs w:val="18"/>
                <w:color w:val="auto"/>
              </w:rPr>
            </w:pPr>
          </w:p>
        </w:tc>
        <w:tc>
          <w:tcPr>
            <w:tcW w:w="1860" w:type="dxa"/>
            <w:vAlign w:val="bottom"/>
            <w:tcBorders>
              <w:top w:val="single" w:sz="8" w:color="55565A"/>
            </w:tcBorders>
            <w:gridSpan w:val="2"/>
          </w:tcPr>
          <w:p>
            <w:pPr>
              <w:jc w:val="right"/>
              <w:ind w:right="449"/>
              <w:spacing w:after="0"/>
              <w:rPr>
                <w:sz w:val="20"/>
                <w:szCs w:val="20"/>
                <w:color w:val="auto"/>
              </w:rPr>
            </w:pPr>
            <w:r>
              <w:rPr>
                <w:rFonts w:ascii="Arial" w:cs="Arial" w:eastAsia="Arial" w:hAnsi="Arial"/>
                <w:sz w:val="14"/>
                <w:szCs w:val="14"/>
                <w:b w:val="1"/>
                <w:bCs w:val="1"/>
                <w:color w:val="55565A"/>
              </w:rPr>
              <w:t>Quarters ended</w:t>
            </w:r>
          </w:p>
        </w:tc>
        <w:tc>
          <w:tcPr>
            <w:tcW w:w="1240" w:type="dxa"/>
            <w:vAlign w:val="bottom"/>
            <w:tcBorders>
              <w:top w:val="single" w:sz="8" w:color="55565A"/>
            </w:tcBorders>
          </w:tcPr>
          <w:p>
            <w:pPr>
              <w:spacing w:after="0"/>
              <w:rPr>
                <w:sz w:val="18"/>
                <w:szCs w:val="18"/>
                <w:color w:val="auto"/>
              </w:rPr>
            </w:pPr>
          </w:p>
        </w:tc>
        <w:tc>
          <w:tcPr>
            <w:tcW w:w="1220" w:type="dxa"/>
            <w:vAlign w:val="bottom"/>
            <w:tcBorders>
              <w:top w:val="single" w:sz="8" w:color="55565A"/>
            </w:tcBorders>
          </w:tcPr>
          <w:p>
            <w:pPr>
              <w:spacing w:after="0"/>
              <w:rPr>
                <w:sz w:val="18"/>
                <w:szCs w:val="18"/>
                <w:color w:val="auto"/>
              </w:rPr>
            </w:pPr>
          </w:p>
        </w:tc>
        <w:tc>
          <w:tcPr>
            <w:tcW w:w="820" w:type="dxa"/>
            <w:vAlign w:val="bottom"/>
            <w:tcBorders>
              <w:top w:val="single" w:sz="8" w:color="55565A"/>
            </w:tcBorders>
          </w:tcPr>
          <w:p>
            <w:pPr>
              <w:spacing w:after="0"/>
              <w:rPr>
                <w:sz w:val="18"/>
                <w:szCs w:val="18"/>
                <w:color w:val="auto"/>
              </w:rPr>
            </w:pPr>
          </w:p>
        </w:tc>
      </w:tr>
      <w:tr>
        <w:trPr>
          <w:trHeight w:val="206"/>
        </w:trPr>
        <w:tc>
          <w:tcPr>
            <w:tcW w:w="2280" w:type="dxa"/>
            <w:vAlign w:val="bottom"/>
            <w:gridSpan w:val="2"/>
          </w:tcPr>
          <w:p>
            <w:pPr>
              <w:spacing w:after="0"/>
              <w:rPr>
                <w:sz w:val="20"/>
                <w:szCs w:val="20"/>
                <w:color w:val="auto"/>
              </w:rPr>
            </w:pPr>
            <w:r>
              <w:rPr>
                <w:rFonts w:ascii="Arial" w:cs="Arial" w:eastAsia="Arial" w:hAnsi="Arial"/>
                <w:sz w:val="14"/>
                <w:szCs w:val="14"/>
                <w:b w:val="1"/>
                <w:bCs w:val="1"/>
                <w:color w:val="55565A"/>
              </w:rPr>
              <w:t>(millions of U.S. dollars,</w:t>
            </w: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60"/>
        </w:trPr>
        <w:tc>
          <w:tcPr>
            <w:tcW w:w="2280" w:type="dxa"/>
            <w:vAlign w:val="bottom"/>
            <w:gridSpan w:val="2"/>
          </w:tcPr>
          <w:p>
            <w:pPr>
              <w:spacing w:after="0"/>
              <w:rPr>
                <w:sz w:val="20"/>
                <w:szCs w:val="20"/>
                <w:color w:val="auto"/>
              </w:rPr>
            </w:pPr>
            <w:r>
              <w:rPr>
                <w:rFonts w:ascii="Arial" w:cs="Arial" w:eastAsia="Arial" w:hAnsi="Arial"/>
                <w:sz w:val="14"/>
                <w:szCs w:val="14"/>
                <w:b w:val="1"/>
                <w:bCs w:val="1"/>
                <w:color w:val="55565A"/>
              </w:rPr>
              <w:t>except per share</w:t>
            </w:r>
          </w:p>
        </w:tc>
        <w:tc>
          <w:tcPr>
            <w:tcW w:w="980" w:type="dxa"/>
            <w:vAlign w:val="bottom"/>
          </w:tcPr>
          <w:p>
            <w:pPr>
              <w:jc w:val="right"/>
              <w:ind w:right="89"/>
              <w:spacing w:after="0"/>
              <w:rPr>
                <w:sz w:val="20"/>
                <w:szCs w:val="20"/>
                <w:color w:val="auto"/>
              </w:rPr>
            </w:pPr>
            <w:r>
              <w:rPr>
                <w:rFonts w:ascii="Arial" w:cs="Arial" w:eastAsia="Arial" w:hAnsi="Arial"/>
                <w:sz w:val="14"/>
                <w:szCs w:val="14"/>
                <w:b w:val="1"/>
                <w:bCs w:val="1"/>
                <w:color w:val="55565A"/>
              </w:rPr>
              <w:t>March 31,</w:t>
            </w:r>
          </w:p>
        </w:tc>
        <w:tc>
          <w:tcPr>
            <w:tcW w:w="1240" w:type="dxa"/>
            <w:vAlign w:val="bottom"/>
          </w:tcPr>
          <w:p>
            <w:pPr>
              <w:jc w:val="right"/>
              <w:ind w:right="89"/>
              <w:spacing w:after="0"/>
              <w:rPr>
                <w:sz w:val="20"/>
                <w:szCs w:val="20"/>
                <w:color w:val="auto"/>
              </w:rPr>
            </w:pPr>
            <w:r>
              <w:rPr>
                <w:rFonts w:ascii="Arial" w:cs="Arial" w:eastAsia="Arial" w:hAnsi="Arial"/>
                <w:sz w:val="14"/>
                <w:szCs w:val="14"/>
                <w:b w:val="1"/>
                <w:bCs w:val="1"/>
                <w:color w:val="55565A"/>
              </w:rPr>
              <w:t>December 31,</w:t>
            </w:r>
          </w:p>
        </w:tc>
        <w:tc>
          <w:tcPr>
            <w:tcW w:w="1280" w:type="dxa"/>
            <w:vAlign w:val="bottom"/>
          </w:tcPr>
          <w:p>
            <w:pPr>
              <w:jc w:val="right"/>
              <w:ind w:right="89"/>
              <w:spacing w:after="0"/>
              <w:rPr>
                <w:sz w:val="20"/>
                <w:szCs w:val="20"/>
                <w:color w:val="auto"/>
              </w:rPr>
            </w:pPr>
            <w:r>
              <w:rPr>
                <w:rFonts w:ascii="Arial" w:cs="Arial" w:eastAsia="Arial" w:hAnsi="Arial"/>
                <w:sz w:val="14"/>
                <w:szCs w:val="14"/>
                <w:b w:val="1"/>
                <w:bCs w:val="1"/>
                <w:color w:val="55565A"/>
              </w:rPr>
              <w:t>September 30,</w:t>
            </w: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55565A"/>
              </w:rPr>
              <w:t>June 30,</w:t>
            </w:r>
          </w:p>
        </w:tc>
        <w:tc>
          <w:tcPr>
            <w:tcW w:w="980" w:type="dxa"/>
            <w:vAlign w:val="bottom"/>
          </w:tcPr>
          <w:p>
            <w:pPr>
              <w:jc w:val="right"/>
              <w:ind w:right="89"/>
              <w:spacing w:after="0"/>
              <w:rPr>
                <w:sz w:val="20"/>
                <w:szCs w:val="20"/>
                <w:color w:val="auto"/>
              </w:rPr>
            </w:pPr>
            <w:r>
              <w:rPr>
                <w:rFonts w:ascii="Arial" w:cs="Arial" w:eastAsia="Arial" w:hAnsi="Arial"/>
                <w:sz w:val="14"/>
                <w:szCs w:val="14"/>
                <w:b w:val="1"/>
                <w:bCs w:val="1"/>
                <w:color w:val="55565A"/>
              </w:rPr>
              <w:t>March 31,</w:t>
            </w:r>
          </w:p>
        </w:tc>
        <w:tc>
          <w:tcPr>
            <w:tcW w:w="1240" w:type="dxa"/>
            <w:vAlign w:val="bottom"/>
          </w:tcPr>
          <w:p>
            <w:pPr>
              <w:jc w:val="right"/>
              <w:ind w:right="89"/>
              <w:spacing w:after="0"/>
              <w:rPr>
                <w:sz w:val="20"/>
                <w:szCs w:val="20"/>
                <w:color w:val="auto"/>
              </w:rPr>
            </w:pPr>
            <w:r>
              <w:rPr>
                <w:rFonts w:ascii="Arial" w:cs="Arial" w:eastAsia="Arial" w:hAnsi="Arial"/>
                <w:sz w:val="14"/>
                <w:szCs w:val="14"/>
                <w:b w:val="1"/>
                <w:bCs w:val="1"/>
                <w:color w:val="55565A"/>
              </w:rPr>
              <w:t>December 31,</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55565A"/>
              </w:rPr>
              <w:t>September 30,</w:t>
            </w:r>
          </w:p>
        </w:tc>
        <w:tc>
          <w:tcPr>
            <w:tcW w:w="820" w:type="dxa"/>
            <w:vAlign w:val="bottom"/>
          </w:tcPr>
          <w:p>
            <w:pPr>
              <w:jc w:val="right"/>
              <w:ind w:right="69"/>
              <w:spacing w:after="0"/>
              <w:rPr>
                <w:sz w:val="20"/>
                <w:szCs w:val="20"/>
                <w:color w:val="auto"/>
              </w:rPr>
            </w:pPr>
            <w:r>
              <w:rPr>
                <w:rFonts w:ascii="Arial" w:cs="Arial" w:eastAsia="Arial" w:hAnsi="Arial"/>
                <w:sz w:val="14"/>
                <w:szCs w:val="14"/>
                <w:b w:val="1"/>
                <w:bCs w:val="1"/>
                <w:color w:val="55565A"/>
              </w:rPr>
              <w:t>June 30,</w:t>
            </w:r>
          </w:p>
        </w:tc>
      </w:tr>
      <w:tr>
        <w:trPr>
          <w:trHeight w:val="195"/>
        </w:trPr>
        <w:tc>
          <w:tcPr>
            <w:tcW w:w="2280" w:type="dxa"/>
            <w:vAlign w:val="bottom"/>
            <w:gridSpan w:val="2"/>
          </w:tcPr>
          <w:p>
            <w:pPr>
              <w:spacing w:after="0"/>
              <w:rPr>
                <w:sz w:val="20"/>
                <w:szCs w:val="20"/>
                <w:color w:val="auto"/>
              </w:rPr>
            </w:pPr>
            <w:r>
              <w:rPr>
                <w:rFonts w:ascii="Arial" w:cs="Arial" w:eastAsia="Arial" w:hAnsi="Arial"/>
                <w:sz w:val="14"/>
                <w:szCs w:val="14"/>
                <w:b w:val="1"/>
                <w:bCs w:val="1"/>
                <w:color w:val="55565A"/>
              </w:rPr>
              <w:t>amounts)</w:t>
            </w:r>
          </w:p>
        </w:tc>
        <w:tc>
          <w:tcPr>
            <w:tcW w:w="980" w:type="dxa"/>
            <w:vAlign w:val="bottom"/>
          </w:tcPr>
          <w:p>
            <w:pPr>
              <w:jc w:val="right"/>
              <w:ind w:right="89"/>
              <w:spacing w:after="0"/>
              <w:rPr>
                <w:sz w:val="20"/>
                <w:szCs w:val="20"/>
                <w:color w:val="auto"/>
              </w:rPr>
            </w:pPr>
            <w:r>
              <w:rPr>
                <w:rFonts w:ascii="Arial" w:cs="Arial" w:eastAsia="Arial" w:hAnsi="Arial"/>
                <w:sz w:val="14"/>
                <w:szCs w:val="14"/>
                <w:b w:val="1"/>
                <w:bCs w:val="1"/>
                <w:color w:val="55565A"/>
              </w:rPr>
              <w:t>2024</w:t>
            </w:r>
          </w:p>
        </w:tc>
        <w:tc>
          <w:tcPr>
            <w:tcW w:w="1240" w:type="dxa"/>
            <w:vAlign w:val="bottom"/>
          </w:tcPr>
          <w:p>
            <w:pPr>
              <w:jc w:val="right"/>
              <w:ind w:right="89"/>
              <w:spacing w:after="0"/>
              <w:rPr>
                <w:sz w:val="20"/>
                <w:szCs w:val="20"/>
                <w:color w:val="auto"/>
              </w:rPr>
            </w:pPr>
            <w:r>
              <w:rPr>
                <w:rFonts w:ascii="Arial" w:cs="Arial" w:eastAsia="Arial" w:hAnsi="Arial"/>
                <w:sz w:val="14"/>
                <w:szCs w:val="14"/>
                <w:b w:val="1"/>
                <w:bCs w:val="1"/>
                <w:color w:val="55565A"/>
              </w:rPr>
              <w:t>2023</w:t>
            </w:r>
          </w:p>
        </w:tc>
        <w:tc>
          <w:tcPr>
            <w:tcW w:w="1280" w:type="dxa"/>
            <w:vAlign w:val="bottom"/>
          </w:tcPr>
          <w:p>
            <w:pPr>
              <w:jc w:val="right"/>
              <w:ind w:right="89"/>
              <w:spacing w:after="0"/>
              <w:rPr>
                <w:sz w:val="20"/>
                <w:szCs w:val="20"/>
                <w:color w:val="auto"/>
              </w:rPr>
            </w:pPr>
            <w:r>
              <w:rPr>
                <w:rFonts w:ascii="Arial" w:cs="Arial" w:eastAsia="Arial" w:hAnsi="Arial"/>
                <w:sz w:val="14"/>
                <w:szCs w:val="14"/>
                <w:b w:val="1"/>
                <w:bCs w:val="1"/>
                <w:color w:val="55565A"/>
              </w:rPr>
              <w:t>2023</w:t>
            </w: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55565A"/>
              </w:rPr>
              <w:t>2023</w:t>
            </w:r>
          </w:p>
        </w:tc>
        <w:tc>
          <w:tcPr>
            <w:tcW w:w="980" w:type="dxa"/>
            <w:vAlign w:val="bottom"/>
          </w:tcPr>
          <w:p>
            <w:pPr>
              <w:jc w:val="right"/>
              <w:ind w:right="89"/>
              <w:spacing w:after="0"/>
              <w:rPr>
                <w:sz w:val="20"/>
                <w:szCs w:val="20"/>
                <w:color w:val="auto"/>
              </w:rPr>
            </w:pPr>
            <w:r>
              <w:rPr>
                <w:rFonts w:ascii="Arial" w:cs="Arial" w:eastAsia="Arial" w:hAnsi="Arial"/>
                <w:sz w:val="14"/>
                <w:szCs w:val="14"/>
                <w:b w:val="1"/>
                <w:bCs w:val="1"/>
                <w:color w:val="55565A"/>
              </w:rPr>
              <w:t>2023</w:t>
            </w:r>
          </w:p>
        </w:tc>
        <w:tc>
          <w:tcPr>
            <w:tcW w:w="1240" w:type="dxa"/>
            <w:vAlign w:val="bottom"/>
          </w:tcPr>
          <w:p>
            <w:pPr>
              <w:jc w:val="right"/>
              <w:ind w:right="89"/>
              <w:spacing w:after="0"/>
              <w:rPr>
                <w:sz w:val="20"/>
                <w:szCs w:val="20"/>
                <w:color w:val="auto"/>
              </w:rPr>
            </w:pPr>
            <w:r>
              <w:rPr>
                <w:rFonts w:ascii="Arial" w:cs="Arial" w:eastAsia="Arial" w:hAnsi="Arial"/>
                <w:sz w:val="14"/>
                <w:szCs w:val="14"/>
                <w:b w:val="1"/>
                <w:bCs w:val="1"/>
                <w:color w:val="55565A"/>
              </w:rPr>
              <w:t>2022</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55565A"/>
              </w:rPr>
              <w:t>2022</w:t>
            </w:r>
          </w:p>
        </w:tc>
        <w:tc>
          <w:tcPr>
            <w:tcW w:w="820" w:type="dxa"/>
            <w:vAlign w:val="bottom"/>
          </w:tcPr>
          <w:p>
            <w:pPr>
              <w:jc w:val="right"/>
              <w:ind w:right="69"/>
              <w:spacing w:after="0"/>
              <w:rPr>
                <w:sz w:val="20"/>
                <w:szCs w:val="20"/>
                <w:color w:val="auto"/>
              </w:rPr>
            </w:pPr>
            <w:r>
              <w:rPr>
                <w:rFonts w:ascii="Arial" w:cs="Arial" w:eastAsia="Arial" w:hAnsi="Arial"/>
                <w:sz w:val="14"/>
                <w:szCs w:val="14"/>
                <w:b w:val="1"/>
                <w:bCs w:val="1"/>
                <w:color w:val="55565A"/>
              </w:rPr>
              <w:t>2022</w:t>
            </w:r>
          </w:p>
        </w:tc>
      </w:tr>
      <w:tr>
        <w:trPr>
          <w:trHeight w:val="28"/>
        </w:trPr>
        <w:tc>
          <w:tcPr>
            <w:tcW w:w="22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2260" w:type="dxa"/>
            <w:vAlign w:val="bottom"/>
            <w:tcBorders>
              <w:top w:val="single" w:sz="8" w:color="88888B"/>
            </w:tcBorders>
            <w:shd w:val="clear" w:color="auto" w:fill="CCEEFF"/>
          </w:tcPr>
          <w:p>
            <w:pPr>
              <w:spacing w:after="0" w:line="154" w:lineRule="exact"/>
              <w:rPr>
                <w:sz w:val="20"/>
                <w:szCs w:val="20"/>
                <w:color w:val="auto"/>
              </w:rPr>
            </w:pPr>
            <w:r>
              <w:rPr>
                <w:rFonts w:ascii="Arial" w:cs="Arial" w:eastAsia="Arial" w:hAnsi="Arial"/>
                <w:sz w:val="14"/>
                <w:szCs w:val="14"/>
                <w:color w:val="55565A"/>
              </w:rPr>
              <w:t>Revenues</w:t>
            </w:r>
          </w:p>
        </w:tc>
        <w:tc>
          <w:tcPr>
            <w:tcW w:w="980" w:type="dxa"/>
            <w:vAlign w:val="bottom"/>
            <w:tcBorders>
              <w:top w:val="single" w:sz="8" w:color="88888B"/>
            </w:tcBorders>
            <w:shd w:val="clear" w:color="auto" w:fill="CCEEFF"/>
          </w:tcPr>
          <w:p>
            <w:pPr>
              <w:jc w:val="right"/>
              <w:ind w:right="89"/>
              <w:spacing w:after="0" w:line="154" w:lineRule="exact"/>
              <w:rPr>
                <w:sz w:val="20"/>
                <w:szCs w:val="20"/>
                <w:color w:val="auto"/>
              </w:rPr>
            </w:pPr>
            <w:r>
              <w:rPr>
                <w:rFonts w:ascii="Arial" w:cs="Arial" w:eastAsia="Arial" w:hAnsi="Arial"/>
                <w:sz w:val="14"/>
                <w:szCs w:val="14"/>
                <w:b w:val="1"/>
                <w:bCs w:val="1"/>
                <w:color w:val="55565A"/>
              </w:rPr>
              <w:t>1,885</w:t>
            </w:r>
          </w:p>
        </w:tc>
        <w:tc>
          <w:tcPr>
            <w:tcW w:w="1240" w:type="dxa"/>
            <w:vAlign w:val="bottom"/>
            <w:tcBorders>
              <w:top w:val="single" w:sz="8" w:color="88888B"/>
            </w:tcBorders>
            <w:shd w:val="clear" w:color="auto" w:fill="CCEEFF"/>
          </w:tcPr>
          <w:p>
            <w:pPr>
              <w:jc w:val="right"/>
              <w:ind w:right="89"/>
              <w:spacing w:after="0" w:line="154" w:lineRule="exact"/>
              <w:rPr>
                <w:sz w:val="20"/>
                <w:szCs w:val="20"/>
                <w:color w:val="auto"/>
              </w:rPr>
            </w:pPr>
            <w:r>
              <w:rPr>
                <w:rFonts w:ascii="Arial" w:cs="Arial" w:eastAsia="Arial" w:hAnsi="Arial"/>
                <w:sz w:val="14"/>
                <w:szCs w:val="14"/>
                <w:b w:val="1"/>
                <w:bCs w:val="1"/>
                <w:color w:val="55565A"/>
              </w:rPr>
              <w:t>1,815</w:t>
            </w:r>
          </w:p>
        </w:tc>
        <w:tc>
          <w:tcPr>
            <w:tcW w:w="1280" w:type="dxa"/>
            <w:vAlign w:val="bottom"/>
            <w:tcBorders>
              <w:top w:val="single" w:sz="8" w:color="88888B"/>
            </w:tcBorders>
            <w:shd w:val="clear" w:color="auto" w:fill="CCEEFF"/>
          </w:tcPr>
          <w:p>
            <w:pPr>
              <w:jc w:val="right"/>
              <w:ind w:right="89"/>
              <w:spacing w:after="0" w:line="154" w:lineRule="exact"/>
              <w:rPr>
                <w:sz w:val="20"/>
                <w:szCs w:val="20"/>
                <w:color w:val="auto"/>
              </w:rPr>
            </w:pPr>
            <w:r>
              <w:rPr>
                <w:rFonts w:ascii="Arial" w:cs="Arial" w:eastAsia="Arial" w:hAnsi="Arial"/>
                <w:sz w:val="14"/>
                <w:szCs w:val="14"/>
                <w:b w:val="1"/>
                <w:bCs w:val="1"/>
                <w:color w:val="55565A"/>
              </w:rPr>
              <w:t>1,594</w:t>
            </w:r>
          </w:p>
        </w:tc>
        <w:tc>
          <w:tcPr>
            <w:tcW w:w="880" w:type="dxa"/>
            <w:vAlign w:val="bottom"/>
            <w:tcBorders>
              <w:top w:val="single" w:sz="8" w:color="88888B"/>
            </w:tcBorders>
            <w:shd w:val="clear" w:color="auto" w:fill="CCEEFF"/>
          </w:tcPr>
          <w:p>
            <w:pPr>
              <w:jc w:val="right"/>
              <w:ind w:right="89"/>
              <w:spacing w:after="0" w:line="154" w:lineRule="exact"/>
              <w:rPr>
                <w:sz w:val="20"/>
                <w:szCs w:val="20"/>
                <w:color w:val="auto"/>
              </w:rPr>
            </w:pPr>
            <w:r>
              <w:rPr>
                <w:rFonts w:ascii="Arial" w:cs="Arial" w:eastAsia="Arial" w:hAnsi="Arial"/>
                <w:sz w:val="14"/>
                <w:szCs w:val="14"/>
                <w:b w:val="1"/>
                <w:bCs w:val="1"/>
                <w:color w:val="55565A"/>
              </w:rPr>
              <w:t>1,647</w:t>
            </w:r>
          </w:p>
        </w:tc>
        <w:tc>
          <w:tcPr>
            <w:tcW w:w="980" w:type="dxa"/>
            <w:vAlign w:val="bottom"/>
            <w:tcBorders>
              <w:top w:val="single" w:sz="8" w:color="88888B"/>
            </w:tcBorders>
            <w:shd w:val="clear" w:color="auto" w:fill="CCEEFF"/>
          </w:tcPr>
          <w:p>
            <w:pPr>
              <w:jc w:val="right"/>
              <w:ind w:right="89"/>
              <w:spacing w:after="0" w:line="154" w:lineRule="exact"/>
              <w:rPr>
                <w:sz w:val="20"/>
                <w:szCs w:val="20"/>
                <w:color w:val="auto"/>
              </w:rPr>
            </w:pPr>
            <w:r>
              <w:rPr>
                <w:rFonts w:ascii="Arial" w:cs="Arial" w:eastAsia="Arial" w:hAnsi="Arial"/>
                <w:sz w:val="14"/>
                <w:szCs w:val="14"/>
                <w:color w:val="55565A"/>
              </w:rPr>
              <w:t>1,738</w:t>
            </w:r>
          </w:p>
        </w:tc>
        <w:tc>
          <w:tcPr>
            <w:tcW w:w="1240" w:type="dxa"/>
            <w:vAlign w:val="bottom"/>
            <w:tcBorders>
              <w:top w:val="single" w:sz="8" w:color="88888B"/>
            </w:tcBorders>
            <w:shd w:val="clear" w:color="auto" w:fill="CCEEFF"/>
          </w:tcPr>
          <w:p>
            <w:pPr>
              <w:jc w:val="right"/>
              <w:ind w:right="89"/>
              <w:spacing w:after="0" w:line="154" w:lineRule="exact"/>
              <w:rPr>
                <w:sz w:val="20"/>
                <w:szCs w:val="20"/>
                <w:color w:val="auto"/>
              </w:rPr>
            </w:pPr>
            <w:r>
              <w:rPr>
                <w:rFonts w:ascii="Arial" w:cs="Arial" w:eastAsia="Arial" w:hAnsi="Arial"/>
                <w:sz w:val="14"/>
                <w:szCs w:val="14"/>
                <w:color w:val="55565A"/>
              </w:rPr>
              <w:t>1,765</w:t>
            </w:r>
          </w:p>
        </w:tc>
        <w:tc>
          <w:tcPr>
            <w:tcW w:w="1220" w:type="dxa"/>
            <w:vAlign w:val="bottom"/>
            <w:tcBorders>
              <w:top w:val="single" w:sz="8" w:color="88888B"/>
            </w:tcBorders>
            <w:shd w:val="clear" w:color="auto" w:fill="CCEEFF"/>
          </w:tcPr>
          <w:p>
            <w:pPr>
              <w:jc w:val="right"/>
              <w:ind w:right="9"/>
              <w:spacing w:after="0" w:line="154" w:lineRule="exact"/>
              <w:rPr>
                <w:sz w:val="20"/>
                <w:szCs w:val="20"/>
                <w:color w:val="auto"/>
              </w:rPr>
            </w:pPr>
            <w:r>
              <w:rPr>
                <w:rFonts w:ascii="Arial" w:cs="Arial" w:eastAsia="Arial" w:hAnsi="Arial"/>
                <w:sz w:val="14"/>
                <w:szCs w:val="14"/>
                <w:color w:val="55565A"/>
              </w:rPr>
              <w:t>1,574</w:t>
            </w:r>
          </w:p>
        </w:tc>
        <w:tc>
          <w:tcPr>
            <w:tcW w:w="820" w:type="dxa"/>
            <w:vAlign w:val="bottom"/>
            <w:tcBorders>
              <w:top w:val="single" w:sz="8" w:color="88888B"/>
            </w:tcBorders>
            <w:shd w:val="clear" w:color="auto" w:fill="CCEEFF"/>
          </w:tcPr>
          <w:p>
            <w:pPr>
              <w:jc w:val="right"/>
              <w:ind w:right="69"/>
              <w:spacing w:after="0" w:line="154" w:lineRule="exact"/>
              <w:rPr>
                <w:sz w:val="20"/>
                <w:szCs w:val="20"/>
                <w:color w:val="auto"/>
              </w:rPr>
            </w:pPr>
            <w:r>
              <w:rPr>
                <w:rFonts w:ascii="Arial" w:cs="Arial" w:eastAsia="Arial" w:hAnsi="Arial"/>
                <w:sz w:val="14"/>
                <w:szCs w:val="14"/>
                <w:color w:val="55565A"/>
              </w:rPr>
              <w:t>1,614</w:t>
            </w:r>
          </w:p>
        </w:tc>
      </w:tr>
      <w:tr>
        <w:trPr>
          <w:trHeight w:val="160"/>
        </w:trPr>
        <w:tc>
          <w:tcPr>
            <w:tcW w:w="20" w:type="dxa"/>
            <w:vAlign w:val="bottom"/>
          </w:tcPr>
          <w:p>
            <w:pPr>
              <w:spacing w:after="0"/>
              <w:rPr>
                <w:sz w:val="13"/>
                <w:szCs w:val="13"/>
                <w:color w:val="auto"/>
              </w:rPr>
            </w:pPr>
          </w:p>
        </w:tc>
        <w:tc>
          <w:tcPr>
            <w:tcW w:w="2260" w:type="dxa"/>
            <w:vAlign w:val="bottom"/>
          </w:tcPr>
          <w:p>
            <w:pPr>
              <w:spacing w:after="0"/>
              <w:rPr>
                <w:sz w:val="20"/>
                <w:szCs w:val="20"/>
                <w:color w:val="auto"/>
              </w:rPr>
            </w:pPr>
            <w:r>
              <w:rPr>
                <w:rFonts w:ascii="Arial" w:cs="Arial" w:eastAsia="Arial" w:hAnsi="Arial"/>
                <w:sz w:val="14"/>
                <w:szCs w:val="14"/>
                <w:color w:val="55565A"/>
              </w:rPr>
              <w:t>Operating profit</w:t>
            </w:r>
          </w:p>
        </w:tc>
        <w:tc>
          <w:tcPr>
            <w:tcW w:w="980" w:type="dxa"/>
            <w:vAlign w:val="bottom"/>
          </w:tcPr>
          <w:p>
            <w:pPr>
              <w:jc w:val="right"/>
              <w:ind w:right="89"/>
              <w:spacing w:after="0"/>
              <w:rPr>
                <w:sz w:val="20"/>
                <w:szCs w:val="20"/>
                <w:color w:val="auto"/>
              </w:rPr>
            </w:pPr>
            <w:r>
              <w:rPr>
                <w:rFonts w:ascii="Arial" w:cs="Arial" w:eastAsia="Arial" w:hAnsi="Arial"/>
                <w:sz w:val="14"/>
                <w:szCs w:val="14"/>
                <w:b w:val="1"/>
                <w:bCs w:val="1"/>
                <w:color w:val="55565A"/>
              </w:rPr>
              <w:t>557</w:t>
            </w:r>
          </w:p>
        </w:tc>
        <w:tc>
          <w:tcPr>
            <w:tcW w:w="1240" w:type="dxa"/>
            <w:vAlign w:val="bottom"/>
          </w:tcPr>
          <w:p>
            <w:pPr>
              <w:jc w:val="right"/>
              <w:ind w:right="89"/>
              <w:spacing w:after="0"/>
              <w:rPr>
                <w:sz w:val="20"/>
                <w:szCs w:val="20"/>
                <w:color w:val="auto"/>
              </w:rPr>
            </w:pPr>
            <w:r>
              <w:rPr>
                <w:rFonts w:ascii="Arial" w:cs="Arial" w:eastAsia="Arial" w:hAnsi="Arial"/>
                <w:sz w:val="14"/>
                <w:szCs w:val="14"/>
                <w:b w:val="1"/>
                <w:bCs w:val="1"/>
                <w:color w:val="55565A"/>
              </w:rPr>
              <w:t>558</w:t>
            </w:r>
          </w:p>
        </w:tc>
        <w:tc>
          <w:tcPr>
            <w:tcW w:w="1280" w:type="dxa"/>
            <w:vAlign w:val="bottom"/>
          </w:tcPr>
          <w:p>
            <w:pPr>
              <w:jc w:val="right"/>
              <w:ind w:right="89"/>
              <w:spacing w:after="0"/>
              <w:rPr>
                <w:sz w:val="20"/>
                <w:szCs w:val="20"/>
                <w:color w:val="auto"/>
              </w:rPr>
            </w:pPr>
            <w:r>
              <w:rPr>
                <w:rFonts w:ascii="Arial" w:cs="Arial" w:eastAsia="Arial" w:hAnsi="Arial"/>
                <w:sz w:val="14"/>
                <w:szCs w:val="14"/>
                <w:b w:val="1"/>
                <w:bCs w:val="1"/>
                <w:color w:val="55565A"/>
              </w:rPr>
              <w:t>441</w:t>
            </w: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55565A"/>
              </w:rPr>
              <w:t>825</w:t>
            </w:r>
          </w:p>
        </w:tc>
        <w:tc>
          <w:tcPr>
            <w:tcW w:w="980" w:type="dxa"/>
            <w:vAlign w:val="bottom"/>
          </w:tcPr>
          <w:p>
            <w:pPr>
              <w:jc w:val="right"/>
              <w:ind w:right="89"/>
              <w:spacing w:after="0"/>
              <w:rPr>
                <w:sz w:val="20"/>
                <w:szCs w:val="20"/>
                <w:color w:val="auto"/>
              </w:rPr>
            </w:pPr>
            <w:r>
              <w:rPr>
                <w:rFonts w:ascii="Arial" w:cs="Arial" w:eastAsia="Arial" w:hAnsi="Arial"/>
                <w:sz w:val="14"/>
                <w:szCs w:val="14"/>
                <w:color w:val="55565A"/>
              </w:rPr>
              <w:t>508</w:t>
            </w:r>
          </w:p>
        </w:tc>
        <w:tc>
          <w:tcPr>
            <w:tcW w:w="1240" w:type="dxa"/>
            <w:vAlign w:val="bottom"/>
          </w:tcPr>
          <w:p>
            <w:pPr>
              <w:jc w:val="right"/>
              <w:ind w:right="89"/>
              <w:spacing w:after="0"/>
              <w:rPr>
                <w:sz w:val="20"/>
                <w:szCs w:val="20"/>
                <w:color w:val="auto"/>
              </w:rPr>
            </w:pPr>
            <w:r>
              <w:rPr>
                <w:rFonts w:ascii="Arial" w:cs="Arial" w:eastAsia="Arial" w:hAnsi="Arial"/>
                <w:sz w:val="14"/>
                <w:szCs w:val="14"/>
                <w:color w:val="55565A"/>
              </w:rPr>
              <w:t>631</w:t>
            </w:r>
          </w:p>
        </w:tc>
        <w:tc>
          <w:tcPr>
            <w:tcW w:w="1220" w:type="dxa"/>
            <w:vAlign w:val="bottom"/>
          </w:tcPr>
          <w:p>
            <w:pPr>
              <w:jc w:val="right"/>
              <w:ind w:right="9"/>
              <w:spacing w:after="0"/>
              <w:rPr>
                <w:sz w:val="20"/>
                <w:szCs w:val="20"/>
                <w:color w:val="auto"/>
              </w:rPr>
            </w:pPr>
            <w:r>
              <w:rPr>
                <w:rFonts w:ascii="Arial" w:cs="Arial" w:eastAsia="Arial" w:hAnsi="Arial"/>
                <w:sz w:val="14"/>
                <w:szCs w:val="14"/>
                <w:color w:val="55565A"/>
              </w:rPr>
              <w:t>398</w:t>
            </w:r>
          </w:p>
        </w:tc>
        <w:tc>
          <w:tcPr>
            <w:tcW w:w="820" w:type="dxa"/>
            <w:vAlign w:val="bottom"/>
          </w:tcPr>
          <w:p>
            <w:pPr>
              <w:jc w:val="right"/>
              <w:ind w:right="69"/>
              <w:spacing w:after="0"/>
              <w:rPr>
                <w:sz w:val="20"/>
                <w:szCs w:val="20"/>
                <w:color w:val="auto"/>
              </w:rPr>
            </w:pPr>
            <w:r>
              <w:rPr>
                <w:rFonts w:ascii="Arial" w:cs="Arial" w:eastAsia="Arial" w:hAnsi="Arial"/>
                <w:sz w:val="14"/>
                <w:szCs w:val="14"/>
                <w:color w:val="55565A"/>
              </w:rPr>
              <w:t>391</w:t>
            </w:r>
          </w:p>
        </w:tc>
      </w:tr>
      <w:tr>
        <w:trPr>
          <w:trHeight w:val="151"/>
        </w:trPr>
        <w:tc>
          <w:tcPr>
            <w:tcW w:w="20" w:type="dxa"/>
            <w:vAlign w:val="bottom"/>
          </w:tcPr>
          <w:p>
            <w:pPr>
              <w:spacing w:after="0"/>
              <w:rPr>
                <w:sz w:val="13"/>
                <w:szCs w:val="13"/>
                <w:color w:val="auto"/>
              </w:rPr>
            </w:pPr>
          </w:p>
        </w:tc>
        <w:tc>
          <w:tcPr>
            <w:tcW w:w="2260" w:type="dxa"/>
            <w:vAlign w:val="bottom"/>
            <w:shd w:val="clear" w:color="auto" w:fill="CCEEFF"/>
          </w:tcPr>
          <w:p>
            <w:pPr>
              <w:spacing w:after="0" w:line="151" w:lineRule="exact"/>
              <w:rPr>
                <w:sz w:val="20"/>
                <w:szCs w:val="20"/>
                <w:color w:val="auto"/>
              </w:rPr>
            </w:pPr>
            <w:r>
              <w:rPr>
                <w:rFonts w:ascii="Arial" w:cs="Arial" w:eastAsia="Arial" w:hAnsi="Arial"/>
                <w:sz w:val="14"/>
                <w:szCs w:val="14"/>
                <w:color w:val="55565A"/>
              </w:rPr>
              <w:t>Earnings (loss) from continuing</w:t>
            </w: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55565A"/>
              </w:rPr>
              <w:t>operations</w:t>
            </w: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464</w:t>
            </w:r>
          </w:p>
        </w:tc>
        <w:tc>
          <w:tcPr>
            <w:tcW w:w="12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650</w:t>
            </w:r>
          </w:p>
        </w:tc>
        <w:tc>
          <w:tcPr>
            <w:tcW w:w="128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370</w:t>
            </w: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889</w:t>
            </w: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55565A"/>
              </w:rPr>
              <w:t>737</w:t>
            </w:r>
          </w:p>
        </w:tc>
        <w:tc>
          <w:tcPr>
            <w:tcW w:w="1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55565A"/>
              </w:rPr>
              <w:t>179</w:t>
            </w: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5565A"/>
              </w:rPr>
              <w:t>265</w:t>
            </w: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55565A"/>
              </w:rPr>
              <w:t>(71)</w:t>
            </w:r>
          </w:p>
        </w:tc>
      </w:tr>
      <w:tr>
        <w:trPr>
          <w:trHeight w:val="151"/>
        </w:trPr>
        <w:tc>
          <w:tcPr>
            <w:tcW w:w="20" w:type="dxa"/>
            <w:vAlign w:val="bottom"/>
          </w:tcPr>
          <w:p>
            <w:pPr>
              <w:spacing w:after="0"/>
              <w:rPr>
                <w:sz w:val="13"/>
                <w:szCs w:val="13"/>
                <w:color w:val="auto"/>
              </w:rPr>
            </w:pPr>
          </w:p>
        </w:tc>
        <w:tc>
          <w:tcPr>
            <w:tcW w:w="2260" w:type="dxa"/>
            <w:vAlign w:val="bottom"/>
          </w:tcPr>
          <w:p>
            <w:pPr>
              <w:spacing w:after="0" w:line="151" w:lineRule="exact"/>
              <w:rPr>
                <w:sz w:val="20"/>
                <w:szCs w:val="20"/>
                <w:color w:val="auto"/>
              </w:rPr>
            </w:pPr>
            <w:r>
              <w:rPr>
                <w:rFonts w:ascii="Arial" w:cs="Arial" w:eastAsia="Arial" w:hAnsi="Arial"/>
                <w:sz w:val="14"/>
                <w:szCs w:val="14"/>
                <w:color w:val="55565A"/>
              </w:rPr>
              <w:t>Earnings (loss) from discontinued</w:t>
            </w: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260" w:type="dxa"/>
            <w:vAlign w:val="bottom"/>
            <w:tcBorders>
              <w:bottom w:val="single" w:sz="8" w:color="88888B"/>
            </w:tcBorders>
          </w:tcPr>
          <w:p>
            <w:pPr>
              <w:ind w:left="140"/>
              <w:spacing w:after="0"/>
              <w:rPr>
                <w:sz w:val="20"/>
                <w:szCs w:val="20"/>
                <w:color w:val="auto"/>
              </w:rPr>
            </w:pPr>
            <w:r>
              <w:rPr>
                <w:rFonts w:ascii="Arial" w:cs="Arial" w:eastAsia="Arial" w:hAnsi="Arial"/>
                <w:sz w:val="14"/>
                <w:szCs w:val="14"/>
                <w:color w:val="55565A"/>
              </w:rPr>
              <w:t>operations, net of tax</w:t>
            </w:r>
          </w:p>
        </w:tc>
        <w:tc>
          <w:tcPr>
            <w:tcW w:w="980" w:type="dxa"/>
            <w:vAlign w:val="bottom"/>
            <w:tcBorders>
              <w:bottom w:val="single" w:sz="8" w:color="88888B"/>
            </w:tcBorders>
          </w:tcPr>
          <w:p>
            <w:pPr>
              <w:jc w:val="right"/>
              <w:ind w:right="89"/>
              <w:spacing w:after="0"/>
              <w:rPr>
                <w:sz w:val="20"/>
                <w:szCs w:val="20"/>
                <w:color w:val="auto"/>
              </w:rPr>
            </w:pPr>
            <w:r>
              <w:rPr>
                <w:rFonts w:ascii="Arial" w:cs="Arial" w:eastAsia="Arial" w:hAnsi="Arial"/>
                <w:sz w:val="14"/>
                <w:szCs w:val="14"/>
                <w:b w:val="1"/>
                <w:bCs w:val="1"/>
                <w:color w:val="55565A"/>
              </w:rPr>
              <w:t>14</w:t>
            </w:r>
          </w:p>
        </w:tc>
        <w:tc>
          <w:tcPr>
            <w:tcW w:w="1240" w:type="dxa"/>
            <w:vAlign w:val="bottom"/>
            <w:tcBorders>
              <w:bottom w:val="single" w:sz="8" w:color="88888B"/>
            </w:tcBorders>
          </w:tcPr>
          <w:p>
            <w:pPr>
              <w:jc w:val="right"/>
              <w:ind w:right="89"/>
              <w:spacing w:after="0"/>
              <w:rPr>
                <w:sz w:val="20"/>
                <w:szCs w:val="20"/>
                <w:color w:val="auto"/>
              </w:rPr>
            </w:pPr>
            <w:r>
              <w:rPr>
                <w:rFonts w:ascii="Arial" w:cs="Arial" w:eastAsia="Arial" w:hAnsi="Arial"/>
                <w:sz w:val="14"/>
                <w:szCs w:val="14"/>
                <w:b w:val="1"/>
                <w:bCs w:val="1"/>
                <w:color w:val="55565A"/>
              </w:rPr>
              <w:t>28</w:t>
            </w:r>
          </w:p>
        </w:tc>
        <w:tc>
          <w:tcPr>
            <w:tcW w:w="1280" w:type="dxa"/>
            <w:vAlign w:val="bottom"/>
            <w:tcBorders>
              <w:bottom w:val="single" w:sz="8" w:color="88888B"/>
            </w:tcBorders>
          </w:tcPr>
          <w:p>
            <w:pPr>
              <w:jc w:val="right"/>
              <w:ind w:right="89"/>
              <w:spacing w:after="0"/>
              <w:rPr>
                <w:sz w:val="20"/>
                <w:szCs w:val="20"/>
                <w:color w:val="auto"/>
              </w:rPr>
            </w:pPr>
            <w:r>
              <w:rPr>
                <w:rFonts w:ascii="Arial" w:cs="Arial" w:eastAsia="Arial" w:hAnsi="Arial"/>
                <w:sz w:val="14"/>
                <w:szCs w:val="14"/>
                <w:b w:val="1"/>
                <w:bCs w:val="1"/>
                <w:color w:val="55565A"/>
              </w:rPr>
              <w:t>(3)</w:t>
            </w:r>
          </w:p>
        </w:tc>
        <w:tc>
          <w:tcPr>
            <w:tcW w:w="880" w:type="dxa"/>
            <w:vAlign w:val="bottom"/>
            <w:tcBorders>
              <w:bottom w:val="single" w:sz="8" w:color="88888B"/>
            </w:tcBorders>
          </w:tcPr>
          <w:p>
            <w:pPr>
              <w:jc w:val="right"/>
              <w:ind w:right="89"/>
              <w:spacing w:after="0"/>
              <w:rPr>
                <w:sz w:val="20"/>
                <w:szCs w:val="20"/>
                <w:color w:val="auto"/>
              </w:rPr>
            </w:pPr>
            <w:r>
              <w:rPr>
                <w:rFonts w:ascii="Arial" w:cs="Arial" w:eastAsia="Arial" w:hAnsi="Arial"/>
                <w:sz w:val="14"/>
                <w:szCs w:val="14"/>
                <w:b w:val="1"/>
                <w:bCs w:val="1"/>
                <w:color w:val="55565A"/>
              </w:rPr>
              <w:t>5</w:t>
            </w:r>
          </w:p>
        </w:tc>
        <w:tc>
          <w:tcPr>
            <w:tcW w:w="980" w:type="dxa"/>
            <w:vAlign w:val="bottom"/>
            <w:tcBorders>
              <w:bottom w:val="single" w:sz="8" w:color="88888B"/>
            </w:tcBorders>
          </w:tcPr>
          <w:p>
            <w:pPr>
              <w:jc w:val="right"/>
              <w:ind w:right="89"/>
              <w:spacing w:after="0"/>
              <w:rPr>
                <w:sz w:val="20"/>
                <w:szCs w:val="20"/>
                <w:color w:val="auto"/>
              </w:rPr>
            </w:pPr>
            <w:r>
              <w:rPr>
                <w:rFonts w:ascii="Arial" w:cs="Arial" w:eastAsia="Arial" w:hAnsi="Arial"/>
                <w:sz w:val="14"/>
                <w:szCs w:val="14"/>
                <w:color w:val="55565A"/>
              </w:rPr>
              <w:t>19</w:t>
            </w:r>
          </w:p>
        </w:tc>
        <w:tc>
          <w:tcPr>
            <w:tcW w:w="1240" w:type="dxa"/>
            <w:vAlign w:val="bottom"/>
            <w:tcBorders>
              <w:bottom w:val="single" w:sz="8" w:color="88888B"/>
            </w:tcBorders>
          </w:tcPr>
          <w:p>
            <w:pPr>
              <w:jc w:val="right"/>
              <w:ind w:right="89"/>
              <w:spacing w:after="0"/>
              <w:rPr>
                <w:sz w:val="20"/>
                <w:szCs w:val="20"/>
                <w:color w:val="auto"/>
              </w:rPr>
            </w:pPr>
            <w:r>
              <w:rPr>
                <w:rFonts w:ascii="Arial" w:cs="Arial" w:eastAsia="Arial" w:hAnsi="Arial"/>
                <w:sz w:val="14"/>
                <w:szCs w:val="14"/>
                <w:color w:val="55565A"/>
              </w:rPr>
              <w:t>39</w:t>
            </w:r>
          </w:p>
        </w:tc>
        <w:tc>
          <w:tcPr>
            <w:tcW w:w="122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color w:val="55565A"/>
              </w:rPr>
              <w:t>(37)</w:t>
            </w:r>
          </w:p>
        </w:tc>
        <w:tc>
          <w:tcPr>
            <w:tcW w:w="820" w:type="dxa"/>
            <w:vAlign w:val="bottom"/>
            <w:tcBorders>
              <w:bottom w:val="single" w:sz="8" w:color="88888B"/>
            </w:tcBorders>
          </w:tcPr>
          <w:p>
            <w:pPr>
              <w:jc w:val="right"/>
              <w:ind w:right="69"/>
              <w:spacing w:after="0"/>
              <w:rPr>
                <w:sz w:val="20"/>
                <w:szCs w:val="20"/>
                <w:color w:val="auto"/>
              </w:rPr>
            </w:pPr>
            <w:r>
              <w:rPr>
                <w:rFonts w:ascii="Arial" w:cs="Arial" w:eastAsia="Arial" w:hAnsi="Arial"/>
                <w:sz w:val="14"/>
                <w:szCs w:val="14"/>
                <w:color w:val="55565A"/>
              </w:rPr>
              <w:t>(44)</w:t>
            </w:r>
          </w:p>
        </w:tc>
      </w:tr>
      <w:tr>
        <w:trPr>
          <w:trHeight w:val="154"/>
        </w:trPr>
        <w:tc>
          <w:tcPr>
            <w:tcW w:w="20" w:type="dxa"/>
            <w:vAlign w:val="bottom"/>
          </w:tcPr>
          <w:p>
            <w:pPr>
              <w:spacing w:after="0"/>
              <w:rPr>
                <w:sz w:val="13"/>
                <w:szCs w:val="13"/>
                <w:color w:val="auto"/>
              </w:rPr>
            </w:pPr>
          </w:p>
        </w:tc>
        <w:tc>
          <w:tcPr>
            <w:tcW w:w="2260" w:type="dxa"/>
            <w:vAlign w:val="bottom"/>
            <w:tcBorders>
              <w:bottom w:val="single" w:sz="8" w:color="88888B"/>
            </w:tcBorders>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Net earnings (loss)</w:t>
            </w:r>
          </w:p>
        </w:tc>
        <w:tc>
          <w:tcPr>
            <w:tcW w:w="980" w:type="dxa"/>
            <w:vAlign w:val="bottom"/>
            <w:tcBorders>
              <w:bottom w:val="single" w:sz="8" w:color="88888B"/>
            </w:tcBorders>
            <w:shd w:val="clear" w:color="auto" w:fill="CCEEFF"/>
          </w:tcPr>
          <w:p>
            <w:pPr>
              <w:jc w:val="right"/>
              <w:ind w:right="89"/>
              <w:spacing w:after="0" w:line="154" w:lineRule="exact"/>
              <w:rPr>
                <w:sz w:val="20"/>
                <w:szCs w:val="20"/>
                <w:color w:val="auto"/>
              </w:rPr>
            </w:pPr>
            <w:r>
              <w:rPr>
                <w:rFonts w:ascii="Arial" w:cs="Arial" w:eastAsia="Arial" w:hAnsi="Arial"/>
                <w:sz w:val="14"/>
                <w:szCs w:val="14"/>
                <w:b w:val="1"/>
                <w:bCs w:val="1"/>
                <w:color w:val="55565A"/>
              </w:rPr>
              <w:t>478</w:t>
            </w:r>
          </w:p>
        </w:tc>
        <w:tc>
          <w:tcPr>
            <w:tcW w:w="1240" w:type="dxa"/>
            <w:vAlign w:val="bottom"/>
            <w:tcBorders>
              <w:bottom w:val="single" w:sz="8" w:color="88888B"/>
            </w:tcBorders>
            <w:shd w:val="clear" w:color="auto" w:fill="CCEEFF"/>
          </w:tcPr>
          <w:p>
            <w:pPr>
              <w:jc w:val="right"/>
              <w:ind w:right="89"/>
              <w:spacing w:after="0" w:line="154" w:lineRule="exact"/>
              <w:rPr>
                <w:sz w:val="20"/>
                <w:szCs w:val="20"/>
                <w:color w:val="auto"/>
              </w:rPr>
            </w:pPr>
            <w:r>
              <w:rPr>
                <w:rFonts w:ascii="Arial" w:cs="Arial" w:eastAsia="Arial" w:hAnsi="Arial"/>
                <w:sz w:val="14"/>
                <w:szCs w:val="14"/>
                <w:b w:val="1"/>
                <w:bCs w:val="1"/>
                <w:color w:val="55565A"/>
              </w:rPr>
              <w:t>678</w:t>
            </w:r>
          </w:p>
        </w:tc>
        <w:tc>
          <w:tcPr>
            <w:tcW w:w="1280" w:type="dxa"/>
            <w:vAlign w:val="bottom"/>
            <w:tcBorders>
              <w:bottom w:val="single" w:sz="8" w:color="88888B"/>
            </w:tcBorders>
            <w:shd w:val="clear" w:color="auto" w:fill="CCEEFF"/>
          </w:tcPr>
          <w:p>
            <w:pPr>
              <w:jc w:val="right"/>
              <w:ind w:right="89"/>
              <w:spacing w:after="0" w:line="154" w:lineRule="exact"/>
              <w:rPr>
                <w:sz w:val="20"/>
                <w:szCs w:val="20"/>
                <w:color w:val="auto"/>
              </w:rPr>
            </w:pPr>
            <w:r>
              <w:rPr>
                <w:rFonts w:ascii="Arial" w:cs="Arial" w:eastAsia="Arial" w:hAnsi="Arial"/>
                <w:sz w:val="14"/>
                <w:szCs w:val="14"/>
                <w:b w:val="1"/>
                <w:bCs w:val="1"/>
                <w:color w:val="55565A"/>
              </w:rPr>
              <w:t>367</w:t>
            </w:r>
          </w:p>
        </w:tc>
        <w:tc>
          <w:tcPr>
            <w:tcW w:w="880" w:type="dxa"/>
            <w:vAlign w:val="bottom"/>
            <w:tcBorders>
              <w:bottom w:val="single" w:sz="8" w:color="88888B"/>
            </w:tcBorders>
            <w:shd w:val="clear" w:color="auto" w:fill="CCEEFF"/>
          </w:tcPr>
          <w:p>
            <w:pPr>
              <w:jc w:val="right"/>
              <w:ind w:right="89"/>
              <w:spacing w:after="0" w:line="154" w:lineRule="exact"/>
              <w:rPr>
                <w:sz w:val="20"/>
                <w:szCs w:val="20"/>
                <w:color w:val="auto"/>
              </w:rPr>
            </w:pPr>
            <w:r>
              <w:rPr>
                <w:rFonts w:ascii="Arial" w:cs="Arial" w:eastAsia="Arial" w:hAnsi="Arial"/>
                <w:sz w:val="14"/>
                <w:szCs w:val="14"/>
                <w:b w:val="1"/>
                <w:bCs w:val="1"/>
                <w:color w:val="55565A"/>
              </w:rPr>
              <w:t>894</w:t>
            </w:r>
          </w:p>
        </w:tc>
        <w:tc>
          <w:tcPr>
            <w:tcW w:w="980" w:type="dxa"/>
            <w:vAlign w:val="bottom"/>
            <w:tcBorders>
              <w:bottom w:val="single" w:sz="8" w:color="88888B"/>
            </w:tcBorders>
            <w:shd w:val="clear" w:color="auto" w:fill="CCEEFF"/>
          </w:tcPr>
          <w:p>
            <w:pPr>
              <w:jc w:val="right"/>
              <w:ind w:right="89"/>
              <w:spacing w:after="0" w:line="154" w:lineRule="exact"/>
              <w:rPr>
                <w:sz w:val="20"/>
                <w:szCs w:val="20"/>
                <w:color w:val="auto"/>
              </w:rPr>
            </w:pPr>
            <w:r>
              <w:rPr>
                <w:rFonts w:ascii="Arial" w:cs="Arial" w:eastAsia="Arial" w:hAnsi="Arial"/>
                <w:sz w:val="14"/>
                <w:szCs w:val="14"/>
                <w:color w:val="55565A"/>
              </w:rPr>
              <w:t>756</w:t>
            </w:r>
          </w:p>
        </w:tc>
        <w:tc>
          <w:tcPr>
            <w:tcW w:w="1240" w:type="dxa"/>
            <w:vAlign w:val="bottom"/>
            <w:tcBorders>
              <w:bottom w:val="single" w:sz="8" w:color="88888B"/>
            </w:tcBorders>
            <w:shd w:val="clear" w:color="auto" w:fill="CCEEFF"/>
          </w:tcPr>
          <w:p>
            <w:pPr>
              <w:jc w:val="right"/>
              <w:ind w:right="89"/>
              <w:spacing w:after="0" w:line="154" w:lineRule="exact"/>
              <w:rPr>
                <w:sz w:val="20"/>
                <w:szCs w:val="20"/>
                <w:color w:val="auto"/>
              </w:rPr>
            </w:pPr>
            <w:r>
              <w:rPr>
                <w:rFonts w:ascii="Arial" w:cs="Arial" w:eastAsia="Arial" w:hAnsi="Arial"/>
                <w:sz w:val="14"/>
                <w:szCs w:val="14"/>
                <w:color w:val="55565A"/>
              </w:rPr>
              <w:t>218</w:t>
            </w:r>
          </w:p>
        </w:tc>
        <w:tc>
          <w:tcPr>
            <w:tcW w:w="1220" w:type="dxa"/>
            <w:vAlign w:val="bottom"/>
            <w:tcBorders>
              <w:bottom w:val="single" w:sz="8" w:color="88888B"/>
            </w:tcBorders>
            <w:shd w:val="clear" w:color="auto" w:fill="CCEEFF"/>
          </w:tcPr>
          <w:p>
            <w:pPr>
              <w:jc w:val="right"/>
              <w:ind w:right="9"/>
              <w:spacing w:after="0" w:line="154" w:lineRule="exact"/>
              <w:rPr>
                <w:sz w:val="20"/>
                <w:szCs w:val="20"/>
                <w:color w:val="auto"/>
              </w:rPr>
            </w:pPr>
            <w:r>
              <w:rPr>
                <w:rFonts w:ascii="Arial" w:cs="Arial" w:eastAsia="Arial" w:hAnsi="Arial"/>
                <w:sz w:val="14"/>
                <w:szCs w:val="14"/>
                <w:color w:val="55565A"/>
              </w:rPr>
              <w:t>228</w:t>
            </w:r>
          </w:p>
        </w:tc>
        <w:tc>
          <w:tcPr>
            <w:tcW w:w="820" w:type="dxa"/>
            <w:vAlign w:val="bottom"/>
            <w:tcBorders>
              <w:bottom w:val="single" w:sz="8" w:color="88888B"/>
            </w:tcBorders>
            <w:shd w:val="clear" w:color="auto" w:fill="CCEEFF"/>
          </w:tcPr>
          <w:p>
            <w:pPr>
              <w:jc w:val="right"/>
              <w:ind w:right="69"/>
              <w:spacing w:after="0" w:line="154" w:lineRule="exact"/>
              <w:rPr>
                <w:sz w:val="20"/>
                <w:szCs w:val="20"/>
                <w:color w:val="auto"/>
              </w:rPr>
            </w:pPr>
            <w:r>
              <w:rPr>
                <w:rFonts w:ascii="Arial" w:cs="Arial" w:eastAsia="Arial" w:hAnsi="Arial"/>
                <w:sz w:val="14"/>
                <w:szCs w:val="14"/>
                <w:color w:val="55565A"/>
              </w:rPr>
              <w:t>(115)</w:t>
            </w:r>
          </w:p>
        </w:tc>
      </w:tr>
      <w:tr>
        <w:trPr>
          <w:trHeight w:val="145"/>
        </w:trPr>
        <w:tc>
          <w:tcPr>
            <w:tcW w:w="20" w:type="dxa"/>
            <w:vAlign w:val="bottom"/>
          </w:tcPr>
          <w:p>
            <w:pPr>
              <w:spacing w:after="0"/>
              <w:rPr>
                <w:sz w:val="12"/>
                <w:szCs w:val="12"/>
                <w:color w:val="auto"/>
              </w:rPr>
            </w:pPr>
          </w:p>
        </w:tc>
        <w:tc>
          <w:tcPr>
            <w:tcW w:w="2260" w:type="dxa"/>
            <w:vAlign w:val="bottom"/>
          </w:tcPr>
          <w:p>
            <w:pPr>
              <w:spacing w:after="0" w:line="145" w:lineRule="exact"/>
              <w:rPr>
                <w:sz w:val="20"/>
                <w:szCs w:val="20"/>
                <w:color w:val="auto"/>
              </w:rPr>
            </w:pPr>
            <w:r>
              <w:rPr>
                <w:rFonts w:ascii="Arial" w:cs="Arial" w:eastAsia="Arial" w:hAnsi="Arial"/>
                <w:sz w:val="14"/>
                <w:szCs w:val="14"/>
                <w:b w:val="1"/>
                <w:bCs w:val="1"/>
                <w:color w:val="55565A"/>
              </w:rPr>
              <w:t>Earnings (loss) attributable to:</w:t>
            </w:r>
          </w:p>
        </w:tc>
        <w:tc>
          <w:tcPr>
            <w:tcW w:w="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Arial" w:cs="Arial" w:eastAsia="Arial" w:hAnsi="Arial"/>
                <w:sz w:val="14"/>
                <w:szCs w:val="14"/>
                <w:b w:val="1"/>
                <w:bCs w:val="1"/>
                <w:color w:val="55565A"/>
              </w:rPr>
              <w:t>Common shareholders</w:t>
            </w:r>
          </w:p>
        </w:tc>
        <w:tc>
          <w:tcPr>
            <w:tcW w:w="980" w:type="dxa"/>
            <w:vAlign w:val="bottom"/>
          </w:tcPr>
          <w:p>
            <w:pPr>
              <w:jc w:val="right"/>
              <w:ind w:right="89"/>
              <w:spacing w:after="0"/>
              <w:rPr>
                <w:sz w:val="20"/>
                <w:szCs w:val="20"/>
                <w:color w:val="auto"/>
              </w:rPr>
            </w:pPr>
            <w:r>
              <w:rPr>
                <w:rFonts w:ascii="Arial" w:cs="Arial" w:eastAsia="Arial" w:hAnsi="Arial"/>
                <w:sz w:val="14"/>
                <w:szCs w:val="14"/>
                <w:b w:val="1"/>
                <w:bCs w:val="1"/>
                <w:color w:val="55565A"/>
              </w:rPr>
              <w:t>481</w:t>
            </w:r>
          </w:p>
        </w:tc>
        <w:tc>
          <w:tcPr>
            <w:tcW w:w="1240" w:type="dxa"/>
            <w:vAlign w:val="bottom"/>
          </w:tcPr>
          <w:p>
            <w:pPr>
              <w:jc w:val="right"/>
              <w:ind w:right="89"/>
              <w:spacing w:after="0"/>
              <w:rPr>
                <w:sz w:val="20"/>
                <w:szCs w:val="20"/>
                <w:color w:val="auto"/>
              </w:rPr>
            </w:pPr>
            <w:r>
              <w:rPr>
                <w:rFonts w:ascii="Arial" w:cs="Arial" w:eastAsia="Arial" w:hAnsi="Arial"/>
                <w:sz w:val="14"/>
                <w:szCs w:val="14"/>
                <w:b w:val="1"/>
                <w:bCs w:val="1"/>
                <w:color w:val="55565A"/>
              </w:rPr>
              <w:t>678</w:t>
            </w:r>
          </w:p>
        </w:tc>
        <w:tc>
          <w:tcPr>
            <w:tcW w:w="1280" w:type="dxa"/>
            <w:vAlign w:val="bottom"/>
          </w:tcPr>
          <w:p>
            <w:pPr>
              <w:jc w:val="right"/>
              <w:ind w:right="89"/>
              <w:spacing w:after="0"/>
              <w:rPr>
                <w:sz w:val="20"/>
                <w:szCs w:val="20"/>
                <w:color w:val="auto"/>
              </w:rPr>
            </w:pPr>
            <w:r>
              <w:rPr>
                <w:rFonts w:ascii="Arial" w:cs="Arial" w:eastAsia="Arial" w:hAnsi="Arial"/>
                <w:sz w:val="14"/>
                <w:szCs w:val="14"/>
                <w:b w:val="1"/>
                <w:bCs w:val="1"/>
                <w:color w:val="55565A"/>
              </w:rPr>
              <w:t>367</w:t>
            </w: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55565A"/>
              </w:rPr>
              <w:t>894</w:t>
            </w:r>
          </w:p>
        </w:tc>
        <w:tc>
          <w:tcPr>
            <w:tcW w:w="980" w:type="dxa"/>
            <w:vAlign w:val="bottom"/>
          </w:tcPr>
          <w:p>
            <w:pPr>
              <w:jc w:val="right"/>
              <w:ind w:right="89"/>
              <w:spacing w:after="0"/>
              <w:rPr>
                <w:sz w:val="20"/>
                <w:szCs w:val="20"/>
                <w:color w:val="auto"/>
              </w:rPr>
            </w:pPr>
            <w:r>
              <w:rPr>
                <w:rFonts w:ascii="Arial" w:cs="Arial" w:eastAsia="Arial" w:hAnsi="Arial"/>
                <w:sz w:val="14"/>
                <w:szCs w:val="14"/>
                <w:color w:val="55565A"/>
              </w:rPr>
              <w:t>756</w:t>
            </w:r>
          </w:p>
        </w:tc>
        <w:tc>
          <w:tcPr>
            <w:tcW w:w="1240" w:type="dxa"/>
            <w:vAlign w:val="bottom"/>
          </w:tcPr>
          <w:p>
            <w:pPr>
              <w:jc w:val="right"/>
              <w:ind w:right="89"/>
              <w:spacing w:after="0"/>
              <w:rPr>
                <w:sz w:val="20"/>
                <w:szCs w:val="20"/>
                <w:color w:val="auto"/>
              </w:rPr>
            </w:pPr>
            <w:r>
              <w:rPr>
                <w:rFonts w:ascii="Arial" w:cs="Arial" w:eastAsia="Arial" w:hAnsi="Arial"/>
                <w:sz w:val="14"/>
                <w:szCs w:val="14"/>
                <w:color w:val="55565A"/>
              </w:rPr>
              <w:t>218</w:t>
            </w:r>
          </w:p>
        </w:tc>
        <w:tc>
          <w:tcPr>
            <w:tcW w:w="1220" w:type="dxa"/>
            <w:vAlign w:val="bottom"/>
          </w:tcPr>
          <w:p>
            <w:pPr>
              <w:jc w:val="right"/>
              <w:ind w:right="9"/>
              <w:spacing w:after="0"/>
              <w:rPr>
                <w:sz w:val="20"/>
                <w:szCs w:val="20"/>
                <w:color w:val="auto"/>
              </w:rPr>
            </w:pPr>
            <w:r>
              <w:rPr>
                <w:rFonts w:ascii="Arial" w:cs="Arial" w:eastAsia="Arial" w:hAnsi="Arial"/>
                <w:sz w:val="14"/>
                <w:szCs w:val="14"/>
                <w:color w:val="55565A"/>
              </w:rPr>
              <w:t>228</w:t>
            </w:r>
          </w:p>
        </w:tc>
        <w:tc>
          <w:tcPr>
            <w:tcW w:w="820" w:type="dxa"/>
            <w:vAlign w:val="bottom"/>
          </w:tcPr>
          <w:p>
            <w:pPr>
              <w:jc w:val="right"/>
              <w:ind w:right="69"/>
              <w:spacing w:after="0"/>
              <w:rPr>
                <w:sz w:val="20"/>
                <w:szCs w:val="20"/>
                <w:color w:val="auto"/>
              </w:rPr>
            </w:pPr>
            <w:r>
              <w:rPr>
                <w:rFonts w:ascii="Arial" w:cs="Arial" w:eastAsia="Arial" w:hAnsi="Arial"/>
                <w:sz w:val="14"/>
                <w:szCs w:val="14"/>
                <w:color w:val="55565A"/>
              </w:rPr>
              <w:t>(115)</w:t>
            </w:r>
          </w:p>
        </w:tc>
      </w:tr>
      <w:tr>
        <w:trPr>
          <w:trHeight w:val="160"/>
        </w:trPr>
        <w:tc>
          <w:tcPr>
            <w:tcW w:w="20" w:type="dxa"/>
            <w:vAlign w:val="bottom"/>
          </w:tcPr>
          <w:p>
            <w:pPr>
              <w:spacing w:after="0"/>
              <w:rPr>
                <w:sz w:val="13"/>
                <w:szCs w:val="13"/>
                <w:color w:val="auto"/>
              </w:rPr>
            </w:pPr>
          </w:p>
        </w:tc>
        <w:tc>
          <w:tcPr>
            <w:tcW w:w="2260" w:type="dxa"/>
            <w:vAlign w:val="bottom"/>
            <w:tcBorders>
              <w:bottom w:val="single" w:sz="8" w:color="88888B"/>
            </w:tcBorders>
            <w:shd w:val="clear" w:color="auto" w:fill="CCEEFF"/>
          </w:tcPr>
          <w:p>
            <w:pPr>
              <w:ind w:left="140"/>
              <w:spacing w:after="0"/>
              <w:rPr>
                <w:sz w:val="20"/>
                <w:szCs w:val="20"/>
                <w:color w:val="auto"/>
              </w:rPr>
            </w:pPr>
            <w:r>
              <w:rPr>
                <w:rFonts w:ascii="Arial" w:cs="Arial" w:eastAsia="Arial" w:hAnsi="Arial"/>
                <w:sz w:val="14"/>
                <w:szCs w:val="14"/>
                <w:b w:val="1"/>
                <w:bCs w:val="1"/>
                <w:color w:val="55565A"/>
              </w:rPr>
              <w:t>Non-controlling interests</w:t>
            </w:r>
          </w:p>
        </w:tc>
        <w:tc>
          <w:tcPr>
            <w:tcW w:w="98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(3)</w:t>
            </w:r>
          </w:p>
        </w:tc>
        <w:tc>
          <w:tcPr>
            <w:tcW w:w="124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w:t>
            </w:r>
          </w:p>
        </w:tc>
        <w:tc>
          <w:tcPr>
            <w:tcW w:w="128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w:t>
            </w:r>
          </w:p>
        </w:tc>
        <w:tc>
          <w:tcPr>
            <w:tcW w:w="88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w:t>
            </w:r>
          </w:p>
        </w:tc>
        <w:tc>
          <w:tcPr>
            <w:tcW w:w="98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color w:val="55565A"/>
              </w:rPr>
              <w:t>—</w:t>
            </w:r>
          </w:p>
        </w:tc>
        <w:tc>
          <w:tcPr>
            <w:tcW w:w="124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color w:val="55565A"/>
              </w:rPr>
              <w:t>—</w:t>
            </w:r>
          </w:p>
        </w:tc>
        <w:tc>
          <w:tcPr>
            <w:tcW w:w="122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w:t>
            </w:r>
          </w:p>
        </w:tc>
        <w:tc>
          <w:tcPr>
            <w:tcW w:w="820" w:type="dxa"/>
            <w:vAlign w:val="bottom"/>
            <w:tcBorders>
              <w:bottom w:val="single" w:sz="8" w:color="88888B"/>
            </w:tcBorders>
            <w:shd w:val="clear" w:color="auto" w:fill="CCEEFF"/>
          </w:tcPr>
          <w:p>
            <w:pPr>
              <w:jc w:val="right"/>
              <w:ind w:right="69"/>
              <w:spacing w:after="0"/>
              <w:rPr>
                <w:sz w:val="20"/>
                <w:szCs w:val="20"/>
                <w:color w:val="auto"/>
              </w:rPr>
            </w:pPr>
            <w:r>
              <w:rPr>
                <w:rFonts w:ascii="Arial" w:cs="Arial" w:eastAsia="Arial" w:hAnsi="Arial"/>
                <w:sz w:val="14"/>
                <w:szCs w:val="14"/>
                <w:color w:val="55565A"/>
              </w:rPr>
              <w:t>—</w:t>
            </w:r>
          </w:p>
        </w:tc>
      </w:tr>
      <w:tr>
        <w:trPr>
          <w:trHeight w:val="154"/>
        </w:trPr>
        <w:tc>
          <w:tcPr>
            <w:tcW w:w="20" w:type="dxa"/>
            <w:vAlign w:val="bottom"/>
          </w:tcPr>
          <w:p>
            <w:pPr>
              <w:spacing w:after="0"/>
              <w:rPr>
                <w:sz w:val="13"/>
                <w:szCs w:val="13"/>
                <w:color w:val="auto"/>
              </w:rPr>
            </w:pPr>
          </w:p>
        </w:tc>
        <w:tc>
          <w:tcPr>
            <w:tcW w:w="2260" w:type="dxa"/>
            <w:vAlign w:val="bottom"/>
            <w:tcBorders>
              <w:bottom w:val="single" w:sz="8" w:color="88888B"/>
            </w:tcBorders>
          </w:tcPr>
          <w:p>
            <w:pPr>
              <w:spacing w:after="0"/>
              <w:rPr>
                <w:sz w:val="13"/>
                <w:szCs w:val="13"/>
                <w:color w:val="auto"/>
              </w:rPr>
            </w:pPr>
          </w:p>
        </w:tc>
        <w:tc>
          <w:tcPr>
            <w:tcW w:w="980" w:type="dxa"/>
            <w:vAlign w:val="bottom"/>
            <w:tcBorders>
              <w:bottom w:val="single" w:sz="8" w:color="88888B"/>
            </w:tcBorders>
          </w:tcPr>
          <w:p>
            <w:pPr>
              <w:spacing w:after="0"/>
              <w:rPr>
                <w:sz w:val="13"/>
                <w:szCs w:val="13"/>
                <w:color w:val="auto"/>
              </w:rPr>
            </w:pPr>
          </w:p>
        </w:tc>
        <w:tc>
          <w:tcPr>
            <w:tcW w:w="1240" w:type="dxa"/>
            <w:vAlign w:val="bottom"/>
            <w:tcBorders>
              <w:bottom w:val="single" w:sz="8" w:color="88888B"/>
            </w:tcBorders>
          </w:tcPr>
          <w:p>
            <w:pPr>
              <w:spacing w:after="0"/>
              <w:rPr>
                <w:sz w:val="13"/>
                <w:szCs w:val="13"/>
                <w:color w:val="auto"/>
              </w:rPr>
            </w:pPr>
          </w:p>
        </w:tc>
        <w:tc>
          <w:tcPr>
            <w:tcW w:w="1280" w:type="dxa"/>
            <w:vAlign w:val="bottom"/>
            <w:tcBorders>
              <w:bottom w:val="single" w:sz="8" w:color="88888B"/>
            </w:tcBorders>
          </w:tcPr>
          <w:p>
            <w:pPr>
              <w:spacing w:after="0"/>
              <w:rPr>
                <w:sz w:val="13"/>
                <w:szCs w:val="13"/>
                <w:color w:val="auto"/>
              </w:rPr>
            </w:pPr>
          </w:p>
        </w:tc>
        <w:tc>
          <w:tcPr>
            <w:tcW w:w="880" w:type="dxa"/>
            <w:vAlign w:val="bottom"/>
            <w:tcBorders>
              <w:bottom w:val="single" w:sz="8" w:color="88888B"/>
            </w:tcBorders>
          </w:tcPr>
          <w:p>
            <w:pPr>
              <w:spacing w:after="0"/>
              <w:rPr>
                <w:sz w:val="13"/>
                <w:szCs w:val="13"/>
                <w:color w:val="auto"/>
              </w:rPr>
            </w:pPr>
          </w:p>
        </w:tc>
        <w:tc>
          <w:tcPr>
            <w:tcW w:w="980" w:type="dxa"/>
            <w:vAlign w:val="bottom"/>
            <w:tcBorders>
              <w:bottom w:val="single" w:sz="8" w:color="88888B"/>
            </w:tcBorders>
          </w:tcPr>
          <w:p>
            <w:pPr>
              <w:spacing w:after="0"/>
              <w:rPr>
                <w:sz w:val="13"/>
                <w:szCs w:val="13"/>
                <w:color w:val="auto"/>
              </w:rPr>
            </w:pPr>
          </w:p>
        </w:tc>
        <w:tc>
          <w:tcPr>
            <w:tcW w:w="1240" w:type="dxa"/>
            <w:vAlign w:val="bottom"/>
            <w:tcBorders>
              <w:bottom w:val="single" w:sz="8" w:color="88888B"/>
            </w:tcBorders>
          </w:tcPr>
          <w:p>
            <w:pPr>
              <w:spacing w:after="0"/>
              <w:rPr>
                <w:sz w:val="13"/>
                <w:szCs w:val="13"/>
                <w:color w:val="auto"/>
              </w:rPr>
            </w:pPr>
          </w:p>
        </w:tc>
        <w:tc>
          <w:tcPr>
            <w:tcW w:w="1220" w:type="dxa"/>
            <w:vAlign w:val="bottom"/>
            <w:tcBorders>
              <w:bottom w:val="single" w:sz="8" w:color="88888B"/>
            </w:tcBorders>
          </w:tcPr>
          <w:p>
            <w:pPr>
              <w:spacing w:after="0"/>
              <w:rPr>
                <w:sz w:val="13"/>
                <w:szCs w:val="13"/>
                <w:color w:val="auto"/>
              </w:rPr>
            </w:pPr>
          </w:p>
        </w:tc>
        <w:tc>
          <w:tcPr>
            <w:tcW w:w="820" w:type="dxa"/>
            <w:vAlign w:val="bottom"/>
            <w:tcBorders>
              <w:bottom w:val="single" w:sz="8" w:color="88888B"/>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26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Basic earnings (loss) per share</w:t>
            </w: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260" w:type="dxa"/>
            <w:vAlign w:val="bottom"/>
          </w:tcPr>
          <w:p>
            <w:pPr>
              <w:spacing w:after="0"/>
              <w:rPr>
                <w:sz w:val="20"/>
                <w:szCs w:val="20"/>
                <w:color w:val="auto"/>
              </w:rPr>
            </w:pPr>
            <w:r>
              <w:rPr>
                <w:rFonts w:ascii="Arial" w:cs="Arial" w:eastAsia="Arial" w:hAnsi="Arial"/>
                <w:sz w:val="14"/>
                <w:szCs w:val="14"/>
                <w:color w:val="55565A"/>
              </w:rPr>
              <w:t>From continuing operations</w:t>
            </w:r>
          </w:p>
        </w:tc>
        <w:tc>
          <w:tcPr>
            <w:tcW w:w="980" w:type="dxa"/>
            <w:vAlign w:val="bottom"/>
          </w:tcPr>
          <w:p>
            <w:pPr>
              <w:jc w:val="right"/>
              <w:ind w:right="89"/>
              <w:spacing w:after="0"/>
              <w:rPr>
                <w:sz w:val="20"/>
                <w:szCs w:val="20"/>
                <w:color w:val="auto"/>
              </w:rPr>
            </w:pPr>
            <w:r>
              <w:rPr>
                <w:rFonts w:ascii="Arial" w:cs="Arial" w:eastAsia="Arial" w:hAnsi="Arial"/>
                <w:sz w:val="14"/>
                <w:szCs w:val="14"/>
                <w:b w:val="1"/>
                <w:bCs w:val="1"/>
                <w:color w:val="55565A"/>
              </w:rPr>
              <w:t>$1.03</w:t>
            </w:r>
          </w:p>
        </w:tc>
        <w:tc>
          <w:tcPr>
            <w:tcW w:w="1240" w:type="dxa"/>
            <w:vAlign w:val="bottom"/>
          </w:tcPr>
          <w:p>
            <w:pPr>
              <w:jc w:val="right"/>
              <w:ind w:right="89"/>
              <w:spacing w:after="0"/>
              <w:rPr>
                <w:sz w:val="20"/>
                <w:szCs w:val="20"/>
                <w:color w:val="auto"/>
              </w:rPr>
            </w:pPr>
            <w:r>
              <w:rPr>
                <w:rFonts w:ascii="Arial" w:cs="Arial" w:eastAsia="Arial" w:hAnsi="Arial"/>
                <w:sz w:val="14"/>
                <w:szCs w:val="14"/>
                <w:b w:val="1"/>
                <w:bCs w:val="1"/>
                <w:color w:val="55565A"/>
              </w:rPr>
              <w:t>$1.43</w:t>
            </w:r>
          </w:p>
        </w:tc>
        <w:tc>
          <w:tcPr>
            <w:tcW w:w="1280" w:type="dxa"/>
            <w:vAlign w:val="bottom"/>
          </w:tcPr>
          <w:p>
            <w:pPr>
              <w:jc w:val="right"/>
              <w:ind w:right="89"/>
              <w:spacing w:after="0"/>
              <w:rPr>
                <w:sz w:val="20"/>
                <w:szCs w:val="20"/>
                <w:color w:val="auto"/>
              </w:rPr>
            </w:pPr>
            <w:r>
              <w:rPr>
                <w:rFonts w:ascii="Arial" w:cs="Arial" w:eastAsia="Arial" w:hAnsi="Arial"/>
                <w:sz w:val="14"/>
                <w:szCs w:val="14"/>
                <w:b w:val="1"/>
                <w:bCs w:val="1"/>
                <w:color w:val="55565A"/>
              </w:rPr>
              <w:t>$0.81</w:t>
            </w: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55565A"/>
              </w:rPr>
              <w:t>$1.89</w:t>
            </w:r>
          </w:p>
        </w:tc>
        <w:tc>
          <w:tcPr>
            <w:tcW w:w="980" w:type="dxa"/>
            <w:vAlign w:val="bottom"/>
          </w:tcPr>
          <w:p>
            <w:pPr>
              <w:jc w:val="right"/>
              <w:ind w:right="89"/>
              <w:spacing w:after="0"/>
              <w:rPr>
                <w:sz w:val="20"/>
                <w:szCs w:val="20"/>
                <w:color w:val="auto"/>
              </w:rPr>
            </w:pPr>
            <w:r>
              <w:rPr>
                <w:rFonts w:ascii="Arial" w:cs="Arial" w:eastAsia="Arial" w:hAnsi="Arial"/>
                <w:sz w:val="14"/>
                <w:szCs w:val="14"/>
                <w:color w:val="55565A"/>
              </w:rPr>
              <w:t>$1.56</w:t>
            </w:r>
          </w:p>
        </w:tc>
        <w:tc>
          <w:tcPr>
            <w:tcW w:w="1240" w:type="dxa"/>
            <w:vAlign w:val="bottom"/>
          </w:tcPr>
          <w:p>
            <w:pPr>
              <w:jc w:val="right"/>
              <w:ind w:right="89"/>
              <w:spacing w:after="0"/>
              <w:rPr>
                <w:sz w:val="20"/>
                <w:szCs w:val="20"/>
                <w:color w:val="auto"/>
              </w:rPr>
            </w:pPr>
            <w:r>
              <w:rPr>
                <w:rFonts w:ascii="Arial" w:cs="Arial" w:eastAsia="Arial" w:hAnsi="Arial"/>
                <w:sz w:val="14"/>
                <w:szCs w:val="14"/>
                <w:color w:val="55565A"/>
              </w:rPr>
              <w:t>$0.37</w:t>
            </w:r>
          </w:p>
        </w:tc>
        <w:tc>
          <w:tcPr>
            <w:tcW w:w="1220" w:type="dxa"/>
            <w:vAlign w:val="bottom"/>
          </w:tcPr>
          <w:p>
            <w:pPr>
              <w:jc w:val="right"/>
              <w:ind w:right="9"/>
              <w:spacing w:after="0"/>
              <w:rPr>
                <w:sz w:val="20"/>
                <w:szCs w:val="20"/>
                <w:color w:val="auto"/>
              </w:rPr>
            </w:pPr>
            <w:r>
              <w:rPr>
                <w:rFonts w:ascii="Arial" w:cs="Arial" w:eastAsia="Arial" w:hAnsi="Arial"/>
                <w:sz w:val="14"/>
                <w:szCs w:val="14"/>
                <w:color w:val="55565A"/>
              </w:rPr>
              <w:t>$0.55</w:t>
            </w:r>
          </w:p>
        </w:tc>
        <w:tc>
          <w:tcPr>
            <w:tcW w:w="820" w:type="dxa"/>
            <w:vAlign w:val="bottom"/>
          </w:tcPr>
          <w:p>
            <w:pPr>
              <w:jc w:val="right"/>
              <w:ind w:right="69"/>
              <w:spacing w:after="0"/>
              <w:rPr>
                <w:sz w:val="20"/>
                <w:szCs w:val="20"/>
                <w:color w:val="auto"/>
              </w:rPr>
            </w:pPr>
            <w:r>
              <w:rPr>
                <w:rFonts w:ascii="Arial" w:cs="Arial" w:eastAsia="Arial" w:hAnsi="Arial"/>
                <w:sz w:val="14"/>
                <w:szCs w:val="14"/>
                <w:color w:val="55565A"/>
              </w:rPr>
              <w:t>$(0.15)</w:t>
            </w:r>
          </w:p>
        </w:tc>
      </w:tr>
      <w:tr>
        <w:trPr>
          <w:trHeight w:val="160"/>
        </w:trPr>
        <w:tc>
          <w:tcPr>
            <w:tcW w:w="20" w:type="dxa"/>
            <w:vAlign w:val="bottom"/>
          </w:tcPr>
          <w:p>
            <w:pPr>
              <w:spacing w:after="0"/>
              <w:rPr>
                <w:sz w:val="13"/>
                <w:szCs w:val="13"/>
                <w:color w:val="auto"/>
              </w:rPr>
            </w:pPr>
          </w:p>
        </w:tc>
        <w:tc>
          <w:tcPr>
            <w:tcW w:w="226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From discontinued operations</w:t>
            </w:r>
          </w:p>
        </w:tc>
        <w:tc>
          <w:tcPr>
            <w:tcW w:w="98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0.03</w:t>
            </w:r>
          </w:p>
        </w:tc>
        <w:tc>
          <w:tcPr>
            <w:tcW w:w="124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0.06</w:t>
            </w:r>
          </w:p>
        </w:tc>
        <w:tc>
          <w:tcPr>
            <w:tcW w:w="128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(0.01)</w:t>
            </w:r>
          </w:p>
        </w:tc>
        <w:tc>
          <w:tcPr>
            <w:tcW w:w="88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0.01</w:t>
            </w:r>
          </w:p>
        </w:tc>
        <w:tc>
          <w:tcPr>
            <w:tcW w:w="98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color w:val="55565A"/>
              </w:rPr>
              <w:t>0.04</w:t>
            </w:r>
          </w:p>
        </w:tc>
        <w:tc>
          <w:tcPr>
            <w:tcW w:w="124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color w:val="55565A"/>
              </w:rPr>
              <w:t>0.08</w:t>
            </w:r>
          </w:p>
        </w:tc>
        <w:tc>
          <w:tcPr>
            <w:tcW w:w="122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(0.08)</w:t>
            </w:r>
          </w:p>
        </w:tc>
        <w:tc>
          <w:tcPr>
            <w:tcW w:w="820" w:type="dxa"/>
            <w:vAlign w:val="bottom"/>
            <w:tcBorders>
              <w:bottom w:val="single" w:sz="8" w:color="88888B"/>
            </w:tcBorders>
            <w:shd w:val="clear" w:color="auto" w:fill="CCEEFF"/>
          </w:tcPr>
          <w:p>
            <w:pPr>
              <w:jc w:val="right"/>
              <w:ind w:right="69"/>
              <w:spacing w:after="0"/>
              <w:rPr>
                <w:sz w:val="20"/>
                <w:szCs w:val="20"/>
                <w:color w:val="auto"/>
              </w:rPr>
            </w:pPr>
            <w:r>
              <w:rPr>
                <w:rFonts w:ascii="Arial" w:cs="Arial" w:eastAsia="Arial" w:hAnsi="Arial"/>
                <w:sz w:val="14"/>
                <w:szCs w:val="14"/>
                <w:color w:val="55565A"/>
              </w:rPr>
              <w:t>(0.09)</w:t>
            </w:r>
          </w:p>
        </w:tc>
      </w:tr>
      <w:tr>
        <w:trPr>
          <w:trHeight w:val="154"/>
        </w:trPr>
        <w:tc>
          <w:tcPr>
            <w:tcW w:w="20" w:type="dxa"/>
            <w:vAlign w:val="bottom"/>
          </w:tcPr>
          <w:p>
            <w:pPr>
              <w:spacing w:after="0"/>
              <w:rPr>
                <w:sz w:val="13"/>
                <w:szCs w:val="13"/>
                <w:color w:val="auto"/>
              </w:rPr>
            </w:pPr>
          </w:p>
        </w:tc>
        <w:tc>
          <w:tcPr>
            <w:tcW w:w="2260" w:type="dxa"/>
            <w:vAlign w:val="bottom"/>
            <w:tcBorders>
              <w:bottom w:val="single" w:sz="8" w:color="88888B"/>
            </w:tcBorders>
          </w:tcPr>
          <w:p>
            <w:pPr>
              <w:spacing w:after="0"/>
              <w:rPr>
                <w:sz w:val="13"/>
                <w:szCs w:val="13"/>
                <w:color w:val="auto"/>
              </w:rPr>
            </w:pPr>
          </w:p>
        </w:tc>
        <w:tc>
          <w:tcPr>
            <w:tcW w:w="980" w:type="dxa"/>
            <w:vAlign w:val="bottom"/>
            <w:tcBorders>
              <w:bottom w:val="single" w:sz="8" w:color="88888B"/>
            </w:tcBorders>
          </w:tcPr>
          <w:p>
            <w:pPr>
              <w:jc w:val="right"/>
              <w:ind w:right="89"/>
              <w:spacing w:after="0" w:line="154" w:lineRule="exact"/>
              <w:rPr>
                <w:sz w:val="20"/>
                <w:szCs w:val="20"/>
                <w:color w:val="auto"/>
              </w:rPr>
            </w:pPr>
            <w:r>
              <w:rPr>
                <w:rFonts w:ascii="Arial" w:cs="Arial" w:eastAsia="Arial" w:hAnsi="Arial"/>
                <w:sz w:val="14"/>
                <w:szCs w:val="14"/>
                <w:b w:val="1"/>
                <w:bCs w:val="1"/>
                <w:color w:val="55565A"/>
              </w:rPr>
              <w:t>$1.06</w:t>
            </w:r>
          </w:p>
        </w:tc>
        <w:tc>
          <w:tcPr>
            <w:tcW w:w="1240" w:type="dxa"/>
            <w:vAlign w:val="bottom"/>
            <w:tcBorders>
              <w:bottom w:val="single" w:sz="8" w:color="88888B"/>
            </w:tcBorders>
          </w:tcPr>
          <w:p>
            <w:pPr>
              <w:jc w:val="right"/>
              <w:ind w:right="89"/>
              <w:spacing w:after="0" w:line="154" w:lineRule="exact"/>
              <w:rPr>
                <w:sz w:val="20"/>
                <w:szCs w:val="20"/>
                <w:color w:val="auto"/>
              </w:rPr>
            </w:pPr>
            <w:r>
              <w:rPr>
                <w:rFonts w:ascii="Arial" w:cs="Arial" w:eastAsia="Arial" w:hAnsi="Arial"/>
                <w:sz w:val="14"/>
                <w:szCs w:val="14"/>
                <w:b w:val="1"/>
                <w:bCs w:val="1"/>
                <w:color w:val="55565A"/>
              </w:rPr>
              <w:t>$1.49</w:t>
            </w:r>
          </w:p>
        </w:tc>
        <w:tc>
          <w:tcPr>
            <w:tcW w:w="1280" w:type="dxa"/>
            <w:vAlign w:val="bottom"/>
            <w:tcBorders>
              <w:bottom w:val="single" w:sz="8" w:color="88888B"/>
            </w:tcBorders>
          </w:tcPr>
          <w:p>
            <w:pPr>
              <w:jc w:val="right"/>
              <w:ind w:right="89"/>
              <w:spacing w:after="0" w:line="154" w:lineRule="exact"/>
              <w:rPr>
                <w:sz w:val="20"/>
                <w:szCs w:val="20"/>
                <w:color w:val="auto"/>
              </w:rPr>
            </w:pPr>
            <w:r>
              <w:rPr>
                <w:rFonts w:ascii="Arial" w:cs="Arial" w:eastAsia="Arial" w:hAnsi="Arial"/>
                <w:sz w:val="14"/>
                <w:szCs w:val="14"/>
                <w:b w:val="1"/>
                <w:bCs w:val="1"/>
                <w:color w:val="55565A"/>
              </w:rPr>
              <w:t>$0.80</w:t>
            </w:r>
          </w:p>
        </w:tc>
        <w:tc>
          <w:tcPr>
            <w:tcW w:w="880" w:type="dxa"/>
            <w:vAlign w:val="bottom"/>
            <w:tcBorders>
              <w:bottom w:val="single" w:sz="8" w:color="88888B"/>
            </w:tcBorders>
          </w:tcPr>
          <w:p>
            <w:pPr>
              <w:jc w:val="right"/>
              <w:ind w:right="89"/>
              <w:spacing w:after="0" w:line="154" w:lineRule="exact"/>
              <w:rPr>
                <w:sz w:val="20"/>
                <w:szCs w:val="20"/>
                <w:color w:val="auto"/>
              </w:rPr>
            </w:pPr>
            <w:r>
              <w:rPr>
                <w:rFonts w:ascii="Arial" w:cs="Arial" w:eastAsia="Arial" w:hAnsi="Arial"/>
                <w:sz w:val="14"/>
                <w:szCs w:val="14"/>
                <w:b w:val="1"/>
                <w:bCs w:val="1"/>
                <w:color w:val="55565A"/>
              </w:rPr>
              <w:t>$1.90</w:t>
            </w:r>
          </w:p>
        </w:tc>
        <w:tc>
          <w:tcPr>
            <w:tcW w:w="980" w:type="dxa"/>
            <w:vAlign w:val="bottom"/>
            <w:tcBorders>
              <w:bottom w:val="single" w:sz="8" w:color="88888B"/>
            </w:tcBorders>
          </w:tcPr>
          <w:p>
            <w:pPr>
              <w:jc w:val="right"/>
              <w:ind w:right="89"/>
              <w:spacing w:after="0" w:line="154" w:lineRule="exact"/>
              <w:rPr>
                <w:sz w:val="20"/>
                <w:szCs w:val="20"/>
                <w:color w:val="auto"/>
              </w:rPr>
            </w:pPr>
            <w:r>
              <w:rPr>
                <w:rFonts w:ascii="Arial" w:cs="Arial" w:eastAsia="Arial" w:hAnsi="Arial"/>
                <w:sz w:val="14"/>
                <w:szCs w:val="14"/>
                <w:color w:val="55565A"/>
              </w:rPr>
              <w:t>$1.60</w:t>
            </w:r>
          </w:p>
        </w:tc>
        <w:tc>
          <w:tcPr>
            <w:tcW w:w="1240" w:type="dxa"/>
            <w:vAlign w:val="bottom"/>
            <w:tcBorders>
              <w:bottom w:val="single" w:sz="8" w:color="88888B"/>
            </w:tcBorders>
          </w:tcPr>
          <w:p>
            <w:pPr>
              <w:jc w:val="right"/>
              <w:ind w:right="89"/>
              <w:spacing w:after="0" w:line="154" w:lineRule="exact"/>
              <w:rPr>
                <w:sz w:val="20"/>
                <w:szCs w:val="20"/>
                <w:color w:val="auto"/>
              </w:rPr>
            </w:pPr>
            <w:r>
              <w:rPr>
                <w:rFonts w:ascii="Arial" w:cs="Arial" w:eastAsia="Arial" w:hAnsi="Arial"/>
                <w:sz w:val="14"/>
                <w:szCs w:val="14"/>
                <w:color w:val="55565A"/>
              </w:rPr>
              <w:t>$0.45</w:t>
            </w:r>
          </w:p>
        </w:tc>
        <w:tc>
          <w:tcPr>
            <w:tcW w:w="1220" w:type="dxa"/>
            <w:vAlign w:val="bottom"/>
            <w:tcBorders>
              <w:bottom w:val="single" w:sz="8" w:color="88888B"/>
            </w:tcBorders>
          </w:tcPr>
          <w:p>
            <w:pPr>
              <w:jc w:val="right"/>
              <w:ind w:right="9"/>
              <w:spacing w:after="0" w:line="154" w:lineRule="exact"/>
              <w:rPr>
                <w:sz w:val="20"/>
                <w:szCs w:val="20"/>
                <w:color w:val="auto"/>
              </w:rPr>
            </w:pPr>
            <w:r>
              <w:rPr>
                <w:rFonts w:ascii="Arial" w:cs="Arial" w:eastAsia="Arial" w:hAnsi="Arial"/>
                <w:sz w:val="14"/>
                <w:szCs w:val="14"/>
                <w:color w:val="55565A"/>
              </w:rPr>
              <w:t>$0.47</w:t>
            </w:r>
          </w:p>
        </w:tc>
        <w:tc>
          <w:tcPr>
            <w:tcW w:w="820" w:type="dxa"/>
            <w:vAlign w:val="bottom"/>
            <w:tcBorders>
              <w:bottom w:val="single" w:sz="8" w:color="88888B"/>
            </w:tcBorders>
          </w:tcPr>
          <w:p>
            <w:pPr>
              <w:jc w:val="right"/>
              <w:ind w:right="69"/>
              <w:spacing w:after="0" w:line="154" w:lineRule="exact"/>
              <w:rPr>
                <w:sz w:val="20"/>
                <w:szCs w:val="20"/>
                <w:color w:val="auto"/>
              </w:rPr>
            </w:pPr>
            <w:r>
              <w:rPr>
                <w:rFonts w:ascii="Arial" w:cs="Arial" w:eastAsia="Arial" w:hAnsi="Arial"/>
                <w:sz w:val="14"/>
                <w:szCs w:val="14"/>
                <w:color w:val="55565A"/>
              </w:rPr>
              <w:t>$(0.24)</w:t>
            </w:r>
          </w:p>
        </w:tc>
      </w:tr>
      <w:tr>
        <w:trPr>
          <w:trHeight w:val="154"/>
        </w:trPr>
        <w:tc>
          <w:tcPr>
            <w:tcW w:w="20" w:type="dxa"/>
            <w:vAlign w:val="bottom"/>
          </w:tcPr>
          <w:p>
            <w:pPr>
              <w:spacing w:after="0"/>
              <w:rPr>
                <w:sz w:val="13"/>
                <w:szCs w:val="13"/>
                <w:color w:val="auto"/>
              </w:rPr>
            </w:pPr>
          </w:p>
        </w:tc>
        <w:tc>
          <w:tcPr>
            <w:tcW w:w="2260" w:type="dxa"/>
            <w:vAlign w:val="bottom"/>
            <w:tcBorders>
              <w:bottom w:val="single" w:sz="8" w:color="88888B"/>
            </w:tcBorders>
          </w:tcPr>
          <w:p>
            <w:pPr>
              <w:spacing w:after="0"/>
              <w:rPr>
                <w:sz w:val="13"/>
                <w:szCs w:val="13"/>
                <w:color w:val="auto"/>
              </w:rPr>
            </w:pPr>
          </w:p>
        </w:tc>
        <w:tc>
          <w:tcPr>
            <w:tcW w:w="980" w:type="dxa"/>
            <w:vAlign w:val="bottom"/>
            <w:tcBorders>
              <w:bottom w:val="single" w:sz="8" w:color="88888B"/>
            </w:tcBorders>
          </w:tcPr>
          <w:p>
            <w:pPr>
              <w:spacing w:after="0"/>
              <w:rPr>
                <w:sz w:val="13"/>
                <w:szCs w:val="13"/>
                <w:color w:val="auto"/>
              </w:rPr>
            </w:pPr>
          </w:p>
        </w:tc>
        <w:tc>
          <w:tcPr>
            <w:tcW w:w="1240" w:type="dxa"/>
            <w:vAlign w:val="bottom"/>
            <w:tcBorders>
              <w:bottom w:val="single" w:sz="8" w:color="88888B"/>
            </w:tcBorders>
          </w:tcPr>
          <w:p>
            <w:pPr>
              <w:spacing w:after="0"/>
              <w:rPr>
                <w:sz w:val="13"/>
                <w:szCs w:val="13"/>
                <w:color w:val="auto"/>
              </w:rPr>
            </w:pPr>
          </w:p>
        </w:tc>
        <w:tc>
          <w:tcPr>
            <w:tcW w:w="1280" w:type="dxa"/>
            <w:vAlign w:val="bottom"/>
            <w:tcBorders>
              <w:bottom w:val="single" w:sz="8" w:color="88888B"/>
            </w:tcBorders>
          </w:tcPr>
          <w:p>
            <w:pPr>
              <w:spacing w:after="0"/>
              <w:rPr>
                <w:sz w:val="13"/>
                <w:szCs w:val="13"/>
                <w:color w:val="auto"/>
              </w:rPr>
            </w:pPr>
          </w:p>
        </w:tc>
        <w:tc>
          <w:tcPr>
            <w:tcW w:w="880" w:type="dxa"/>
            <w:vAlign w:val="bottom"/>
            <w:tcBorders>
              <w:bottom w:val="single" w:sz="8" w:color="88888B"/>
            </w:tcBorders>
          </w:tcPr>
          <w:p>
            <w:pPr>
              <w:spacing w:after="0"/>
              <w:rPr>
                <w:sz w:val="13"/>
                <w:szCs w:val="13"/>
                <w:color w:val="auto"/>
              </w:rPr>
            </w:pPr>
          </w:p>
        </w:tc>
        <w:tc>
          <w:tcPr>
            <w:tcW w:w="980" w:type="dxa"/>
            <w:vAlign w:val="bottom"/>
            <w:tcBorders>
              <w:bottom w:val="single" w:sz="8" w:color="88888B"/>
            </w:tcBorders>
          </w:tcPr>
          <w:p>
            <w:pPr>
              <w:spacing w:after="0"/>
              <w:rPr>
                <w:sz w:val="13"/>
                <w:szCs w:val="13"/>
                <w:color w:val="auto"/>
              </w:rPr>
            </w:pPr>
          </w:p>
        </w:tc>
        <w:tc>
          <w:tcPr>
            <w:tcW w:w="1240" w:type="dxa"/>
            <w:vAlign w:val="bottom"/>
            <w:tcBorders>
              <w:bottom w:val="single" w:sz="8" w:color="88888B"/>
            </w:tcBorders>
          </w:tcPr>
          <w:p>
            <w:pPr>
              <w:spacing w:after="0"/>
              <w:rPr>
                <w:sz w:val="13"/>
                <w:szCs w:val="13"/>
                <w:color w:val="auto"/>
              </w:rPr>
            </w:pPr>
          </w:p>
        </w:tc>
        <w:tc>
          <w:tcPr>
            <w:tcW w:w="1220" w:type="dxa"/>
            <w:vAlign w:val="bottom"/>
            <w:tcBorders>
              <w:bottom w:val="single" w:sz="8" w:color="88888B"/>
            </w:tcBorders>
          </w:tcPr>
          <w:p>
            <w:pPr>
              <w:spacing w:after="0"/>
              <w:rPr>
                <w:sz w:val="13"/>
                <w:szCs w:val="13"/>
                <w:color w:val="auto"/>
              </w:rPr>
            </w:pPr>
          </w:p>
        </w:tc>
        <w:tc>
          <w:tcPr>
            <w:tcW w:w="820" w:type="dxa"/>
            <w:vAlign w:val="bottom"/>
            <w:tcBorders>
              <w:bottom w:val="single" w:sz="8" w:color="88888B"/>
            </w:tcBorders>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226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55565A"/>
              </w:rPr>
              <w:t>Diluted earnings (loss) per</w:t>
            </w:r>
          </w:p>
        </w:tc>
        <w:tc>
          <w:tcPr>
            <w:tcW w:w="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22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55565A"/>
              </w:rPr>
              <w:t>share</w:t>
            </w:r>
          </w:p>
        </w:tc>
        <w:tc>
          <w:tcPr>
            <w:tcW w:w="9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2260" w:type="dxa"/>
            <w:vAlign w:val="bottom"/>
          </w:tcPr>
          <w:p>
            <w:pPr>
              <w:spacing w:after="0"/>
              <w:rPr>
                <w:sz w:val="20"/>
                <w:szCs w:val="20"/>
                <w:color w:val="auto"/>
              </w:rPr>
            </w:pPr>
            <w:r>
              <w:rPr>
                <w:rFonts w:ascii="Arial" w:cs="Arial" w:eastAsia="Arial" w:hAnsi="Arial"/>
                <w:sz w:val="14"/>
                <w:szCs w:val="14"/>
                <w:color w:val="55565A"/>
              </w:rPr>
              <w:t>From continuing operations</w:t>
            </w:r>
          </w:p>
        </w:tc>
        <w:tc>
          <w:tcPr>
            <w:tcW w:w="980" w:type="dxa"/>
            <w:vAlign w:val="bottom"/>
          </w:tcPr>
          <w:p>
            <w:pPr>
              <w:jc w:val="right"/>
              <w:ind w:right="89"/>
              <w:spacing w:after="0"/>
              <w:rPr>
                <w:sz w:val="20"/>
                <w:szCs w:val="20"/>
                <w:color w:val="auto"/>
              </w:rPr>
            </w:pPr>
            <w:r>
              <w:rPr>
                <w:rFonts w:ascii="Arial" w:cs="Arial" w:eastAsia="Arial" w:hAnsi="Arial"/>
                <w:sz w:val="14"/>
                <w:szCs w:val="14"/>
                <w:b w:val="1"/>
                <w:bCs w:val="1"/>
                <w:color w:val="55565A"/>
              </w:rPr>
              <w:t>$1.03</w:t>
            </w:r>
          </w:p>
        </w:tc>
        <w:tc>
          <w:tcPr>
            <w:tcW w:w="1240" w:type="dxa"/>
            <w:vAlign w:val="bottom"/>
          </w:tcPr>
          <w:p>
            <w:pPr>
              <w:jc w:val="right"/>
              <w:ind w:right="89"/>
              <w:spacing w:after="0"/>
              <w:rPr>
                <w:sz w:val="20"/>
                <w:szCs w:val="20"/>
                <w:color w:val="auto"/>
              </w:rPr>
            </w:pPr>
            <w:r>
              <w:rPr>
                <w:rFonts w:ascii="Arial" w:cs="Arial" w:eastAsia="Arial" w:hAnsi="Arial"/>
                <w:sz w:val="14"/>
                <w:szCs w:val="14"/>
                <w:b w:val="1"/>
                <w:bCs w:val="1"/>
                <w:color w:val="55565A"/>
              </w:rPr>
              <w:t>$1.43</w:t>
            </w:r>
          </w:p>
        </w:tc>
        <w:tc>
          <w:tcPr>
            <w:tcW w:w="1280" w:type="dxa"/>
            <w:vAlign w:val="bottom"/>
          </w:tcPr>
          <w:p>
            <w:pPr>
              <w:jc w:val="right"/>
              <w:ind w:right="89"/>
              <w:spacing w:after="0"/>
              <w:rPr>
                <w:sz w:val="20"/>
                <w:szCs w:val="20"/>
                <w:color w:val="auto"/>
              </w:rPr>
            </w:pPr>
            <w:r>
              <w:rPr>
                <w:rFonts w:ascii="Arial" w:cs="Arial" w:eastAsia="Arial" w:hAnsi="Arial"/>
                <w:sz w:val="14"/>
                <w:szCs w:val="14"/>
                <w:b w:val="1"/>
                <w:bCs w:val="1"/>
                <w:color w:val="55565A"/>
              </w:rPr>
              <w:t>$0.81</w:t>
            </w: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55565A"/>
              </w:rPr>
              <w:t>$1.89</w:t>
            </w:r>
          </w:p>
        </w:tc>
        <w:tc>
          <w:tcPr>
            <w:tcW w:w="980" w:type="dxa"/>
            <w:vAlign w:val="bottom"/>
          </w:tcPr>
          <w:p>
            <w:pPr>
              <w:jc w:val="right"/>
              <w:ind w:right="89"/>
              <w:spacing w:after="0"/>
              <w:rPr>
                <w:sz w:val="20"/>
                <w:szCs w:val="20"/>
                <w:color w:val="auto"/>
              </w:rPr>
            </w:pPr>
            <w:r>
              <w:rPr>
                <w:rFonts w:ascii="Arial" w:cs="Arial" w:eastAsia="Arial" w:hAnsi="Arial"/>
                <w:sz w:val="14"/>
                <w:szCs w:val="14"/>
                <w:color w:val="55565A"/>
              </w:rPr>
              <w:t>$1.55</w:t>
            </w:r>
          </w:p>
        </w:tc>
        <w:tc>
          <w:tcPr>
            <w:tcW w:w="1240" w:type="dxa"/>
            <w:vAlign w:val="bottom"/>
          </w:tcPr>
          <w:p>
            <w:pPr>
              <w:jc w:val="right"/>
              <w:ind w:right="89"/>
              <w:spacing w:after="0"/>
              <w:rPr>
                <w:sz w:val="20"/>
                <w:szCs w:val="20"/>
                <w:color w:val="auto"/>
              </w:rPr>
            </w:pPr>
            <w:r>
              <w:rPr>
                <w:rFonts w:ascii="Arial" w:cs="Arial" w:eastAsia="Arial" w:hAnsi="Arial"/>
                <w:sz w:val="14"/>
                <w:szCs w:val="14"/>
                <w:color w:val="55565A"/>
              </w:rPr>
              <w:t>$0.37</w:t>
            </w:r>
          </w:p>
        </w:tc>
        <w:tc>
          <w:tcPr>
            <w:tcW w:w="1220" w:type="dxa"/>
            <w:vAlign w:val="bottom"/>
          </w:tcPr>
          <w:p>
            <w:pPr>
              <w:jc w:val="right"/>
              <w:ind w:right="9"/>
              <w:spacing w:after="0"/>
              <w:rPr>
                <w:sz w:val="20"/>
                <w:szCs w:val="20"/>
                <w:color w:val="auto"/>
              </w:rPr>
            </w:pPr>
            <w:r>
              <w:rPr>
                <w:rFonts w:ascii="Arial" w:cs="Arial" w:eastAsia="Arial" w:hAnsi="Arial"/>
                <w:sz w:val="14"/>
                <w:szCs w:val="14"/>
                <w:color w:val="55565A"/>
              </w:rPr>
              <w:t>$0.55</w:t>
            </w:r>
          </w:p>
        </w:tc>
        <w:tc>
          <w:tcPr>
            <w:tcW w:w="820" w:type="dxa"/>
            <w:vAlign w:val="bottom"/>
          </w:tcPr>
          <w:p>
            <w:pPr>
              <w:jc w:val="right"/>
              <w:ind w:right="69"/>
              <w:spacing w:after="0"/>
              <w:rPr>
                <w:sz w:val="20"/>
                <w:szCs w:val="20"/>
                <w:color w:val="auto"/>
              </w:rPr>
            </w:pPr>
            <w:r>
              <w:rPr>
                <w:rFonts w:ascii="Arial" w:cs="Arial" w:eastAsia="Arial" w:hAnsi="Arial"/>
                <w:sz w:val="14"/>
                <w:szCs w:val="14"/>
                <w:color w:val="55565A"/>
              </w:rPr>
              <w:t>$(0.15)</w:t>
            </w:r>
          </w:p>
        </w:tc>
      </w:tr>
      <w:tr>
        <w:trPr>
          <w:trHeight w:val="160"/>
        </w:trPr>
        <w:tc>
          <w:tcPr>
            <w:tcW w:w="20" w:type="dxa"/>
            <w:vAlign w:val="bottom"/>
          </w:tcPr>
          <w:p>
            <w:pPr>
              <w:spacing w:after="0"/>
              <w:rPr>
                <w:sz w:val="13"/>
                <w:szCs w:val="13"/>
                <w:color w:val="auto"/>
              </w:rPr>
            </w:pPr>
          </w:p>
        </w:tc>
        <w:tc>
          <w:tcPr>
            <w:tcW w:w="226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From discontinued operations</w:t>
            </w:r>
          </w:p>
        </w:tc>
        <w:tc>
          <w:tcPr>
            <w:tcW w:w="98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0.03</w:t>
            </w:r>
          </w:p>
        </w:tc>
        <w:tc>
          <w:tcPr>
            <w:tcW w:w="124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0.06</w:t>
            </w:r>
          </w:p>
        </w:tc>
        <w:tc>
          <w:tcPr>
            <w:tcW w:w="128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(0.01)</w:t>
            </w:r>
          </w:p>
        </w:tc>
        <w:tc>
          <w:tcPr>
            <w:tcW w:w="88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0.01</w:t>
            </w:r>
          </w:p>
        </w:tc>
        <w:tc>
          <w:tcPr>
            <w:tcW w:w="98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color w:val="55565A"/>
              </w:rPr>
              <w:t>0.04</w:t>
            </w:r>
          </w:p>
        </w:tc>
        <w:tc>
          <w:tcPr>
            <w:tcW w:w="124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color w:val="55565A"/>
              </w:rPr>
              <w:t>0.08</w:t>
            </w:r>
          </w:p>
        </w:tc>
        <w:tc>
          <w:tcPr>
            <w:tcW w:w="122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(0.08)</w:t>
            </w:r>
          </w:p>
        </w:tc>
        <w:tc>
          <w:tcPr>
            <w:tcW w:w="820" w:type="dxa"/>
            <w:vAlign w:val="bottom"/>
            <w:tcBorders>
              <w:bottom w:val="single" w:sz="8" w:color="88888B"/>
            </w:tcBorders>
            <w:shd w:val="clear" w:color="auto" w:fill="CCEEFF"/>
          </w:tcPr>
          <w:p>
            <w:pPr>
              <w:jc w:val="right"/>
              <w:ind w:right="69"/>
              <w:spacing w:after="0"/>
              <w:rPr>
                <w:sz w:val="20"/>
                <w:szCs w:val="20"/>
                <w:color w:val="auto"/>
              </w:rPr>
            </w:pPr>
            <w:r>
              <w:rPr>
                <w:rFonts w:ascii="Arial" w:cs="Arial" w:eastAsia="Arial" w:hAnsi="Arial"/>
                <w:sz w:val="14"/>
                <w:szCs w:val="14"/>
                <w:color w:val="55565A"/>
              </w:rPr>
              <w:t>(0.09)</w:t>
            </w:r>
          </w:p>
        </w:tc>
      </w:tr>
      <w:tr>
        <w:trPr>
          <w:trHeight w:val="154"/>
        </w:trPr>
        <w:tc>
          <w:tcPr>
            <w:tcW w:w="20" w:type="dxa"/>
            <w:vAlign w:val="bottom"/>
          </w:tcPr>
          <w:p>
            <w:pPr>
              <w:spacing w:after="0"/>
              <w:rPr>
                <w:sz w:val="13"/>
                <w:szCs w:val="13"/>
                <w:color w:val="auto"/>
              </w:rPr>
            </w:pPr>
          </w:p>
        </w:tc>
        <w:tc>
          <w:tcPr>
            <w:tcW w:w="2260" w:type="dxa"/>
            <w:vAlign w:val="bottom"/>
            <w:tcBorders>
              <w:bottom w:val="single" w:sz="8" w:color="88888B"/>
            </w:tcBorders>
          </w:tcPr>
          <w:p>
            <w:pPr>
              <w:spacing w:after="0"/>
              <w:rPr>
                <w:sz w:val="13"/>
                <w:szCs w:val="13"/>
                <w:color w:val="auto"/>
              </w:rPr>
            </w:pPr>
          </w:p>
        </w:tc>
        <w:tc>
          <w:tcPr>
            <w:tcW w:w="980" w:type="dxa"/>
            <w:vAlign w:val="bottom"/>
            <w:tcBorders>
              <w:bottom w:val="single" w:sz="8" w:color="88888B"/>
            </w:tcBorders>
          </w:tcPr>
          <w:p>
            <w:pPr>
              <w:jc w:val="right"/>
              <w:ind w:right="89"/>
              <w:spacing w:after="0" w:line="154" w:lineRule="exact"/>
              <w:rPr>
                <w:sz w:val="20"/>
                <w:szCs w:val="20"/>
                <w:color w:val="auto"/>
              </w:rPr>
            </w:pPr>
            <w:r>
              <w:rPr>
                <w:rFonts w:ascii="Arial" w:cs="Arial" w:eastAsia="Arial" w:hAnsi="Arial"/>
                <w:sz w:val="14"/>
                <w:szCs w:val="14"/>
                <w:b w:val="1"/>
                <w:bCs w:val="1"/>
                <w:color w:val="55565A"/>
              </w:rPr>
              <w:t>$1.06</w:t>
            </w:r>
          </w:p>
        </w:tc>
        <w:tc>
          <w:tcPr>
            <w:tcW w:w="1240" w:type="dxa"/>
            <w:vAlign w:val="bottom"/>
            <w:tcBorders>
              <w:bottom w:val="single" w:sz="8" w:color="88888B"/>
            </w:tcBorders>
          </w:tcPr>
          <w:p>
            <w:pPr>
              <w:jc w:val="right"/>
              <w:ind w:right="89"/>
              <w:spacing w:after="0" w:line="154" w:lineRule="exact"/>
              <w:rPr>
                <w:sz w:val="20"/>
                <w:szCs w:val="20"/>
                <w:color w:val="auto"/>
              </w:rPr>
            </w:pPr>
            <w:r>
              <w:rPr>
                <w:rFonts w:ascii="Arial" w:cs="Arial" w:eastAsia="Arial" w:hAnsi="Arial"/>
                <w:sz w:val="14"/>
                <w:szCs w:val="14"/>
                <w:b w:val="1"/>
                <w:bCs w:val="1"/>
                <w:color w:val="55565A"/>
              </w:rPr>
              <w:t>$1.49</w:t>
            </w:r>
          </w:p>
        </w:tc>
        <w:tc>
          <w:tcPr>
            <w:tcW w:w="1280" w:type="dxa"/>
            <w:vAlign w:val="bottom"/>
            <w:tcBorders>
              <w:bottom w:val="single" w:sz="8" w:color="88888B"/>
            </w:tcBorders>
          </w:tcPr>
          <w:p>
            <w:pPr>
              <w:jc w:val="right"/>
              <w:ind w:right="89"/>
              <w:spacing w:after="0" w:line="154" w:lineRule="exact"/>
              <w:rPr>
                <w:sz w:val="20"/>
                <w:szCs w:val="20"/>
                <w:color w:val="auto"/>
              </w:rPr>
            </w:pPr>
            <w:r>
              <w:rPr>
                <w:rFonts w:ascii="Arial" w:cs="Arial" w:eastAsia="Arial" w:hAnsi="Arial"/>
                <w:sz w:val="14"/>
                <w:szCs w:val="14"/>
                <w:b w:val="1"/>
                <w:bCs w:val="1"/>
                <w:color w:val="55565A"/>
              </w:rPr>
              <w:t>$0.80</w:t>
            </w:r>
          </w:p>
        </w:tc>
        <w:tc>
          <w:tcPr>
            <w:tcW w:w="880" w:type="dxa"/>
            <w:vAlign w:val="bottom"/>
            <w:tcBorders>
              <w:bottom w:val="single" w:sz="8" w:color="88888B"/>
            </w:tcBorders>
          </w:tcPr>
          <w:p>
            <w:pPr>
              <w:jc w:val="right"/>
              <w:ind w:right="89"/>
              <w:spacing w:after="0" w:line="154" w:lineRule="exact"/>
              <w:rPr>
                <w:sz w:val="20"/>
                <w:szCs w:val="20"/>
                <w:color w:val="auto"/>
              </w:rPr>
            </w:pPr>
            <w:r>
              <w:rPr>
                <w:rFonts w:ascii="Arial" w:cs="Arial" w:eastAsia="Arial" w:hAnsi="Arial"/>
                <w:sz w:val="14"/>
                <w:szCs w:val="14"/>
                <w:b w:val="1"/>
                <w:bCs w:val="1"/>
                <w:color w:val="55565A"/>
              </w:rPr>
              <w:t>$1.90</w:t>
            </w:r>
          </w:p>
        </w:tc>
        <w:tc>
          <w:tcPr>
            <w:tcW w:w="980" w:type="dxa"/>
            <w:vAlign w:val="bottom"/>
            <w:tcBorders>
              <w:bottom w:val="single" w:sz="8" w:color="88888B"/>
            </w:tcBorders>
          </w:tcPr>
          <w:p>
            <w:pPr>
              <w:jc w:val="right"/>
              <w:ind w:right="89"/>
              <w:spacing w:after="0" w:line="154" w:lineRule="exact"/>
              <w:rPr>
                <w:sz w:val="20"/>
                <w:szCs w:val="20"/>
                <w:color w:val="auto"/>
              </w:rPr>
            </w:pPr>
            <w:r>
              <w:rPr>
                <w:rFonts w:ascii="Arial" w:cs="Arial" w:eastAsia="Arial" w:hAnsi="Arial"/>
                <w:sz w:val="14"/>
                <w:szCs w:val="14"/>
                <w:color w:val="55565A"/>
              </w:rPr>
              <w:t>$1.59</w:t>
            </w:r>
          </w:p>
        </w:tc>
        <w:tc>
          <w:tcPr>
            <w:tcW w:w="1240" w:type="dxa"/>
            <w:vAlign w:val="bottom"/>
            <w:tcBorders>
              <w:bottom w:val="single" w:sz="8" w:color="88888B"/>
            </w:tcBorders>
          </w:tcPr>
          <w:p>
            <w:pPr>
              <w:jc w:val="right"/>
              <w:ind w:right="89"/>
              <w:spacing w:after="0" w:line="154" w:lineRule="exact"/>
              <w:rPr>
                <w:sz w:val="20"/>
                <w:szCs w:val="20"/>
                <w:color w:val="auto"/>
              </w:rPr>
            </w:pPr>
            <w:r>
              <w:rPr>
                <w:rFonts w:ascii="Arial" w:cs="Arial" w:eastAsia="Arial" w:hAnsi="Arial"/>
                <w:sz w:val="14"/>
                <w:szCs w:val="14"/>
                <w:color w:val="55565A"/>
              </w:rPr>
              <w:t>$0.45</w:t>
            </w:r>
          </w:p>
        </w:tc>
        <w:tc>
          <w:tcPr>
            <w:tcW w:w="1220" w:type="dxa"/>
            <w:vAlign w:val="bottom"/>
            <w:tcBorders>
              <w:bottom w:val="single" w:sz="8" w:color="88888B"/>
            </w:tcBorders>
          </w:tcPr>
          <w:p>
            <w:pPr>
              <w:jc w:val="right"/>
              <w:ind w:right="9"/>
              <w:spacing w:after="0" w:line="154" w:lineRule="exact"/>
              <w:rPr>
                <w:sz w:val="20"/>
                <w:szCs w:val="20"/>
                <w:color w:val="auto"/>
              </w:rPr>
            </w:pPr>
            <w:r>
              <w:rPr>
                <w:rFonts w:ascii="Arial" w:cs="Arial" w:eastAsia="Arial" w:hAnsi="Arial"/>
                <w:sz w:val="14"/>
                <w:szCs w:val="14"/>
                <w:color w:val="55565A"/>
              </w:rPr>
              <w:t>$0.47</w:t>
            </w:r>
          </w:p>
        </w:tc>
        <w:tc>
          <w:tcPr>
            <w:tcW w:w="820" w:type="dxa"/>
            <w:vAlign w:val="bottom"/>
            <w:tcBorders>
              <w:bottom w:val="single" w:sz="8" w:color="88888B"/>
            </w:tcBorders>
          </w:tcPr>
          <w:p>
            <w:pPr>
              <w:jc w:val="right"/>
              <w:ind w:right="69"/>
              <w:spacing w:after="0" w:line="154" w:lineRule="exact"/>
              <w:rPr>
                <w:sz w:val="20"/>
                <w:szCs w:val="20"/>
                <w:color w:val="auto"/>
              </w:rPr>
            </w:pPr>
            <w:r>
              <w:rPr>
                <w:rFonts w:ascii="Arial" w:cs="Arial" w:eastAsia="Arial" w:hAnsi="Arial"/>
                <w:sz w:val="14"/>
                <w:szCs w:val="14"/>
                <w:color w:val="55565A"/>
              </w:rPr>
              <w:t>$(0.24)</w:t>
            </w:r>
          </w:p>
        </w:tc>
      </w:tr>
    </w:tbl>
    <w:p>
      <w:pPr>
        <w:spacing w:after="0" w:line="200"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b w:val="1"/>
          <w:bCs w:val="1"/>
          <w:color w:val="55565A"/>
        </w:rPr>
        <w:t xml:space="preserve">Revenues – </w:t>
      </w:r>
      <w:r>
        <w:rPr>
          <w:rFonts w:ascii="Arial" w:cs="Arial" w:eastAsia="Arial" w:hAnsi="Arial"/>
          <w:sz w:val="16"/>
          <w:szCs w:val="16"/>
          <w:color w:val="55565A"/>
        </w:rPr>
        <w:t>Our revenues do not tend to be significantly impacted by seasonality as we record a large portion of our revenues ratably over a contract</w:t>
      </w:r>
      <w:r>
        <w:rPr>
          <w:rFonts w:ascii="Arial" w:cs="Arial" w:eastAsia="Arial" w:hAnsi="Arial"/>
          <w:sz w:val="16"/>
          <w:szCs w:val="16"/>
          <w:b w:val="1"/>
          <w:bCs w:val="1"/>
          <w:color w:val="55565A"/>
        </w:rPr>
        <w:t xml:space="preserve"> </w:t>
      </w:r>
      <w:r>
        <w:rPr>
          <w:rFonts w:ascii="Arial" w:cs="Arial" w:eastAsia="Arial" w:hAnsi="Arial"/>
          <w:sz w:val="16"/>
          <w:szCs w:val="16"/>
          <w:color w:val="55565A"/>
        </w:rPr>
        <w:t>term. However, our revenues from quarter to consecutive quarter can be impacted by seasonality, particularly in our Tax &amp; Accounting business, where revenues tend to be concentrated in the first and fourth quarters. As most of our business is conducted in U.S. dollars, foreign currency had a minimal impact on our revenues, except in the third and fourth quarters of 2022 when a significant strengthening in the U.S. dollar caused a moderate decrease to our revenues. Divestitures negatively impacted our revenues throughout 2023 as well as in the first quarter of 2024, despite contributions from recent acquisitions.</w:t>
      </w:r>
    </w:p>
    <w:p>
      <w:pPr>
        <w:spacing w:after="0" w:line="183" w:lineRule="exact"/>
        <w:rPr>
          <w:sz w:val="20"/>
          <w:szCs w:val="20"/>
          <w:color w:val="auto"/>
        </w:rPr>
      </w:pPr>
    </w:p>
    <w:p>
      <w:pPr>
        <w:jc w:val="both"/>
        <w:ind w:left="160" w:right="80"/>
        <w:spacing w:after="0" w:line="256" w:lineRule="auto"/>
        <w:rPr>
          <w:sz w:val="20"/>
          <w:szCs w:val="20"/>
          <w:color w:val="auto"/>
        </w:rPr>
      </w:pPr>
      <w:r>
        <w:rPr>
          <w:rFonts w:ascii="Arial" w:cs="Arial" w:eastAsia="Arial" w:hAnsi="Arial"/>
          <w:sz w:val="16"/>
          <w:szCs w:val="16"/>
          <w:b w:val="1"/>
          <w:bCs w:val="1"/>
          <w:color w:val="55565A"/>
        </w:rPr>
        <w:t xml:space="preserve">Operating profit – </w:t>
      </w:r>
      <w:r>
        <w:rPr>
          <w:rFonts w:ascii="Arial" w:cs="Arial" w:eastAsia="Arial" w:hAnsi="Arial"/>
          <w:sz w:val="16"/>
          <w:szCs w:val="16"/>
          <w:color w:val="55565A"/>
        </w:rPr>
        <w:t>Our operating profit does not tend to be significantly impacted by seasonality. Because most of our operating expenses are fixed, we</w:t>
      </w:r>
      <w:r>
        <w:rPr>
          <w:rFonts w:ascii="Arial" w:cs="Arial" w:eastAsia="Arial" w:hAnsi="Arial"/>
          <w:sz w:val="16"/>
          <w:szCs w:val="16"/>
          <w:b w:val="1"/>
          <w:bCs w:val="1"/>
          <w:color w:val="55565A"/>
        </w:rPr>
        <w:t xml:space="preserve"> </w:t>
      </w:r>
      <w:r>
        <w:rPr>
          <w:rFonts w:ascii="Arial" w:cs="Arial" w:eastAsia="Arial" w:hAnsi="Arial"/>
          <w:sz w:val="16"/>
          <w:szCs w:val="16"/>
          <w:color w:val="55565A"/>
        </w:rPr>
        <w:t>generally become more profitable when our revenues increase. When our revenues decline, we generally become less profitable. The second quarter of 2023 and the fourth quarter of 2022 included gains from the sale of certain non-core businesses. In 2022, our operating profit was impacted by the timing of costs associated with our Change Program.</w:t>
      </w:r>
    </w:p>
    <w:p>
      <w:pPr>
        <w:spacing w:after="0" w:line="178"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b w:val="1"/>
          <w:bCs w:val="1"/>
          <w:color w:val="55565A"/>
        </w:rPr>
        <w:t xml:space="preserve">Net earnings (loss) – </w:t>
      </w:r>
      <w:r>
        <w:rPr>
          <w:rFonts w:ascii="Arial" w:cs="Arial" w:eastAsia="Arial" w:hAnsi="Arial"/>
          <w:sz w:val="16"/>
          <w:szCs w:val="16"/>
          <w:color w:val="55565A"/>
        </w:rPr>
        <w:t>Our net earnings (loss) have been significantly impacted by our investment in LSEG in certain periods. The first, second and fourth</w:t>
      </w:r>
      <w:r>
        <w:rPr>
          <w:rFonts w:ascii="Arial" w:cs="Arial" w:eastAsia="Arial" w:hAnsi="Arial"/>
          <w:sz w:val="16"/>
          <w:szCs w:val="16"/>
          <w:b w:val="1"/>
          <w:bCs w:val="1"/>
          <w:color w:val="55565A"/>
        </w:rPr>
        <w:t xml:space="preserve"> </w:t>
      </w:r>
      <w:r>
        <w:rPr>
          <w:rFonts w:ascii="Arial" w:cs="Arial" w:eastAsia="Arial" w:hAnsi="Arial"/>
          <w:sz w:val="16"/>
          <w:szCs w:val="16"/>
          <w:color w:val="55565A"/>
        </w:rPr>
        <w:t>quarters of 2023 and the fourth quarter of 2022 reflected increases in the value of our LSEG investment, while the third quarter of 2023 and second quarter of 2022 reflected decreases in the value of our LSEG investment. While the third quarter of 2022 also included a significant reduction in the value of our LSEG investment, the reduction was virtually all due to the strengthening of the U.S. dollar against the British pound sterling, which was mitigated by gains on foreign exchange contracts related to a portion of the investment, which is denominated in British pound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297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2"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32</w:t>
      </w:r>
    </w:p>
    <w:p>
      <w:pPr>
        <w:sectPr>
          <w:pgSz w:w="11900" w:h="16838" w:orient="portrait"/>
          <w:cols w:equalWidth="0" w:num="1">
            <w:col w:w="11080"/>
          </w:cols>
          <w:pgMar w:left="320" w:top="454"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5565A"/>
        </w:rPr>
        <w:t>Appendix D</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5565A"/>
        </w:rPr>
        <w:t>Guarantor Supplemental Financial Information</w:t>
      </w:r>
    </w:p>
    <w:p>
      <w:pPr>
        <w:spacing w:after="0" w:line="103"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55565A"/>
        </w:rPr>
        <w:t>The following tables set forth consolidating summary financial information in connection with the full and unconditional guarantee by Thomson Reuters Corporation and three U.S. subsidiary guarantors, which are also indirect 100%-owned and consolidated subsidiaries of Thomson Reuters Corporation (referred to as the Guarantor Subsidiaries), of any debt securities issued by TR Finance LLC under a trust indenture to be entered into between Thomson Reuters Corporation, TR Finance LLC, the Guarantor Subsidiaries, Computershare Trust Company of Canada and Deutsche Bank Trust Company Americas. TR Finance LLC is an indirect 100%-owned subsidiary of Thomson Reuters Corporation and was formed with the sole purpose of issuing debt securities. TR Finance LLC has no significant assets or liabilities, as well as no subsidiaries or ongoing business operations of its own. The ability of TR Finance LLC to pay interest, premiums, operating expenses and to meet its debt obligations will depend upon the credit support of Thomson Reuters Corporation and the subsidiary guarantors. See the “Liquidity and Capital Resources” section of this management’s discussion and analysis for additional information.</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6"/>
          <w:szCs w:val="16"/>
          <w:color w:val="55565A"/>
        </w:rPr>
        <w:t>The tables below contain condensed consolidating financial information for the following:</w:t>
      </w:r>
    </w:p>
    <w:p>
      <w:pPr>
        <w:sectPr>
          <w:pgSz w:w="11900" w:h="16838" w:orient="portrait"/>
          <w:cols w:equalWidth="0" w:num="1">
            <w:col w:w="11080"/>
          </w:cols>
          <w:pgMar w:left="320" w:top="454" w:right="499" w:bottom="1440" w:gutter="0" w:footer="0" w:header="0"/>
        </w:sectPr>
      </w:pPr>
    </w:p>
    <w:p>
      <w:pPr>
        <w:spacing w:after="0" w:line="1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2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55565A"/>
        </w:rPr>
        <w:t>Parent – Thomson Reuters Corporation, the direct or indirect owner of all of its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55565A"/>
        </w:rPr>
        <w:t>Subsidiary Issuer – TR Finance LLC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55565A"/>
        </w:rPr>
        <w:t>Guarantor Subsidiaries on a combined basis</w:t>
      </w:r>
    </w:p>
    <w:p>
      <w:pPr>
        <w:spacing w:after="0" w:line="3"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55565A"/>
        </w:rPr>
        <w:t>Non-Guarantor Subsidiaries – Other subsidiaries of Thomson Reuters Corporation on a combined basis that will not guarantee TR Finance LLC debt securities</w:t>
      </w:r>
    </w:p>
    <w:p>
      <w:pPr>
        <w:spacing w:after="0"/>
        <w:rPr>
          <w:sz w:val="20"/>
          <w:szCs w:val="20"/>
          <w:color w:val="auto"/>
        </w:rPr>
      </w:pPr>
      <w:r>
        <w:rPr>
          <w:rFonts w:ascii="Arial" w:cs="Arial" w:eastAsia="Arial" w:hAnsi="Arial"/>
          <w:sz w:val="16"/>
          <w:szCs w:val="16"/>
          <w:color w:val="55565A"/>
        </w:rPr>
        <w:t>Eliminations – Consolidating adjustments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55565A"/>
        </w:rPr>
        <w:t>Thomson Reuters on a consolidated basis</w:t>
      </w:r>
    </w:p>
    <w:p>
      <w:pPr>
        <w:spacing w:after="0" w:line="94" w:lineRule="exact"/>
        <w:rPr>
          <w:sz w:val="20"/>
          <w:szCs w:val="20"/>
          <w:color w:val="auto"/>
        </w:rPr>
      </w:pPr>
    </w:p>
    <w:p>
      <w:pPr>
        <w:sectPr>
          <w:pgSz w:w="11900" w:h="16838" w:orient="portrait"/>
          <w:cols w:equalWidth="0" w:num="2">
            <w:col w:w="220" w:space="260"/>
            <w:col w:w="10600"/>
          </w:cols>
          <w:pgMar w:left="320" w:top="454" w:right="499" w:bottom="1440" w:gutter="0" w:footer="0" w:header="0"/>
          <w:type w:val="continuous"/>
        </w:sectPr>
      </w:pPr>
    </w:p>
    <w:p>
      <w:pPr>
        <w:ind w:left="160" w:right="320"/>
        <w:spacing w:after="0" w:line="279" w:lineRule="auto"/>
        <w:rPr>
          <w:sz w:val="20"/>
          <w:szCs w:val="20"/>
          <w:color w:val="auto"/>
        </w:rPr>
      </w:pPr>
      <w:r>
        <w:rPr>
          <w:rFonts w:ascii="Arial" w:cs="Arial" w:eastAsia="Arial" w:hAnsi="Arial"/>
          <w:sz w:val="16"/>
          <w:szCs w:val="16"/>
          <w:color w:val="55565A"/>
        </w:rPr>
        <w:t>The Guarantor Subsidiaries referred to above are comprised of the following indirect 100%-owned and consolidated subsidiaries of Thomson Reuters Corporation:</w:t>
      </w:r>
    </w:p>
    <w:p>
      <w:pPr>
        <w:sectPr>
          <w:pgSz w:w="11900" w:h="16838" w:orient="portrait"/>
          <w:cols w:equalWidth="0" w:num="1">
            <w:col w:w="11080"/>
          </w:cols>
          <w:pgMar w:left="320" w:top="454" w:right="499" w:bottom="1440" w:gutter="0" w:footer="0" w:header="0"/>
          <w:type w:val="continuous"/>
        </w:sectPr>
      </w:pPr>
    </w:p>
    <w:p>
      <w:pPr>
        <w:spacing w:after="0" w:line="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2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5565A"/>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400"/>
        <w:spacing w:after="0" w:line="254" w:lineRule="auto"/>
        <w:rPr>
          <w:sz w:val="20"/>
          <w:szCs w:val="20"/>
          <w:color w:val="auto"/>
        </w:rPr>
      </w:pPr>
      <w:r>
        <w:rPr>
          <w:rFonts w:ascii="Arial" w:cs="Arial" w:eastAsia="Arial" w:hAnsi="Arial"/>
          <w:sz w:val="16"/>
          <w:szCs w:val="16"/>
          <w:color w:val="55565A"/>
        </w:rPr>
        <w:t>Thomson Reuters Applications Inc., which operates part of the Company’s Legal Professionals, Tax &amp; Accounting Professionals and Corporates businesses;</w:t>
      </w:r>
    </w:p>
    <w:p>
      <w:pPr>
        <w:spacing w:after="0" w:line="1"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55565A"/>
        </w:rPr>
        <w:t>Thomson Reuters (Tax &amp; Accounting) Inc., which operates part of the Company’s Tax &amp; Accounting Professionals and Corporates businesses; and West Publishing Corporation, which operates part of the Company’s Legal Professionals, Corporates and Global Print businesses.</w:t>
      </w:r>
    </w:p>
    <w:p>
      <w:pPr>
        <w:spacing w:after="0" w:line="70" w:lineRule="exact"/>
        <w:rPr>
          <w:sz w:val="20"/>
          <w:szCs w:val="20"/>
          <w:color w:val="auto"/>
        </w:rPr>
      </w:pPr>
    </w:p>
    <w:p>
      <w:pPr>
        <w:sectPr>
          <w:pgSz w:w="11900" w:h="16838" w:orient="portrait"/>
          <w:cols w:equalWidth="0" w:num="2">
            <w:col w:w="220" w:space="260"/>
            <w:col w:w="10600"/>
          </w:cols>
          <w:pgMar w:left="320" w:top="454" w:right="499" w:bottom="1440" w:gutter="0" w:footer="0" w:header="0"/>
          <w:type w:val="continuous"/>
        </w:sectPr>
      </w:pPr>
    </w:p>
    <w:p>
      <w:pPr>
        <w:ind w:left="160" w:right="20"/>
        <w:spacing w:after="0" w:line="251" w:lineRule="auto"/>
        <w:rPr>
          <w:sz w:val="20"/>
          <w:szCs w:val="20"/>
          <w:color w:val="auto"/>
        </w:rPr>
      </w:pPr>
      <w:r>
        <w:rPr>
          <w:rFonts w:ascii="Arial" w:cs="Arial" w:eastAsia="Arial" w:hAnsi="Arial"/>
          <w:sz w:val="16"/>
          <w:szCs w:val="16"/>
          <w:color w:val="55565A"/>
        </w:rPr>
        <w:t>Thomson Reuters Corporation accounts for its investments in subsidiaries using the equity method for purposes of the condensed consolidating financial information. Where subsidiaries are members of a consolidated tax filing group, Thomson Reuters Corporation allocates income tax expense pursuant to the tax sharing agreement among the members of the group, including application of the percentage method whereby members of the consolidated group are reimbursed for losses when they occur, regardless of the ability to use such losses on a standalone basis. We believe that this allocation is a systematic, rational approach for allocation of income tax balances. Adjustments necessary to consolidate the Parent, Guarantor Subsidiaries and Non-Guarantor Subsidiaries are reflected in the “Eliminations” column.</w:t>
      </w:r>
    </w:p>
    <w:p>
      <w:pPr>
        <w:spacing w:after="0" w:line="76" w:lineRule="exact"/>
        <w:rPr>
          <w:sz w:val="20"/>
          <w:szCs w:val="20"/>
          <w:color w:val="auto"/>
        </w:rPr>
      </w:pPr>
    </w:p>
    <w:p>
      <w:pPr>
        <w:ind w:left="160" w:right="520"/>
        <w:spacing w:after="0" w:line="256" w:lineRule="auto"/>
        <w:rPr>
          <w:sz w:val="20"/>
          <w:szCs w:val="20"/>
          <w:color w:val="auto"/>
        </w:rPr>
      </w:pPr>
      <w:r>
        <w:rPr>
          <w:rFonts w:ascii="Arial" w:cs="Arial" w:eastAsia="Arial" w:hAnsi="Arial"/>
          <w:sz w:val="16"/>
          <w:szCs w:val="16"/>
          <w:color w:val="55565A"/>
        </w:rPr>
        <w:t>This basis of presentation is not intended to present the financial position of Thomson Reuters Corporation and the results of its operations for any purpose other than to comply with the specific requirements for guarantor reporting and should be read in conjunction with our consolidated interim financial statements for the three months ended March 31, 2024, our 2023 annual consolidated financial statements, as well as our 2023 annual management’s discussion and analysis included in our 2023 annual report.</w:t>
      </w:r>
    </w:p>
    <w:p>
      <w:pPr>
        <w:spacing w:after="0" w:line="71"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55565A"/>
        </w:rPr>
        <w:t xml:space="preserve">The following condensed consolidating financial information is provided in compliance with the requirements of Section 13.4 of National Instrument 51-102 - </w:t>
      </w:r>
      <w:r>
        <w:rPr>
          <w:rFonts w:ascii="Arial" w:cs="Arial" w:eastAsia="Arial" w:hAnsi="Arial"/>
          <w:sz w:val="16"/>
          <w:szCs w:val="16"/>
          <w:i w:val="1"/>
          <w:iCs w:val="1"/>
          <w:color w:val="55565A"/>
        </w:rPr>
        <w:t>Continuous Disclosure Obligations</w:t>
      </w:r>
      <w:r>
        <w:rPr>
          <w:rFonts w:ascii="Arial" w:cs="Arial" w:eastAsia="Arial" w:hAnsi="Arial"/>
          <w:sz w:val="16"/>
          <w:szCs w:val="16"/>
          <w:color w:val="55565A"/>
        </w:rPr>
        <w:t xml:space="preserve"> providing for an exemption for certain credit support issuers. Thomson Reuters Corporation has also elected to provide the following supplemental financial information in accordance with Article 13 of Regulation S-X, as adopted by the SEC and set forth in SEC Release No. 33-10762.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96520</wp:posOffset>
            </wp:positionV>
            <wp:extent cx="69297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33</w:t>
      </w:r>
    </w:p>
    <w:p>
      <w:pPr>
        <w:sectPr>
          <w:pgSz w:w="11900" w:h="16838" w:orient="portrait"/>
          <w:cols w:equalWidth="0" w:num="1">
            <w:col w:w="11080"/>
          </w:cols>
          <w:pgMar w:left="320" w:top="454" w:right="499" w:bottom="1440" w:gutter="0" w:footer="0" w:header="0"/>
          <w:type w:val="continuous"/>
        </w:sectPr>
      </w:pPr>
    </w:p>
    <w:bookmarkStart w:id="36" w:name="page37"/>
    <w:bookmarkEnd w:id="36"/>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Arial" w:cs="Arial" w:eastAsia="Arial" w:hAnsi="Arial"/>
          <w:sz w:val="14"/>
          <w:szCs w:val="14"/>
          <w:color w:val="55565A"/>
        </w:rPr>
        <w:t>The following condensed consolidating financial information has been prepared in accordance with IFRS, as issued by the IASB and is unaudited.</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CONDENSED CONSOLIDATING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140" w:type="dxa"/>
            <w:vAlign w:val="bottom"/>
            <w:gridSpan w:val="2"/>
          </w:tcPr>
          <w:p>
            <w:pPr>
              <w:jc w:val="right"/>
              <w:ind w:right="45"/>
              <w:spacing w:after="0"/>
              <w:rPr>
                <w:sz w:val="20"/>
                <w:szCs w:val="20"/>
                <w:color w:val="auto"/>
              </w:rPr>
            </w:pPr>
            <w:r>
              <w:rPr>
                <w:rFonts w:ascii="Arial" w:cs="Arial" w:eastAsia="Arial" w:hAnsi="Arial"/>
                <w:sz w:val="14"/>
                <w:szCs w:val="14"/>
                <w:b w:val="1"/>
                <w:bCs w:val="1"/>
                <w:color w:val="55565A"/>
              </w:rPr>
              <w:t>Three months ended March 31, 2024</w:t>
            </w: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jc w:val="right"/>
              <w:ind w:right="225"/>
              <w:spacing w:after="0"/>
              <w:rPr>
                <w:sz w:val="20"/>
                <w:szCs w:val="20"/>
                <w:color w:val="auto"/>
              </w:rPr>
            </w:pPr>
            <w:r>
              <w:rPr>
                <w:rFonts w:ascii="Arial" w:cs="Arial" w:eastAsia="Arial" w:hAnsi="Arial"/>
                <w:sz w:val="14"/>
                <w:szCs w:val="14"/>
                <w:b w:val="1"/>
                <w:bCs w:val="1"/>
                <w:color w:val="55565A"/>
              </w:rPr>
              <w:t>Subsidiary</w:t>
            </w:r>
          </w:p>
        </w:tc>
        <w:tc>
          <w:tcPr>
            <w:tcW w:w="1380" w:type="dxa"/>
            <w:vAlign w:val="bottom"/>
          </w:tcPr>
          <w:p>
            <w:pPr>
              <w:jc w:val="right"/>
              <w:ind w:right="204"/>
              <w:spacing w:after="0"/>
              <w:rPr>
                <w:sz w:val="20"/>
                <w:szCs w:val="20"/>
                <w:color w:val="auto"/>
              </w:rPr>
            </w:pPr>
            <w:r>
              <w:rPr>
                <w:rFonts w:ascii="Arial" w:cs="Arial" w:eastAsia="Arial" w:hAnsi="Arial"/>
                <w:sz w:val="14"/>
                <w:szCs w:val="14"/>
                <w:b w:val="1"/>
                <w:bCs w:val="1"/>
                <w:color w:val="55565A"/>
              </w:rPr>
              <w:t>Guarantor</w:t>
            </w:r>
          </w:p>
        </w:tc>
        <w:tc>
          <w:tcPr>
            <w:tcW w:w="1760" w:type="dxa"/>
            <w:vAlign w:val="bottom"/>
          </w:tcPr>
          <w:p>
            <w:pPr>
              <w:jc w:val="right"/>
              <w:ind w:right="405"/>
              <w:spacing w:after="0"/>
              <w:rPr>
                <w:sz w:val="20"/>
                <w:szCs w:val="20"/>
                <w:color w:val="auto"/>
              </w:rPr>
            </w:pPr>
            <w:r>
              <w:rPr>
                <w:rFonts w:ascii="Arial" w:cs="Arial" w:eastAsia="Arial" w:hAnsi="Arial"/>
                <w:sz w:val="14"/>
                <w:szCs w:val="14"/>
                <w:b w:val="1"/>
                <w:bCs w:val="1"/>
                <w:color w:val="55565A"/>
              </w:rPr>
              <w:t>Non-Guarantor</w:t>
            </w: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40" w:type="dxa"/>
            <w:vAlign w:val="bottom"/>
            <w:gridSpan w:val="2"/>
          </w:tcPr>
          <w:p>
            <w:pPr>
              <w:spacing w:after="0"/>
              <w:rPr>
                <w:sz w:val="20"/>
                <w:szCs w:val="20"/>
                <w:color w:val="auto"/>
              </w:rPr>
            </w:pPr>
            <w:r>
              <w:rPr>
                <w:rFonts w:ascii="Arial" w:cs="Arial" w:eastAsia="Arial" w:hAnsi="Arial"/>
                <w:sz w:val="14"/>
                <w:szCs w:val="14"/>
                <w:b w:val="1"/>
                <w:bCs w:val="1"/>
                <w:color w:val="55565A"/>
              </w:rPr>
              <w:t>(millions of U.S. dollars)</w:t>
            </w:r>
          </w:p>
        </w:tc>
        <w:tc>
          <w:tcPr>
            <w:tcW w:w="940" w:type="dxa"/>
            <w:vAlign w:val="bottom"/>
          </w:tcPr>
          <w:p>
            <w:pPr>
              <w:jc w:val="right"/>
              <w:ind w:right="186"/>
              <w:spacing w:after="0"/>
              <w:rPr>
                <w:sz w:val="20"/>
                <w:szCs w:val="20"/>
                <w:color w:val="auto"/>
              </w:rPr>
            </w:pPr>
            <w:r>
              <w:rPr>
                <w:rFonts w:ascii="Arial" w:cs="Arial" w:eastAsia="Arial" w:hAnsi="Arial"/>
                <w:sz w:val="14"/>
                <w:szCs w:val="14"/>
                <w:b w:val="1"/>
                <w:bCs w:val="1"/>
                <w:color w:val="55565A"/>
              </w:rPr>
              <w:t>Parent</w:t>
            </w:r>
          </w:p>
        </w:tc>
        <w:tc>
          <w:tcPr>
            <w:tcW w:w="1240" w:type="dxa"/>
            <w:vAlign w:val="bottom"/>
          </w:tcPr>
          <w:p>
            <w:pPr>
              <w:jc w:val="right"/>
              <w:ind w:right="225"/>
              <w:spacing w:after="0"/>
              <w:rPr>
                <w:sz w:val="20"/>
                <w:szCs w:val="20"/>
                <w:color w:val="auto"/>
              </w:rPr>
            </w:pPr>
            <w:r>
              <w:rPr>
                <w:rFonts w:ascii="Arial" w:cs="Arial" w:eastAsia="Arial" w:hAnsi="Arial"/>
                <w:sz w:val="14"/>
                <w:szCs w:val="14"/>
                <w:b w:val="1"/>
                <w:bCs w:val="1"/>
                <w:color w:val="55565A"/>
              </w:rPr>
              <w:t>Issuer</w:t>
            </w:r>
          </w:p>
        </w:tc>
        <w:tc>
          <w:tcPr>
            <w:tcW w:w="1380" w:type="dxa"/>
            <w:vAlign w:val="bottom"/>
          </w:tcPr>
          <w:p>
            <w:pPr>
              <w:jc w:val="right"/>
              <w:ind w:right="204"/>
              <w:spacing w:after="0"/>
              <w:rPr>
                <w:sz w:val="20"/>
                <w:szCs w:val="20"/>
                <w:color w:val="auto"/>
              </w:rPr>
            </w:pPr>
            <w:r>
              <w:rPr>
                <w:rFonts w:ascii="Arial" w:cs="Arial" w:eastAsia="Arial" w:hAnsi="Arial"/>
                <w:sz w:val="14"/>
                <w:szCs w:val="14"/>
                <w:b w:val="1"/>
                <w:bCs w:val="1"/>
                <w:color w:val="55565A"/>
              </w:rPr>
              <w:t>Subsidiaries</w:t>
            </w:r>
          </w:p>
        </w:tc>
        <w:tc>
          <w:tcPr>
            <w:tcW w:w="1760" w:type="dxa"/>
            <w:vAlign w:val="bottom"/>
          </w:tcPr>
          <w:p>
            <w:pPr>
              <w:jc w:val="right"/>
              <w:ind w:right="405"/>
              <w:spacing w:after="0"/>
              <w:rPr>
                <w:sz w:val="20"/>
                <w:szCs w:val="20"/>
                <w:color w:val="auto"/>
              </w:rPr>
            </w:pPr>
            <w:r>
              <w:rPr>
                <w:rFonts w:ascii="Arial" w:cs="Arial" w:eastAsia="Arial" w:hAnsi="Arial"/>
                <w:sz w:val="14"/>
                <w:szCs w:val="14"/>
                <w:b w:val="1"/>
                <w:bCs w:val="1"/>
                <w:color w:val="55565A"/>
              </w:rPr>
              <w:t>Subsidiaries</w:t>
            </w:r>
          </w:p>
        </w:tc>
        <w:tc>
          <w:tcPr>
            <w:tcW w:w="1220" w:type="dxa"/>
            <w:vAlign w:val="bottom"/>
          </w:tcPr>
          <w:p>
            <w:pPr>
              <w:jc w:val="right"/>
              <w:ind w:right="246"/>
              <w:spacing w:after="0"/>
              <w:rPr>
                <w:sz w:val="20"/>
                <w:szCs w:val="20"/>
                <w:color w:val="auto"/>
              </w:rPr>
            </w:pPr>
            <w:r>
              <w:rPr>
                <w:rFonts w:ascii="Arial" w:cs="Arial" w:eastAsia="Arial" w:hAnsi="Arial"/>
                <w:sz w:val="14"/>
                <w:szCs w:val="14"/>
                <w:b w:val="1"/>
                <w:bCs w:val="1"/>
                <w:color w:val="55565A"/>
              </w:rPr>
              <w:t>Eliminations</w:t>
            </w:r>
          </w:p>
        </w:tc>
        <w:tc>
          <w:tcPr>
            <w:tcW w:w="1440" w:type="dxa"/>
            <w:vAlign w:val="bottom"/>
          </w:tcPr>
          <w:p>
            <w:pPr>
              <w:jc w:val="right"/>
              <w:ind w:right="166"/>
              <w:spacing w:after="0"/>
              <w:rPr>
                <w:sz w:val="20"/>
                <w:szCs w:val="20"/>
                <w:color w:val="auto"/>
              </w:rPr>
            </w:pPr>
            <w:r>
              <w:rPr>
                <w:rFonts w:ascii="Arial" w:cs="Arial" w:eastAsia="Arial" w:hAnsi="Arial"/>
                <w:sz w:val="14"/>
                <w:szCs w:val="14"/>
                <w:b w:val="1"/>
                <w:bCs w:val="1"/>
                <w:color w:val="55565A"/>
              </w:rPr>
              <w:t>Consolidated</w:t>
            </w:r>
          </w:p>
        </w:tc>
        <w:tc>
          <w:tcPr>
            <w:tcW w:w="0" w:type="dxa"/>
            <w:vAlign w:val="bottom"/>
          </w:tcPr>
          <w:p>
            <w:pPr>
              <w:spacing w:after="0"/>
              <w:rPr>
                <w:sz w:val="1"/>
                <w:szCs w:val="1"/>
                <w:color w:val="auto"/>
              </w:rPr>
            </w:pPr>
          </w:p>
        </w:tc>
      </w:tr>
      <w:tr>
        <w:trPr>
          <w:trHeight w:val="102"/>
        </w:trPr>
        <w:tc>
          <w:tcPr>
            <w:tcW w:w="294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20" w:type="dxa"/>
            <w:vAlign w:val="bottom"/>
            <w:tcBorders>
              <w:top w:val="single" w:sz="8" w:color="88888B"/>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55565A"/>
              </w:rPr>
              <w:t>CONTINUING OPERATIONS</w:t>
            </w:r>
          </w:p>
        </w:tc>
        <w:tc>
          <w:tcPr>
            <w:tcW w:w="940" w:type="dxa"/>
            <w:vAlign w:val="bottom"/>
            <w:tcBorders>
              <w:top w:val="single" w:sz="8" w:color="88888B"/>
              <w:bottom w:val="single" w:sz="8" w:color="CCEEFF"/>
            </w:tcBorders>
            <w:shd w:val="clear" w:color="auto" w:fill="CCEEFF"/>
          </w:tcPr>
          <w:p>
            <w:pPr>
              <w:spacing w:after="0"/>
              <w:rPr>
                <w:sz w:val="18"/>
                <w:szCs w:val="18"/>
                <w:color w:val="auto"/>
              </w:rPr>
            </w:pPr>
          </w:p>
        </w:tc>
        <w:tc>
          <w:tcPr>
            <w:tcW w:w="1240" w:type="dxa"/>
            <w:vAlign w:val="bottom"/>
            <w:tcBorders>
              <w:top w:val="single" w:sz="8" w:color="88888B"/>
              <w:bottom w:val="single" w:sz="8" w:color="CCEEFF"/>
            </w:tcBorders>
            <w:shd w:val="clear" w:color="auto" w:fill="CCEEFF"/>
          </w:tcPr>
          <w:p>
            <w:pPr>
              <w:spacing w:after="0"/>
              <w:rPr>
                <w:sz w:val="18"/>
                <w:szCs w:val="18"/>
                <w:color w:val="auto"/>
              </w:rPr>
            </w:pPr>
          </w:p>
        </w:tc>
        <w:tc>
          <w:tcPr>
            <w:tcW w:w="1380" w:type="dxa"/>
            <w:vAlign w:val="bottom"/>
            <w:tcBorders>
              <w:top w:val="single" w:sz="8" w:color="88888B"/>
              <w:bottom w:val="single" w:sz="8" w:color="CCEEFF"/>
            </w:tcBorders>
            <w:shd w:val="clear" w:color="auto" w:fill="CCEEFF"/>
          </w:tcPr>
          <w:p>
            <w:pPr>
              <w:spacing w:after="0"/>
              <w:rPr>
                <w:sz w:val="18"/>
                <w:szCs w:val="18"/>
                <w:color w:val="auto"/>
              </w:rPr>
            </w:pPr>
          </w:p>
        </w:tc>
        <w:tc>
          <w:tcPr>
            <w:tcW w:w="1760" w:type="dxa"/>
            <w:vAlign w:val="bottom"/>
            <w:tcBorders>
              <w:top w:val="single" w:sz="8" w:color="88888B"/>
              <w:bottom w:val="single" w:sz="8" w:color="CCEEFF"/>
            </w:tcBorders>
            <w:shd w:val="clear" w:color="auto" w:fill="CCEEFF"/>
          </w:tcPr>
          <w:p>
            <w:pPr>
              <w:spacing w:after="0"/>
              <w:rPr>
                <w:sz w:val="18"/>
                <w:szCs w:val="18"/>
                <w:color w:val="auto"/>
              </w:rPr>
            </w:pPr>
          </w:p>
        </w:tc>
        <w:tc>
          <w:tcPr>
            <w:tcW w:w="1220" w:type="dxa"/>
            <w:vAlign w:val="bottom"/>
            <w:tcBorders>
              <w:top w:val="single" w:sz="8" w:color="88888B"/>
              <w:bottom w:val="single" w:sz="8" w:color="CCEEFF"/>
            </w:tcBorders>
            <w:shd w:val="clear" w:color="auto" w:fill="CCEEFF"/>
          </w:tcPr>
          <w:p>
            <w:pPr>
              <w:spacing w:after="0"/>
              <w:rPr>
                <w:sz w:val="18"/>
                <w:szCs w:val="18"/>
                <w:color w:val="auto"/>
              </w:rPr>
            </w:pPr>
          </w:p>
        </w:tc>
        <w:tc>
          <w:tcPr>
            <w:tcW w:w="1440" w:type="dxa"/>
            <w:vAlign w:val="bottom"/>
            <w:tcBorders>
              <w:top w:val="single" w:sz="8" w:color="88888B"/>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Arial" w:cs="Arial" w:eastAsia="Arial" w:hAnsi="Arial"/>
                <w:sz w:val="11"/>
                <w:szCs w:val="11"/>
                <w:color w:val="55565A"/>
              </w:rPr>
              <w:t>Revenues</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b w:val="1"/>
                <w:bCs w:val="1"/>
                <w:color w:val="55565A"/>
              </w:rPr>
              <w:t>559</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b w:val="1"/>
                <w:bCs w:val="1"/>
                <w:color w:val="55565A"/>
              </w:rPr>
              <w:t>1,502</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55565A"/>
              </w:rPr>
              <w:t>(176)</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55565A"/>
              </w:rPr>
              <w:t>1,885</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Operating expenses</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55565A"/>
              </w:rPr>
              <w:t>(5)</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b w:val="1"/>
                <w:bCs w:val="1"/>
                <w:color w:val="55565A"/>
              </w:rPr>
              <w:t>(415)</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b w:val="1"/>
                <w:bCs w:val="1"/>
                <w:color w:val="55565A"/>
              </w:rPr>
              <w:t>(837)</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b w:val="1"/>
                <w:bCs w:val="1"/>
                <w:color w:val="55565A"/>
              </w:rPr>
              <w:t>176</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b w:val="1"/>
                <w:bCs w:val="1"/>
                <w:color w:val="55565A"/>
              </w:rPr>
              <w:t>(1,081)</w:t>
            </w: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Arial" w:cs="Arial" w:eastAsia="Arial" w:hAnsi="Arial"/>
                <w:sz w:val="11"/>
                <w:szCs w:val="11"/>
                <w:color w:val="55565A"/>
              </w:rPr>
              <w:t>Depreciation</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b w:val="1"/>
                <w:bCs w:val="1"/>
                <w:color w:val="55565A"/>
              </w:rPr>
              <w:t>(9)</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b w:val="1"/>
                <w:bCs w:val="1"/>
                <w:color w:val="55565A"/>
              </w:rPr>
              <w:t>(19)</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55565A"/>
              </w:rPr>
              <w:t>(28)</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Amortization of computer software</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55565A"/>
              </w:rPr>
              <w:t>–</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b w:val="1"/>
                <w:bCs w:val="1"/>
                <w:color w:val="55565A"/>
              </w:rPr>
              <w:t>(4)</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b w:val="1"/>
                <w:bCs w:val="1"/>
                <w:color w:val="55565A"/>
              </w:rPr>
              <w:t>(149)</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b w:val="1"/>
                <w:bCs w:val="1"/>
                <w:color w:val="55565A"/>
              </w:rPr>
              <w:t>–</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b w:val="1"/>
                <w:bCs w:val="1"/>
                <w:color w:val="55565A"/>
              </w:rPr>
              <w:t>(153)</w:t>
            </w: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Arial" w:cs="Arial" w:eastAsia="Arial" w:hAnsi="Arial"/>
                <w:sz w:val="11"/>
                <w:szCs w:val="11"/>
                <w:color w:val="55565A"/>
              </w:rPr>
              <w:t>Amortization of other identifiable intangible assets</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b w:val="1"/>
                <w:bCs w:val="1"/>
                <w:color w:val="55565A"/>
              </w:rPr>
              <w:t>(10)</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b w:val="1"/>
                <w:bCs w:val="1"/>
                <w:color w:val="55565A"/>
              </w:rPr>
              <w:t>(15)</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55565A"/>
              </w:rPr>
              <w:t>(25)</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Other operating losses, net</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55565A"/>
              </w:rPr>
              <w:t>–</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b w:val="1"/>
                <w:bCs w:val="1"/>
                <w:color w:val="55565A"/>
              </w:rPr>
              <w:t>(5)</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b w:val="1"/>
                <w:bCs w:val="1"/>
                <w:color w:val="55565A"/>
              </w:rPr>
              <w:t>(36)</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b w:val="1"/>
                <w:bCs w:val="1"/>
                <w:color w:val="55565A"/>
              </w:rPr>
              <w:t>–</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b w:val="1"/>
                <w:bCs w:val="1"/>
                <w:color w:val="55565A"/>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88888B"/>
          </w:tcPr>
          <w:p>
            <w:pPr>
              <w:spacing w:after="0" w:line="20" w:lineRule="exact"/>
              <w:rPr>
                <w:sz w:val="1"/>
                <w:szCs w:val="1"/>
                <w:color w:val="auto"/>
              </w:rPr>
            </w:pPr>
          </w:p>
        </w:tc>
        <w:tc>
          <w:tcPr>
            <w:tcW w:w="940" w:type="dxa"/>
            <w:vAlign w:val="bottom"/>
            <w:shd w:val="clear" w:color="auto" w:fill="88888B"/>
          </w:tcPr>
          <w:p>
            <w:pPr>
              <w:spacing w:after="0" w:line="20" w:lineRule="exact"/>
              <w:rPr>
                <w:sz w:val="1"/>
                <w:szCs w:val="1"/>
                <w:color w:val="auto"/>
              </w:rPr>
            </w:pPr>
          </w:p>
        </w:tc>
        <w:tc>
          <w:tcPr>
            <w:tcW w:w="1240" w:type="dxa"/>
            <w:vAlign w:val="bottom"/>
            <w:shd w:val="clear" w:color="auto" w:fill="88888B"/>
          </w:tcPr>
          <w:p>
            <w:pPr>
              <w:spacing w:after="0" w:line="20" w:lineRule="exact"/>
              <w:rPr>
                <w:sz w:val="1"/>
                <w:szCs w:val="1"/>
                <w:color w:val="auto"/>
              </w:rPr>
            </w:pPr>
          </w:p>
        </w:tc>
        <w:tc>
          <w:tcPr>
            <w:tcW w:w="1380" w:type="dxa"/>
            <w:vAlign w:val="bottom"/>
            <w:shd w:val="clear" w:color="auto" w:fill="88888B"/>
          </w:tcPr>
          <w:p>
            <w:pPr>
              <w:spacing w:after="0" w:line="20" w:lineRule="exact"/>
              <w:rPr>
                <w:sz w:val="1"/>
                <w:szCs w:val="1"/>
                <w:color w:val="auto"/>
              </w:rPr>
            </w:pPr>
          </w:p>
        </w:tc>
        <w:tc>
          <w:tcPr>
            <w:tcW w:w="1760" w:type="dxa"/>
            <w:vAlign w:val="bottom"/>
            <w:shd w:val="clear" w:color="auto" w:fill="88888B"/>
          </w:tcPr>
          <w:p>
            <w:pPr>
              <w:spacing w:after="0" w:line="20" w:lineRule="exact"/>
              <w:rPr>
                <w:sz w:val="1"/>
                <w:szCs w:val="1"/>
                <w:color w:val="auto"/>
              </w:rPr>
            </w:pPr>
          </w:p>
        </w:tc>
        <w:tc>
          <w:tcPr>
            <w:tcW w:w="1220" w:type="dxa"/>
            <w:vAlign w:val="bottom"/>
            <w:shd w:val="clear" w:color="auto" w:fill="88888B"/>
          </w:tcPr>
          <w:p>
            <w:pPr>
              <w:spacing w:after="0" w:line="20" w:lineRule="exact"/>
              <w:rPr>
                <w:sz w:val="1"/>
                <w:szCs w:val="1"/>
                <w:color w:val="auto"/>
              </w:rPr>
            </w:pPr>
          </w:p>
        </w:tc>
        <w:tc>
          <w:tcPr>
            <w:tcW w:w="1440" w:type="dxa"/>
            <w:vAlign w:val="bottom"/>
            <w:shd w:val="clear" w:color="auto" w:fill="8888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40" w:type="dxa"/>
            <w:vAlign w:val="bottom"/>
            <w:gridSpan w:val="2"/>
          </w:tcPr>
          <w:p>
            <w:pPr>
              <w:spacing w:after="0"/>
              <w:rPr>
                <w:sz w:val="20"/>
                <w:szCs w:val="20"/>
                <w:color w:val="auto"/>
              </w:rPr>
            </w:pPr>
            <w:r>
              <w:rPr>
                <w:rFonts w:ascii="Arial" w:cs="Arial" w:eastAsia="Arial" w:hAnsi="Arial"/>
                <w:sz w:val="11"/>
                <w:szCs w:val="11"/>
                <w:color w:val="55565A"/>
              </w:rPr>
              <w:t>Operating (loss) profit</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55565A"/>
              </w:rPr>
              <w:t>(5)</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b w:val="1"/>
                <w:bCs w:val="1"/>
                <w:color w:val="55565A"/>
              </w:rPr>
              <w:t>116</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b w:val="1"/>
                <w:bCs w:val="1"/>
                <w:color w:val="55565A"/>
              </w:rPr>
              <w:t>446</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55565A"/>
              </w:rPr>
              <w:t>557</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Finance (costs) income, net:</w:t>
            </w:r>
          </w:p>
        </w:tc>
        <w:tc>
          <w:tcPr>
            <w:tcW w:w="9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1"/>
                <w:szCs w:val="11"/>
                <w:color w:val="55565A"/>
              </w:rPr>
              <w:t>Net interest (expense) income</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55565A"/>
              </w:rPr>
              <w:t>(38)</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b w:val="1"/>
                <w:bCs w:val="1"/>
                <w:color w:val="55565A"/>
              </w:rPr>
              <w:t>1</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b w:val="1"/>
                <w:bCs w:val="1"/>
                <w:color w:val="55565A"/>
              </w:rPr>
              <w:t>(3)</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55565A"/>
              </w:rPr>
              <w:t>(40)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55565A"/>
              </w:rPr>
              <w:t>Other finance (costs) income</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55565A"/>
              </w:rPr>
              <w:t>(20)</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b w:val="1"/>
                <w:bCs w:val="1"/>
                <w:color w:val="55565A"/>
              </w:rPr>
              <w:t>1</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b w:val="1"/>
                <w:bCs w:val="1"/>
                <w:color w:val="55565A"/>
              </w:rPr>
              <w:t>41</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b w:val="1"/>
                <w:bCs w:val="1"/>
                <w:color w:val="55565A"/>
              </w:rPr>
              <w:t>–</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b w:val="1"/>
                <w:bCs w:val="1"/>
                <w:color w:val="55565A"/>
              </w:rPr>
              <w:t>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1"/>
                <w:szCs w:val="11"/>
                <w:color w:val="55565A"/>
              </w:rPr>
              <w:t>Intercompany net interest income (expense)</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55565A"/>
              </w:rPr>
              <w:t>30</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b w:val="1"/>
                <w:bCs w:val="1"/>
                <w:color w:val="55565A"/>
              </w:rPr>
              <w:t>(15)</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b w:val="1"/>
                <w:bCs w:val="1"/>
                <w:color w:val="55565A"/>
              </w:rPr>
              <w:t>(15)</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55565A"/>
              </w:rPr>
              <w: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920" w:type="dxa"/>
            <w:vAlign w:val="bottom"/>
            <w:tcBorders>
              <w:bottom w:val="single" w:sz="8" w:color="88888B"/>
            </w:tcBorders>
          </w:tcPr>
          <w:p>
            <w:pPr>
              <w:spacing w:after="0"/>
              <w:rPr>
                <w:sz w:val="4"/>
                <w:szCs w:val="4"/>
                <w:color w:val="auto"/>
              </w:rPr>
            </w:pPr>
          </w:p>
        </w:tc>
        <w:tc>
          <w:tcPr>
            <w:tcW w:w="940" w:type="dxa"/>
            <w:vAlign w:val="bottom"/>
            <w:tcBorders>
              <w:bottom w:val="single" w:sz="8" w:color="88888B"/>
            </w:tcBorders>
            <w:vMerge w:val="continue"/>
          </w:tcPr>
          <w:p>
            <w:pPr>
              <w:spacing w:after="0"/>
              <w:rPr>
                <w:sz w:val="4"/>
                <w:szCs w:val="4"/>
                <w:color w:val="auto"/>
              </w:rPr>
            </w:pPr>
          </w:p>
        </w:tc>
        <w:tc>
          <w:tcPr>
            <w:tcW w:w="1240" w:type="dxa"/>
            <w:vAlign w:val="bottom"/>
            <w:tcBorders>
              <w:bottom w:val="single" w:sz="8" w:color="88888B"/>
            </w:tcBorders>
            <w:vMerge w:val="continue"/>
          </w:tcPr>
          <w:p>
            <w:pPr>
              <w:spacing w:after="0"/>
              <w:rPr>
                <w:sz w:val="4"/>
                <w:szCs w:val="4"/>
                <w:color w:val="auto"/>
              </w:rPr>
            </w:pPr>
          </w:p>
        </w:tc>
        <w:tc>
          <w:tcPr>
            <w:tcW w:w="1380" w:type="dxa"/>
            <w:vAlign w:val="bottom"/>
            <w:tcBorders>
              <w:bottom w:val="single" w:sz="8" w:color="88888B"/>
            </w:tcBorders>
            <w:vMerge w:val="continue"/>
          </w:tcPr>
          <w:p>
            <w:pPr>
              <w:spacing w:after="0"/>
              <w:rPr>
                <w:sz w:val="4"/>
                <w:szCs w:val="4"/>
                <w:color w:val="auto"/>
              </w:rPr>
            </w:pPr>
          </w:p>
        </w:tc>
        <w:tc>
          <w:tcPr>
            <w:tcW w:w="1760" w:type="dxa"/>
            <w:vAlign w:val="bottom"/>
            <w:tcBorders>
              <w:bottom w:val="single" w:sz="8" w:color="88888B"/>
            </w:tcBorders>
            <w:vMerge w:val="continue"/>
          </w:tcPr>
          <w:p>
            <w:pPr>
              <w:spacing w:after="0"/>
              <w:rPr>
                <w:sz w:val="4"/>
                <w:szCs w:val="4"/>
                <w:color w:val="auto"/>
              </w:rPr>
            </w:pPr>
          </w:p>
        </w:tc>
        <w:tc>
          <w:tcPr>
            <w:tcW w:w="1220" w:type="dxa"/>
            <w:vAlign w:val="bottom"/>
            <w:tcBorders>
              <w:bottom w:val="single" w:sz="8" w:color="88888B"/>
            </w:tcBorders>
            <w:vMerge w:val="continue"/>
          </w:tcPr>
          <w:p>
            <w:pPr>
              <w:spacing w:after="0"/>
              <w:rPr>
                <w:sz w:val="4"/>
                <w:szCs w:val="4"/>
                <w:color w:val="auto"/>
              </w:rPr>
            </w:pPr>
          </w:p>
        </w:tc>
        <w:tc>
          <w:tcPr>
            <w:tcW w:w="1440" w:type="dxa"/>
            <w:vAlign w:val="bottom"/>
            <w:tcBorders>
              <w:bottom w:val="single" w:sz="8" w:color="88888B"/>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(Loss) income before tax and equity method investments</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55565A"/>
              </w:rPr>
              <w:t>(33)</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b w:val="1"/>
                <w:bCs w:val="1"/>
                <w:color w:val="55565A"/>
              </w:rPr>
              <w:t>103</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b w:val="1"/>
                <w:bCs w:val="1"/>
                <w:color w:val="55565A"/>
              </w:rPr>
              <w:t>469</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b w:val="1"/>
                <w:bCs w:val="1"/>
                <w:color w:val="55565A"/>
              </w:rPr>
              <w:t>–</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b w:val="1"/>
                <w:bCs w:val="1"/>
                <w:color w:val="55565A"/>
              </w:rPr>
              <w:t>539</w:t>
            </w: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Arial" w:cs="Arial" w:eastAsia="Arial" w:hAnsi="Arial"/>
                <w:sz w:val="11"/>
                <w:szCs w:val="11"/>
                <w:color w:val="55565A"/>
              </w:rPr>
              <w:t>Share of post-tax losses in equity method investments</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b w:val="1"/>
                <w:bCs w:val="1"/>
                <w:color w:val="55565A"/>
              </w:rPr>
              <w:t>–</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b w:val="1"/>
                <w:bCs w:val="1"/>
                <w:color w:val="55565A"/>
              </w:rPr>
              <w:t>(8)</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55565A"/>
              </w:rPr>
              <w:t>(8)</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Share of post-tax earnings (losses) in subsidiaries</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55565A"/>
              </w:rPr>
              <w:t>511</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b w:val="1"/>
                <w:bCs w:val="1"/>
                <w:color w:val="55565A"/>
              </w:rPr>
              <w:t>(1)</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b w:val="1"/>
                <w:bCs w:val="1"/>
                <w:color w:val="55565A"/>
              </w:rPr>
              <w:t>79</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b w:val="1"/>
                <w:bCs w:val="1"/>
                <w:color w:val="55565A"/>
              </w:rPr>
              <w:t>(589)</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b w:val="1"/>
                <w:bCs w:val="1"/>
                <w:color w:val="55565A"/>
              </w:rPr>
              <w:t>–</w:t>
            </w: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Arial" w:cs="Arial" w:eastAsia="Arial" w:hAnsi="Arial"/>
                <w:sz w:val="11"/>
                <w:szCs w:val="11"/>
                <w:color w:val="55565A"/>
              </w:rPr>
              <w:t>Tax expense</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b w:val="1"/>
                <w:bCs w:val="1"/>
                <w:color w:val="55565A"/>
              </w:rPr>
              <w:t>(24)</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b w:val="1"/>
                <w:bCs w:val="1"/>
                <w:color w:val="55565A"/>
              </w:rPr>
              <w:t>(43)</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55565A"/>
              </w:rPr>
              <w:t>(67)</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920" w:type="dxa"/>
            <w:vAlign w:val="bottom"/>
            <w:tcBorders>
              <w:bottom w:val="single" w:sz="8" w:color="88888B"/>
            </w:tcBorders>
          </w:tcPr>
          <w:p>
            <w:pPr>
              <w:spacing w:after="0"/>
              <w:rPr>
                <w:sz w:val="4"/>
                <w:szCs w:val="4"/>
                <w:color w:val="auto"/>
              </w:rPr>
            </w:pPr>
          </w:p>
        </w:tc>
        <w:tc>
          <w:tcPr>
            <w:tcW w:w="940" w:type="dxa"/>
            <w:vAlign w:val="bottom"/>
            <w:tcBorders>
              <w:bottom w:val="single" w:sz="8" w:color="88888B"/>
            </w:tcBorders>
            <w:vMerge w:val="continue"/>
          </w:tcPr>
          <w:p>
            <w:pPr>
              <w:spacing w:after="0"/>
              <w:rPr>
                <w:sz w:val="4"/>
                <w:szCs w:val="4"/>
                <w:color w:val="auto"/>
              </w:rPr>
            </w:pPr>
          </w:p>
        </w:tc>
        <w:tc>
          <w:tcPr>
            <w:tcW w:w="1240" w:type="dxa"/>
            <w:vAlign w:val="bottom"/>
            <w:tcBorders>
              <w:bottom w:val="single" w:sz="8" w:color="88888B"/>
            </w:tcBorders>
            <w:vMerge w:val="continue"/>
          </w:tcPr>
          <w:p>
            <w:pPr>
              <w:spacing w:after="0"/>
              <w:rPr>
                <w:sz w:val="4"/>
                <w:szCs w:val="4"/>
                <w:color w:val="auto"/>
              </w:rPr>
            </w:pPr>
          </w:p>
        </w:tc>
        <w:tc>
          <w:tcPr>
            <w:tcW w:w="1380" w:type="dxa"/>
            <w:vAlign w:val="bottom"/>
            <w:tcBorders>
              <w:bottom w:val="single" w:sz="8" w:color="88888B"/>
            </w:tcBorders>
            <w:vMerge w:val="continue"/>
          </w:tcPr>
          <w:p>
            <w:pPr>
              <w:spacing w:after="0"/>
              <w:rPr>
                <w:sz w:val="4"/>
                <w:szCs w:val="4"/>
                <w:color w:val="auto"/>
              </w:rPr>
            </w:pPr>
          </w:p>
        </w:tc>
        <w:tc>
          <w:tcPr>
            <w:tcW w:w="1760" w:type="dxa"/>
            <w:vAlign w:val="bottom"/>
            <w:tcBorders>
              <w:bottom w:val="single" w:sz="8" w:color="88888B"/>
            </w:tcBorders>
            <w:vMerge w:val="continue"/>
          </w:tcPr>
          <w:p>
            <w:pPr>
              <w:spacing w:after="0"/>
              <w:rPr>
                <w:sz w:val="4"/>
                <w:szCs w:val="4"/>
                <w:color w:val="auto"/>
              </w:rPr>
            </w:pPr>
          </w:p>
        </w:tc>
        <w:tc>
          <w:tcPr>
            <w:tcW w:w="1220" w:type="dxa"/>
            <w:vAlign w:val="bottom"/>
            <w:tcBorders>
              <w:bottom w:val="single" w:sz="8" w:color="88888B"/>
            </w:tcBorders>
            <w:vMerge w:val="continue"/>
          </w:tcPr>
          <w:p>
            <w:pPr>
              <w:spacing w:after="0"/>
              <w:rPr>
                <w:sz w:val="4"/>
                <w:szCs w:val="4"/>
                <w:color w:val="auto"/>
              </w:rPr>
            </w:pPr>
          </w:p>
        </w:tc>
        <w:tc>
          <w:tcPr>
            <w:tcW w:w="1440" w:type="dxa"/>
            <w:vAlign w:val="bottom"/>
            <w:tcBorders>
              <w:bottom w:val="single" w:sz="8" w:color="88888B"/>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55565A"/>
              </w:rPr>
              <w:t>Earnings from continuing operations</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55565A"/>
              </w:rPr>
              <w:t>478</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b w:val="1"/>
                <w:bCs w:val="1"/>
                <w:color w:val="55565A"/>
              </w:rPr>
              <w:t>78</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b w:val="1"/>
                <w:bCs w:val="1"/>
                <w:color w:val="55565A"/>
              </w:rPr>
              <w:t>497</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b w:val="1"/>
                <w:bCs w:val="1"/>
                <w:color w:val="55565A"/>
              </w:rPr>
              <w:t>(589)</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b w:val="1"/>
                <w:bCs w:val="1"/>
                <w:color w:val="55565A"/>
              </w:rPr>
              <w:t>464</w:t>
            </w: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Arial" w:cs="Arial" w:eastAsia="Arial" w:hAnsi="Arial"/>
                <w:sz w:val="11"/>
                <w:szCs w:val="11"/>
                <w:color w:val="55565A"/>
              </w:rPr>
              <w:t>Earnings from discontinued operations, net of tax</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b w:val="1"/>
                <w:bCs w:val="1"/>
                <w:color w:val="55565A"/>
              </w:rPr>
              <w:t>–</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b w:val="1"/>
                <w:bCs w:val="1"/>
                <w:color w:val="55565A"/>
              </w:rPr>
              <w:t>14</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55565A"/>
              </w:rPr>
              <w:t>14</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920" w:type="dxa"/>
            <w:vAlign w:val="bottom"/>
            <w:tcBorders>
              <w:bottom w:val="single" w:sz="8" w:color="88888B"/>
            </w:tcBorders>
          </w:tcPr>
          <w:p>
            <w:pPr>
              <w:spacing w:after="0"/>
              <w:rPr>
                <w:sz w:val="4"/>
                <w:szCs w:val="4"/>
                <w:color w:val="auto"/>
              </w:rPr>
            </w:pPr>
          </w:p>
        </w:tc>
        <w:tc>
          <w:tcPr>
            <w:tcW w:w="940" w:type="dxa"/>
            <w:vAlign w:val="bottom"/>
            <w:tcBorders>
              <w:bottom w:val="single" w:sz="8" w:color="88888B"/>
            </w:tcBorders>
            <w:vMerge w:val="continue"/>
          </w:tcPr>
          <w:p>
            <w:pPr>
              <w:spacing w:after="0"/>
              <w:rPr>
                <w:sz w:val="4"/>
                <w:szCs w:val="4"/>
                <w:color w:val="auto"/>
              </w:rPr>
            </w:pPr>
          </w:p>
        </w:tc>
        <w:tc>
          <w:tcPr>
            <w:tcW w:w="1240" w:type="dxa"/>
            <w:vAlign w:val="bottom"/>
            <w:tcBorders>
              <w:bottom w:val="single" w:sz="8" w:color="88888B"/>
            </w:tcBorders>
            <w:vMerge w:val="continue"/>
          </w:tcPr>
          <w:p>
            <w:pPr>
              <w:spacing w:after="0"/>
              <w:rPr>
                <w:sz w:val="4"/>
                <w:szCs w:val="4"/>
                <w:color w:val="auto"/>
              </w:rPr>
            </w:pPr>
          </w:p>
        </w:tc>
        <w:tc>
          <w:tcPr>
            <w:tcW w:w="1380" w:type="dxa"/>
            <w:vAlign w:val="bottom"/>
            <w:tcBorders>
              <w:bottom w:val="single" w:sz="8" w:color="88888B"/>
            </w:tcBorders>
            <w:vMerge w:val="continue"/>
          </w:tcPr>
          <w:p>
            <w:pPr>
              <w:spacing w:after="0"/>
              <w:rPr>
                <w:sz w:val="4"/>
                <w:szCs w:val="4"/>
                <w:color w:val="auto"/>
              </w:rPr>
            </w:pPr>
          </w:p>
        </w:tc>
        <w:tc>
          <w:tcPr>
            <w:tcW w:w="1760" w:type="dxa"/>
            <w:vAlign w:val="bottom"/>
            <w:tcBorders>
              <w:bottom w:val="single" w:sz="8" w:color="88888B"/>
            </w:tcBorders>
            <w:vMerge w:val="continue"/>
          </w:tcPr>
          <w:p>
            <w:pPr>
              <w:spacing w:after="0"/>
              <w:rPr>
                <w:sz w:val="4"/>
                <w:szCs w:val="4"/>
                <w:color w:val="auto"/>
              </w:rPr>
            </w:pPr>
          </w:p>
        </w:tc>
        <w:tc>
          <w:tcPr>
            <w:tcW w:w="1220" w:type="dxa"/>
            <w:vAlign w:val="bottom"/>
            <w:tcBorders>
              <w:bottom w:val="single" w:sz="8" w:color="88888B"/>
            </w:tcBorders>
            <w:vMerge w:val="continue"/>
          </w:tcPr>
          <w:p>
            <w:pPr>
              <w:spacing w:after="0"/>
              <w:rPr>
                <w:sz w:val="4"/>
                <w:szCs w:val="4"/>
                <w:color w:val="auto"/>
              </w:rPr>
            </w:pPr>
          </w:p>
        </w:tc>
        <w:tc>
          <w:tcPr>
            <w:tcW w:w="1440" w:type="dxa"/>
            <w:vAlign w:val="bottom"/>
            <w:tcBorders>
              <w:bottom w:val="single" w:sz="8" w:color="88888B"/>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Net earnings</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55565A"/>
              </w:rPr>
              <w:t>478</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b w:val="1"/>
                <w:bCs w:val="1"/>
                <w:color w:val="55565A"/>
              </w:rPr>
              <w:t>78</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b w:val="1"/>
                <w:bCs w:val="1"/>
                <w:color w:val="55565A"/>
              </w:rPr>
              <w:t>511</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b w:val="1"/>
                <w:bCs w:val="1"/>
                <w:color w:val="55565A"/>
              </w:rPr>
              <w:t>(589)</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b w:val="1"/>
                <w:bCs w:val="1"/>
                <w:color w:val="55565A"/>
              </w:rPr>
              <w:t>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88888B"/>
          </w:tcPr>
          <w:p>
            <w:pPr>
              <w:spacing w:after="0" w:line="20" w:lineRule="exact"/>
              <w:rPr>
                <w:sz w:val="1"/>
                <w:szCs w:val="1"/>
                <w:color w:val="auto"/>
              </w:rPr>
            </w:pPr>
          </w:p>
        </w:tc>
        <w:tc>
          <w:tcPr>
            <w:tcW w:w="940" w:type="dxa"/>
            <w:vAlign w:val="bottom"/>
            <w:shd w:val="clear" w:color="auto" w:fill="88888B"/>
          </w:tcPr>
          <w:p>
            <w:pPr>
              <w:spacing w:after="0" w:line="20" w:lineRule="exact"/>
              <w:rPr>
                <w:sz w:val="1"/>
                <w:szCs w:val="1"/>
                <w:color w:val="auto"/>
              </w:rPr>
            </w:pPr>
          </w:p>
        </w:tc>
        <w:tc>
          <w:tcPr>
            <w:tcW w:w="1240" w:type="dxa"/>
            <w:vAlign w:val="bottom"/>
            <w:shd w:val="clear" w:color="auto" w:fill="88888B"/>
          </w:tcPr>
          <w:p>
            <w:pPr>
              <w:spacing w:after="0" w:line="20" w:lineRule="exact"/>
              <w:rPr>
                <w:sz w:val="1"/>
                <w:szCs w:val="1"/>
                <w:color w:val="auto"/>
              </w:rPr>
            </w:pPr>
          </w:p>
        </w:tc>
        <w:tc>
          <w:tcPr>
            <w:tcW w:w="1380" w:type="dxa"/>
            <w:vAlign w:val="bottom"/>
            <w:shd w:val="clear" w:color="auto" w:fill="88888B"/>
          </w:tcPr>
          <w:p>
            <w:pPr>
              <w:spacing w:after="0" w:line="20" w:lineRule="exact"/>
              <w:rPr>
                <w:sz w:val="1"/>
                <w:szCs w:val="1"/>
                <w:color w:val="auto"/>
              </w:rPr>
            </w:pPr>
          </w:p>
        </w:tc>
        <w:tc>
          <w:tcPr>
            <w:tcW w:w="1760" w:type="dxa"/>
            <w:vAlign w:val="bottom"/>
            <w:shd w:val="clear" w:color="auto" w:fill="88888B"/>
          </w:tcPr>
          <w:p>
            <w:pPr>
              <w:spacing w:after="0" w:line="20" w:lineRule="exact"/>
              <w:rPr>
                <w:sz w:val="1"/>
                <w:szCs w:val="1"/>
                <w:color w:val="auto"/>
              </w:rPr>
            </w:pPr>
          </w:p>
        </w:tc>
        <w:tc>
          <w:tcPr>
            <w:tcW w:w="1220" w:type="dxa"/>
            <w:vAlign w:val="bottom"/>
            <w:shd w:val="clear" w:color="auto" w:fill="88888B"/>
          </w:tcPr>
          <w:p>
            <w:pPr>
              <w:spacing w:after="0" w:line="20" w:lineRule="exact"/>
              <w:rPr>
                <w:sz w:val="1"/>
                <w:szCs w:val="1"/>
                <w:color w:val="auto"/>
              </w:rPr>
            </w:pPr>
          </w:p>
        </w:tc>
        <w:tc>
          <w:tcPr>
            <w:tcW w:w="1440" w:type="dxa"/>
            <w:vAlign w:val="bottom"/>
            <w:shd w:val="clear" w:color="auto" w:fill="88888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40" w:type="dxa"/>
            <w:vAlign w:val="bottom"/>
            <w:gridSpan w:val="2"/>
          </w:tcPr>
          <w:p>
            <w:pPr>
              <w:spacing w:after="0"/>
              <w:rPr>
                <w:sz w:val="20"/>
                <w:szCs w:val="20"/>
                <w:color w:val="auto"/>
              </w:rPr>
            </w:pPr>
            <w:r>
              <w:rPr>
                <w:rFonts w:ascii="Arial" w:cs="Arial" w:eastAsia="Arial" w:hAnsi="Arial"/>
                <w:sz w:val="11"/>
                <w:szCs w:val="11"/>
                <w:color w:val="55565A"/>
              </w:rPr>
              <w:t>Earnings attributable to:</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2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920" w:type="dxa"/>
            <w:vAlign w:val="bottom"/>
            <w:shd w:val="clear" w:color="auto" w:fill="CCEEFF"/>
          </w:tcPr>
          <w:p>
            <w:pPr>
              <w:spacing w:after="0" w:line="121" w:lineRule="exact"/>
              <w:rPr>
                <w:sz w:val="20"/>
                <w:szCs w:val="20"/>
                <w:color w:val="auto"/>
              </w:rPr>
            </w:pPr>
            <w:r>
              <w:rPr>
                <w:rFonts w:ascii="Arial" w:cs="Arial" w:eastAsia="Arial" w:hAnsi="Arial"/>
                <w:sz w:val="11"/>
                <w:szCs w:val="11"/>
                <w:color w:val="55565A"/>
              </w:rPr>
              <w:t>Common shareholders</w:t>
            </w:r>
          </w:p>
        </w:tc>
        <w:tc>
          <w:tcPr>
            <w:tcW w:w="940" w:type="dxa"/>
            <w:vAlign w:val="bottom"/>
            <w:shd w:val="clear" w:color="auto" w:fill="CCEEFF"/>
          </w:tcPr>
          <w:p>
            <w:pPr>
              <w:jc w:val="right"/>
              <w:ind w:right="186"/>
              <w:spacing w:after="0" w:line="121" w:lineRule="exact"/>
              <w:rPr>
                <w:sz w:val="20"/>
                <w:szCs w:val="20"/>
                <w:color w:val="auto"/>
              </w:rPr>
            </w:pPr>
            <w:r>
              <w:rPr>
                <w:rFonts w:ascii="Arial" w:cs="Arial" w:eastAsia="Arial" w:hAnsi="Arial"/>
                <w:sz w:val="11"/>
                <w:szCs w:val="11"/>
                <w:b w:val="1"/>
                <w:bCs w:val="1"/>
                <w:color w:val="55565A"/>
              </w:rPr>
              <w:t>478</w:t>
            </w:r>
          </w:p>
        </w:tc>
        <w:tc>
          <w:tcPr>
            <w:tcW w:w="1240" w:type="dxa"/>
            <w:vAlign w:val="bottom"/>
            <w:shd w:val="clear" w:color="auto" w:fill="CCEEFF"/>
          </w:tcPr>
          <w:p>
            <w:pPr>
              <w:jc w:val="right"/>
              <w:ind w:right="225"/>
              <w:spacing w:after="0" w:line="121" w:lineRule="exact"/>
              <w:rPr>
                <w:sz w:val="20"/>
                <w:szCs w:val="20"/>
                <w:color w:val="auto"/>
              </w:rPr>
            </w:pPr>
            <w:r>
              <w:rPr>
                <w:rFonts w:ascii="Arial" w:cs="Arial" w:eastAsia="Arial" w:hAnsi="Arial"/>
                <w:sz w:val="11"/>
                <w:szCs w:val="11"/>
                <w:b w:val="1"/>
                <w:bCs w:val="1"/>
                <w:color w:val="55565A"/>
              </w:rPr>
              <w:t>–</w:t>
            </w:r>
          </w:p>
        </w:tc>
        <w:tc>
          <w:tcPr>
            <w:tcW w:w="1380" w:type="dxa"/>
            <w:vAlign w:val="bottom"/>
            <w:shd w:val="clear" w:color="auto" w:fill="CCEEFF"/>
          </w:tcPr>
          <w:p>
            <w:pPr>
              <w:jc w:val="right"/>
              <w:ind w:right="204"/>
              <w:spacing w:after="0" w:line="121" w:lineRule="exact"/>
              <w:rPr>
                <w:sz w:val="20"/>
                <w:szCs w:val="20"/>
                <w:color w:val="auto"/>
              </w:rPr>
            </w:pPr>
            <w:r>
              <w:rPr>
                <w:rFonts w:ascii="Arial" w:cs="Arial" w:eastAsia="Arial" w:hAnsi="Arial"/>
                <w:sz w:val="11"/>
                <w:szCs w:val="11"/>
                <w:b w:val="1"/>
                <w:bCs w:val="1"/>
                <w:color w:val="55565A"/>
              </w:rPr>
              <w:t>78</w:t>
            </w:r>
          </w:p>
        </w:tc>
        <w:tc>
          <w:tcPr>
            <w:tcW w:w="1760" w:type="dxa"/>
            <w:vAlign w:val="bottom"/>
            <w:shd w:val="clear" w:color="auto" w:fill="CCEEFF"/>
          </w:tcPr>
          <w:p>
            <w:pPr>
              <w:jc w:val="right"/>
              <w:ind w:right="405"/>
              <w:spacing w:after="0" w:line="121" w:lineRule="exact"/>
              <w:rPr>
                <w:sz w:val="20"/>
                <w:szCs w:val="20"/>
                <w:color w:val="auto"/>
              </w:rPr>
            </w:pPr>
            <w:r>
              <w:rPr>
                <w:rFonts w:ascii="Arial" w:cs="Arial" w:eastAsia="Arial" w:hAnsi="Arial"/>
                <w:sz w:val="11"/>
                <w:szCs w:val="11"/>
                <w:b w:val="1"/>
                <w:bCs w:val="1"/>
                <w:color w:val="55565A"/>
              </w:rPr>
              <w:t>514</w:t>
            </w:r>
          </w:p>
        </w:tc>
        <w:tc>
          <w:tcPr>
            <w:tcW w:w="1220" w:type="dxa"/>
            <w:vAlign w:val="bottom"/>
            <w:shd w:val="clear" w:color="auto" w:fill="CCEEFF"/>
          </w:tcPr>
          <w:p>
            <w:pPr>
              <w:jc w:val="right"/>
              <w:ind w:right="246"/>
              <w:spacing w:after="0" w:line="121" w:lineRule="exact"/>
              <w:rPr>
                <w:sz w:val="20"/>
                <w:szCs w:val="20"/>
                <w:color w:val="auto"/>
              </w:rPr>
            </w:pPr>
            <w:r>
              <w:rPr>
                <w:rFonts w:ascii="Arial" w:cs="Arial" w:eastAsia="Arial" w:hAnsi="Arial"/>
                <w:sz w:val="11"/>
                <w:szCs w:val="11"/>
                <w:b w:val="1"/>
                <w:bCs w:val="1"/>
                <w:color w:val="55565A"/>
              </w:rPr>
              <w:t>(589)</w:t>
            </w:r>
          </w:p>
        </w:tc>
        <w:tc>
          <w:tcPr>
            <w:tcW w:w="1440" w:type="dxa"/>
            <w:vAlign w:val="bottom"/>
            <w:shd w:val="clear" w:color="auto" w:fill="CCEEFF"/>
          </w:tcPr>
          <w:p>
            <w:pPr>
              <w:jc w:val="right"/>
              <w:ind w:right="166"/>
              <w:spacing w:after="0" w:line="121" w:lineRule="exact"/>
              <w:rPr>
                <w:sz w:val="20"/>
                <w:szCs w:val="20"/>
                <w:color w:val="auto"/>
              </w:rPr>
            </w:pPr>
            <w:r>
              <w:rPr>
                <w:rFonts w:ascii="Arial" w:cs="Arial" w:eastAsia="Arial" w:hAnsi="Arial"/>
                <w:sz w:val="11"/>
                <w:szCs w:val="11"/>
                <w:b w:val="1"/>
                <w:bCs w:val="1"/>
                <w:color w:val="55565A"/>
              </w:rPr>
              <w:t>481</w:t>
            </w: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Arial" w:cs="Arial" w:eastAsia="Arial" w:hAnsi="Arial"/>
                <w:sz w:val="11"/>
                <w:szCs w:val="11"/>
                <w:color w:val="55565A"/>
              </w:rPr>
              <w:t>Non-controlling interests</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b w:val="1"/>
                <w:bCs w:val="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b w:val="1"/>
                <w:bCs w:val="1"/>
                <w:color w:val="55565A"/>
              </w:rPr>
              <w:t>–</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b w:val="1"/>
                <w:bCs w:val="1"/>
                <w:color w:val="55565A"/>
              </w:rPr>
              <w:t>(3)</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55565A"/>
              </w:rPr>
              <w:t>(3)</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920" w:type="dxa"/>
            <w:vAlign w:val="bottom"/>
            <w:tcBorders>
              <w:bottom w:val="single" w:sz="8" w:color="55565A"/>
            </w:tcBorders>
          </w:tcPr>
          <w:p>
            <w:pPr>
              <w:spacing w:after="0"/>
              <w:rPr>
                <w:sz w:val="4"/>
                <w:szCs w:val="4"/>
                <w:color w:val="auto"/>
              </w:rPr>
            </w:pPr>
          </w:p>
        </w:tc>
        <w:tc>
          <w:tcPr>
            <w:tcW w:w="940" w:type="dxa"/>
            <w:vAlign w:val="bottom"/>
            <w:tcBorders>
              <w:bottom w:val="single" w:sz="8" w:color="55565A"/>
            </w:tcBorders>
            <w:vMerge w:val="continue"/>
          </w:tcPr>
          <w:p>
            <w:pPr>
              <w:spacing w:after="0"/>
              <w:rPr>
                <w:sz w:val="4"/>
                <w:szCs w:val="4"/>
                <w:color w:val="auto"/>
              </w:rPr>
            </w:pPr>
          </w:p>
        </w:tc>
        <w:tc>
          <w:tcPr>
            <w:tcW w:w="1240" w:type="dxa"/>
            <w:vAlign w:val="bottom"/>
            <w:tcBorders>
              <w:bottom w:val="single" w:sz="8" w:color="55565A"/>
            </w:tcBorders>
            <w:vMerge w:val="continue"/>
          </w:tcPr>
          <w:p>
            <w:pPr>
              <w:spacing w:after="0"/>
              <w:rPr>
                <w:sz w:val="4"/>
                <w:szCs w:val="4"/>
                <w:color w:val="auto"/>
              </w:rPr>
            </w:pPr>
          </w:p>
        </w:tc>
        <w:tc>
          <w:tcPr>
            <w:tcW w:w="1380" w:type="dxa"/>
            <w:vAlign w:val="bottom"/>
            <w:tcBorders>
              <w:bottom w:val="single" w:sz="8" w:color="55565A"/>
            </w:tcBorders>
            <w:vMerge w:val="continue"/>
          </w:tcPr>
          <w:p>
            <w:pPr>
              <w:spacing w:after="0"/>
              <w:rPr>
                <w:sz w:val="4"/>
                <w:szCs w:val="4"/>
                <w:color w:val="auto"/>
              </w:rPr>
            </w:pPr>
          </w:p>
        </w:tc>
        <w:tc>
          <w:tcPr>
            <w:tcW w:w="1760" w:type="dxa"/>
            <w:vAlign w:val="bottom"/>
            <w:tcBorders>
              <w:bottom w:val="single" w:sz="8" w:color="55565A"/>
            </w:tcBorders>
            <w:vMerge w:val="continue"/>
          </w:tcPr>
          <w:p>
            <w:pPr>
              <w:spacing w:after="0"/>
              <w:rPr>
                <w:sz w:val="4"/>
                <w:szCs w:val="4"/>
                <w:color w:val="auto"/>
              </w:rPr>
            </w:pPr>
          </w:p>
        </w:tc>
        <w:tc>
          <w:tcPr>
            <w:tcW w:w="1220" w:type="dxa"/>
            <w:vAlign w:val="bottom"/>
            <w:tcBorders>
              <w:bottom w:val="single" w:sz="8" w:color="55565A"/>
            </w:tcBorders>
            <w:vMerge w:val="continue"/>
          </w:tcPr>
          <w:p>
            <w:pPr>
              <w:spacing w:after="0"/>
              <w:rPr>
                <w:sz w:val="4"/>
                <w:szCs w:val="4"/>
                <w:color w:val="auto"/>
              </w:rPr>
            </w:pPr>
          </w:p>
        </w:tc>
        <w:tc>
          <w:tcPr>
            <w:tcW w:w="1440" w:type="dxa"/>
            <w:vAlign w:val="bottom"/>
            <w:tcBorders>
              <w:bottom w:val="single" w:sz="8" w:color="55565A"/>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69297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8"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140" w:type="dxa"/>
            <w:vAlign w:val="bottom"/>
            <w:gridSpan w:val="2"/>
          </w:tcPr>
          <w:p>
            <w:pPr>
              <w:jc w:val="right"/>
              <w:ind w:right="45"/>
              <w:spacing w:after="0"/>
              <w:rPr>
                <w:sz w:val="20"/>
                <w:szCs w:val="20"/>
                <w:color w:val="auto"/>
              </w:rPr>
            </w:pPr>
            <w:r>
              <w:rPr>
                <w:rFonts w:ascii="Arial" w:cs="Arial" w:eastAsia="Arial" w:hAnsi="Arial"/>
                <w:sz w:val="14"/>
                <w:szCs w:val="14"/>
                <w:b w:val="1"/>
                <w:bCs w:val="1"/>
                <w:color w:val="55565A"/>
              </w:rPr>
              <w:t>Three months ended March 31, 2023</w:t>
            </w: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jc w:val="right"/>
              <w:ind w:right="225"/>
              <w:spacing w:after="0"/>
              <w:rPr>
                <w:sz w:val="20"/>
                <w:szCs w:val="20"/>
                <w:color w:val="auto"/>
              </w:rPr>
            </w:pPr>
            <w:r>
              <w:rPr>
                <w:rFonts w:ascii="Arial" w:cs="Arial" w:eastAsia="Arial" w:hAnsi="Arial"/>
                <w:sz w:val="14"/>
                <w:szCs w:val="14"/>
                <w:b w:val="1"/>
                <w:bCs w:val="1"/>
                <w:color w:val="55565A"/>
              </w:rPr>
              <w:t>Subsidiary</w:t>
            </w:r>
          </w:p>
        </w:tc>
        <w:tc>
          <w:tcPr>
            <w:tcW w:w="1380" w:type="dxa"/>
            <w:vAlign w:val="bottom"/>
          </w:tcPr>
          <w:p>
            <w:pPr>
              <w:jc w:val="right"/>
              <w:ind w:right="204"/>
              <w:spacing w:after="0"/>
              <w:rPr>
                <w:sz w:val="20"/>
                <w:szCs w:val="20"/>
                <w:color w:val="auto"/>
              </w:rPr>
            </w:pPr>
            <w:r>
              <w:rPr>
                <w:rFonts w:ascii="Arial" w:cs="Arial" w:eastAsia="Arial" w:hAnsi="Arial"/>
                <w:sz w:val="14"/>
                <w:szCs w:val="14"/>
                <w:b w:val="1"/>
                <w:bCs w:val="1"/>
                <w:color w:val="55565A"/>
              </w:rPr>
              <w:t>Guarantor</w:t>
            </w:r>
          </w:p>
        </w:tc>
        <w:tc>
          <w:tcPr>
            <w:tcW w:w="1760" w:type="dxa"/>
            <w:vAlign w:val="bottom"/>
          </w:tcPr>
          <w:p>
            <w:pPr>
              <w:jc w:val="right"/>
              <w:ind w:right="405"/>
              <w:spacing w:after="0"/>
              <w:rPr>
                <w:sz w:val="20"/>
                <w:szCs w:val="20"/>
                <w:color w:val="auto"/>
              </w:rPr>
            </w:pPr>
            <w:r>
              <w:rPr>
                <w:rFonts w:ascii="Arial" w:cs="Arial" w:eastAsia="Arial" w:hAnsi="Arial"/>
                <w:sz w:val="14"/>
                <w:szCs w:val="14"/>
                <w:b w:val="1"/>
                <w:bCs w:val="1"/>
                <w:color w:val="55565A"/>
              </w:rPr>
              <w:t>Non-Guarantor</w:t>
            </w: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rPr>
                <w:sz w:val="20"/>
                <w:szCs w:val="20"/>
                <w:color w:val="auto"/>
              </w:rPr>
            </w:pPr>
            <w:r>
              <w:rPr>
                <w:rFonts w:ascii="Arial" w:cs="Arial" w:eastAsia="Arial" w:hAnsi="Arial"/>
                <w:sz w:val="14"/>
                <w:szCs w:val="14"/>
                <w:b w:val="1"/>
                <w:bCs w:val="1"/>
                <w:color w:val="55565A"/>
              </w:rPr>
              <w:t>(millions of U.S. dollars)</w:t>
            </w:r>
          </w:p>
        </w:tc>
        <w:tc>
          <w:tcPr>
            <w:tcW w:w="940" w:type="dxa"/>
            <w:vAlign w:val="bottom"/>
          </w:tcPr>
          <w:p>
            <w:pPr>
              <w:jc w:val="right"/>
              <w:ind w:right="186"/>
              <w:spacing w:after="0"/>
              <w:rPr>
                <w:sz w:val="20"/>
                <w:szCs w:val="20"/>
                <w:color w:val="auto"/>
              </w:rPr>
            </w:pPr>
            <w:r>
              <w:rPr>
                <w:rFonts w:ascii="Arial" w:cs="Arial" w:eastAsia="Arial" w:hAnsi="Arial"/>
                <w:sz w:val="14"/>
                <w:szCs w:val="14"/>
                <w:b w:val="1"/>
                <w:bCs w:val="1"/>
                <w:color w:val="55565A"/>
              </w:rPr>
              <w:t>Parent</w:t>
            </w:r>
          </w:p>
        </w:tc>
        <w:tc>
          <w:tcPr>
            <w:tcW w:w="1240" w:type="dxa"/>
            <w:vAlign w:val="bottom"/>
          </w:tcPr>
          <w:p>
            <w:pPr>
              <w:jc w:val="right"/>
              <w:ind w:right="225"/>
              <w:spacing w:after="0"/>
              <w:rPr>
                <w:sz w:val="20"/>
                <w:szCs w:val="20"/>
                <w:color w:val="auto"/>
              </w:rPr>
            </w:pPr>
            <w:r>
              <w:rPr>
                <w:rFonts w:ascii="Arial" w:cs="Arial" w:eastAsia="Arial" w:hAnsi="Arial"/>
                <w:sz w:val="14"/>
                <w:szCs w:val="14"/>
                <w:b w:val="1"/>
                <w:bCs w:val="1"/>
                <w:color w:val="55565A"/>
              </w:rPr>
              <w:t>Issuer</w:t>
            </w:r>
          </w:p>
        </w:tc>
        <w:tc>
          <w:tcPr>
            <w:tcW w:w="1380" w:type="dxa"/>
            <w:vAlign w:val="bottom"/>
          </w:tcPr>
          <w:p>
            <w:pPr>
              <w:jc w:val="right"/>
              <w:ind w:right="204"/>
              <w:spacing w:after="0"/>
              <w:rPr>
                <w:sz w:val="20"/>
                <w:szCs w:val="20"/>
                <w:color w:val="auto"/>
              </w:rPr>
            </w:pPr>
            <w:r>
              <w:rPr>
                <w:rFonts w:ascii="Arial" w:cs="Arial" w:eastAsia="Arial" w:hAnsi="Arial"/>
                <w:sz w:val="14"/>
                <w:szCs w:val="14"/>
                <w:b w:val="1"/>
                <w:bCs w:val="1"/>
                <w:color w:val="55565A"/>
              </w:rPr>
              <w:t>Subsidiaries</w:t>
            </w:r>
          </w:p>
        </w:tc>
        <w:tc>
          <w:tcPr>
            <w:tcW w:w="1760" w:type="dxa"/>
            <w:vAlign w:val="bottom"/>
          </w:tcPr>
          <w:p>
            <w:pPr>
              <w:jc w:val="right"/>
              <w:ind w:right="405"/>
              <w:spacing w:after="0"/>
              <w:rPr>
                <w:sz w:val="20"/>
                <w:szCs w:val="20"/>
                <w:color w:val="auto"/>
              </w:rPr>
            </w:pPr>
            <w:r>
              <w:rPr>
                <w:rFonts w:ascii="Arial" w:cs="Arial" w:eastAsia="Arial" w:hAnsi="Arial"/>
                <w:sz w:val="14"/>
                <w:szCs w:val="14"/>
                <w:b w:val="1"/>
                <w:bCs w:val="1"/>
                <w:color w:val="55565A"/>
              </w:rPr>
              <w:t>Subsidiaries</w:t>
            </w:r>
          </w:p>
        </w:tc>
        <w:tc>
          <w:tcPr>
            <w:tcW w:w="1220" w:type="dxa"/>
            <w:vAlign w:val="bottom"/>
          </w:tcPr>
          <w:p>
            <w:pPr>
              <w:jc w:val="right"/>
              <w:ind w:right="246"/>
              <w:spacing w:after="0"/>
              <w:rPr>
                <w:sz w:val="20"/>
                <w:szCs w:val="20"/>
                <w:color w:val="auto"/>
              </w:rPr>
            </w:pPr>
            <w:r>
              <w:rPr>
                <w:rFonts w:ascii="Arial" w:cs="Arial" w:eastAsia="Arial" w:hAnsi="Arial"/>
                <w:sz w:val="14"/>
                <w:szCs w:val="14"/>
                <w:b w:val="1"/>
                <w:bCs w:val="1"/>
                <w:color w:val="55565A"/>
              </w:rPr>
              <w:t>Eliminations</w:t>
            </w:r>
          </w:p>
        </w:tc>
        <w:tc>
          <w:tcPr>
            <w:tcW w:w="1440" w:type="dxa"/>
            <w:vAlign w:val="bottom"/>
          </w:tcPr>
          <w:p>
            <w:pPr>
              <w:jc w:val="right"/>
              <w:ind w:right="166"/>
              <w:spacing w:after="0"/>
              <w:rPr>
                <w:sz w:val="20"/>
                <w:szCs w:val="20"/>
                <w:color w:val="auto"/>
              </w:rPr>
            </w:pPr>
            <w:r>
              <w:rPr>
                <w:rFonts w:ascii="Arial" w:cs="Arial" w:eastAsia="Arial" w:hAnsi="Arial"/>
                <w:sz w:val="14"/>
                <w:szCs w:val="14"/>
                <w:b w:val="1"/>
                <w:bCs w:val="1"/>
                <w:color w:val="55565A"/>
              </w:rPr>
              <w:t>Consolidated</w:t>
            </w:r>
          </w:p>
        </w:tc>
        <w:tc>
          <w:tcPr>
            <w:tcW w:w="0" w:type="dxa"/>
            <w:vAlign w:val="bottom"/>
          </w:tcPr>
          <w:p>
            <w:pPr>
              <w:spacing w:after="0"/>
              <w:rPr>
                <w:sz w:val="1"/>
                <w:szCs w:val="1"/>
                <w:color w:val="auto"/>
              </w:rPr>
            </w:pPr>
          </w:p>
        </w:tc>
      </w:tr>
      <w:tr>
        <w:trPr>
          <w:trHeight w:val="102"/>
        </w:trPr>
        <w:tc>
          <w:tcPr>
            <w:tcW w:w="2940" w:type="dxa"/>
            <w:vAlign w:val="bottom"/>
            <w:tcBorders>
              <w:bottom w:val="single" w:sz="8" w:color="88888B"/>
            </w:tcBorders>
          </w:tcPr>
          <w:p>
            <w:pPr>
              <w:spacing w:after="0"/>
              <w:rPr>
                <w:sz w:val="8"/>
                <w:szCs w:val="8"/>
                <w:color w:val="auto"/>
              </w:rPr>
            </w:pPr>
          </w:p>
        </w:tc>
        <w:tc>
          <w:tcPr>
            <w:tcW w:w="940" w:type="dxa"/>
            <w:vAlign w:val="bottom"/>
            <w:tcBorders>
              <w:bottom w:val="single" w:sz="8" w:color="88888B"/>
            </w:tcBorders>
          </w:tcPr>
          <w:p>
            <w:pPr>
              <w:spacing w:after="0"/>
              <w:rPr>
                <w:sz w:val="8"/>
                <w:szCs w:val="8"/>
                <w:color w:val="auto"/>
              </w:rPr>
            </w:pPr>
          </w:p>
        </w:tc>
        <w:tc>
          <w:tcPr>
            <w:tcW w:w="1240" w:type="dxa"/>
            <w:vAlign w:val="bottom"/>
            <w:tcBorders>
              <w:bottom w:val="single" w:sz="8" w:color="88888B"/>
            </w:tcBorders>
          </w:tcPr>
          <w:p>
            <w:pPr>
              <w:spacing w:after="0"/>
              <w:rPr>
                <w:sz w:val="8"/>
                <w:szCs w:val="8"/>
                <w:color w:val="auto"/>
              </w:rPr>
            </w:pPr>
          </w:p>
        </w:tc>
        <w:tc>
          <w:tcPr>
            <w:tcW w:w="1380" w:type="dxa"/>
            <w:vAlign w:val="bottom"/>
            <w:tcBorders>
              <w:bottom w:val="single" w:sz="8" w:color="88888B"/>
            </w:tcBorders>
          </w:tcPr>
          <w:p>
            <w:pPr>
              <w:spacing w:after="0"/>
              <w:rPr>
                <w:sz w:val="8"/>
                <w:szCs w:val="8"/>
                <w:color w:val="auto"/>
              </w:rPr>
            </w:pPr>
          </w:p>
        </w:tc>
        <w:tc>
          <w:tcPr>
            <w:tcW w:w="1760" w:type="dxa"/>
            <w:vAlign w:val="bottom"/>
            <w:tcBorders>
              <w:bottom w:val="single" w:sz="8" w:color="88888B"/>
            </w:tcBorders>
          </w:tcPr>
          <w:p>
            <w:pPr>
              <w:spacing w:after="0"/>
              <w:rPr>
                <w:sz w:val="8"/>
                <w:szCs w:val="8"/>
                <w:color w:val="auto"/>
              </w:rPr>
            </w:pPr>
          </w:p>
        </w:tc>
        <w:tc>
          <w:tcPr>
            <w:tcW w:w="1220" w:type="dxa"/>
            <w:vAlign w:val="bottom"/>
            <w:tcBorders>
              <w:bottom w:val="single" w:sz="8" w:color="88888B"/>
            </w:tcBorders>
          </w:tcPr>
          <w:p>
            <w:pPr>
              <w:spacing w:after="0"/>
              <w:rPr>
                <w:sz w:val="8"/>
                <w:szCs w:val="8"/>
                <w:color w:val="auto"/>
              </w:rPr>
            </w:pPr>
          </w:p>
        </w:tc>
        <w:tc>
          <w:tcPr>
            <w:tcW w:w="1440" w:type="dxa"/>
            <w:vAlign w:val="bottom"/>
            <w:tcBorders>
              <w:bottom w:val="single" w:sz="8" w:color="88888B"/>
            </w:tcBorders>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55565A"/>
              </w:rPr>
              <w:t>CONTINUING OPERATIONS</w:t>
            </w:r>
          </w:p>
        </w:tc>
        <w:tc>
          <w:tcPr>
            <w:tcW w:w="9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20"/>
                <w:szCs w:val="20"/>
                <w:color w:val="auto"/>
              </w:rPr>
            </w:pPr>
            <w:r>
              <w:rPr>
                <w:rFonts w:ascii="Arial" w:cs="Arial" w:eastAsia="Arial" w:hAnsi="Arial"/>
                <w:sz w:val="11"/>
                <w:szCs w:val="11"/>
                <w:color w:val="55565A"/>
              </w:rPr>
              <w:t>Revenues</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color w:val="55565A"/>
              </w:rPr>
              <w:t>569</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color w:val="55565A"/>
              </w:rPr>
              <w:t>1,353</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color w:val="55565A"/>
              </w:rPr>
              <w:t>(184)</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color w:val="55565A"/>
              </w:rPr>
              <w:t>1,738</w:t>
            </w:r>
          </w:p>
        </w:tc>
        <w:tc>
          <w:tcPr>
            <w:tcW w:w="0" w:type="dxa"/>
            <w:vAlign w:val="bottom"/>
          </w:tcPr>
          <w:p>
            <w:pPr>
              <w:spacing w:after="0"/>
              <w:rPr>
                <w:sz w:val="1"/>
                <w:szCs w:val="1"/>
                <w:color w:val="auto"/>
              </w:rPr>
            </w:pPr>
          </w:p>
        </w:tc>
      </w:tr>
      <w:tr>
        <w:trPr>
          <w:trHeight w:val="63"/>
        </w:trPr>
        <w:tc>
          <w:tcPr>
            <w:tcW w:w="29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Operating expenses</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55565A"/>
              </w:rPr>
              <w:t>–</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color w:val="55565A"/>
              </w:rPr>
              <w:t>(433)</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color w:val="55565A"/>
              </w:rPr>
              <w:t>(825)</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55565A"/>
              </w:rPr>
              <w:t>184</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55565A"/>
              </w:rPr>
              <w:t>(1,074)</w:t>
            </w:r>
          </w:p>
        </w:tc>
        <w:tc>
          <w:tcPr>
            <w:tcW w:w="0" w:type="dxa"/>
            <w:vAlign w:val="bottom"/>
          </w:tcPr>
          <w:p>
            <w:pPr>
              <w:spacing w:after="0"/>
              <w:rPr>
                <w:sz w:val="1"/>
                <w:szCs w:val="1"/>
                <w:color w:val="auto"/>
              </w:rPr>
            </w:pPr>
          </w:p>
        </w:tc>
      </w:tr>
      <w:tr>
        <w:trPr>
          <w:trHeight w:val="208"/>
        </w:trPr>
        <w:tc>
          <w:tcPr>
            <w:tcW w:w="2940" w:type="dxa"/>
            <w:vAlign w:val="bottom"/>
          </w:tcPr>
          <w:p>
            <w:pPr>
              <w:spacing w:after="0"/>
              <w:rPr>
                <w:sz w:val="20"/>
                <w:szCs w:val="20"/>
                <w:color w:val="auto"/>
              </w:rPr>
            </w:pPr>
            <w:r>
              <w:rPr>
                <w:rFonts w:ascii="Arial" w:cs="Arial" w:eastAsia="Arial" w:hAnsi="Arial"/>
                <w:sz w:val="11"/>
                <w:szCs w:val="11"/>
                <w:color w:val="55565A"/>
              </w:rPr>
              <w:t>Depreciation</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color w:val="55565A"/>
              </w:rPr>
              <w:t>(11)</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color w:val="55565A"/>
              </w:rPr>
              <w:t>(19)</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color w:val="55565A"/>
              </w:rPr>
              <w:t>(30)</w:t>
            </w:r>
          </w:p>
        </w:tc>
        <w:tc>
          <w:tcPr>
            <w:tcW w:w="0" w:type="dxa"/>
            <w:vAlign w:val="bottom"/>
          </w:tcPr>
          <w:p>
            <w:pPr>
              <w:spacing w:after="0"/>
              <w:rPr>
                <w:sz w:val="1"/>
                <w:szCs w:val="1"/>
                <w:color w:val="auto"/>
              </w:rPr>
            </w:pPr>
          </w:p>
        </w:tc>
      </w:tr>
      <w:tr>
        <w:trPr>
          <w:trHeight w:val="63"/>
        </w:trPr>
        <w:tc>
          <w:tcPr>
            <w:tcW w:w="29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Amortization of computer software</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55565A"/>
              </w:rPr>
              <w:t>–</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color w:val="55565A"/>
              </w:rPr>
              <w:t>(5)</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color w:val="55565A"/>
              </w:rPr>
              <w:t>(113)</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55565A"/>
              </w:rPr>
              <w:t>–</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55565A"/>
              </w:rPr>
              <w:t>(118)</w:t>
            </w:r>
          </w:p>
        </w:tc>
        <w:tc>
          <w:tcPr>
            <w:tcW w:w="0" w:type="dxa"/>
            <w:vAlign w:val="bottom"/>
          </w:tcPr>
          <w:p>
            <w:pPr>
              <w:spacing w:after="0"/>
              <w:rPr>
                <w:sz w:val="1"/>
                <w:szCs w:val="1"/>
                <w:color w:val="auto"/>
              </w:rPr>
            </w:pPr>
          </w:p>
        </w:tc>
      </w:tr>
      <w:tr>
        <w:trPr>
          <w:trHeight w:val="208"/>
        </w:trPr>
        <w:tc>
          <w:tcPr>
            <w:tcW w:w="2940" w:type="dxa"/>
            <w:vAlign w:val="bottom"/>
          </w:tcPr>
          <w:p>
            <w:pPr>
              <w:spacing w:after="0"/>
              <w:rPr>
                <w:sz w:val="20"/>
                <w:szCs w:val="20"/>
                <w:color w:val="auto"/>
              </w:rPr>
            </w:pPr>
            <w:r>
              <w:rPr>
                <w:rFonts w:ascii="Arial" w:cs="Arial" w:eastAsia="Arial" w:hAnsi="Arial"/>
                <w:sz w:val="11"/>
                <w:szCs w:val="11"/>
                <w:color w:val="55565A"/>
              </w:rPr>
              <w:t>Amortization of other identifiable intangible assets</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color w:val="55565A"/>
              </w:rPr>
              <w:t>(12)</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color w:val="55565A"/>
              </w:rPr>
              <w:t>(13)</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color w:val="55565A"/>
              </w:rPr>
              <w:t>(25)</w:t>
            </w:r>
          </w:p>
        </w:tc>
        <w:tc>
          <w:tcPr>
            <w:tcW w:w="0" w:type="dxa"/>
            <w:vAlign w:val="bottom"/>
          </w:tcPr>
          <w:p>
            <w:pPr>
              <w:spacing w:after="0"/>
              <w:rPr>
                <w:sz w:val="1"/>
                <w:szCs w:val="1"/>
                <w:color w:val="auto"/>
              </w:rPr>
            </w:pPr>
          </w:p>
        </w:tc>
      </w:tr>
      <w:tr>
        <w:trPr>
          <w:trHeight w:val="63"/>
        </w:trPr>
        <w:tc>
          <w:tcPr>
            <w:tcW w:w="29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Other operating gains (losses), net</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55565A"/>
              </w:rPr>
              <w:t>23</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color w:val="55565A"/>
              </w:rPr>
              <w:t>(4)</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color w:val="55565A"/>
              </w:rPr>
              <w:t>(2)</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55565A"/>
              </w:rPr>
              <w:t>–</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55565A"/>
              </w:rPr>
              <w:t>17</w:t>
            </w:r>
          </w:p>
        </w:tc>
        <w:tc>
          <w:tcPr>
            <w:tcW w:w="0" w:type="dxa"/>
            <w:vAlign w:val="bottom"/>
          </w:tcPr>
          <w:p>
            <w:pPr>
              <w:spacing w:after="0"/>
              <w:rPr>
                <w:sz w:val="1"/>
                <w:szCs w:val="1"/>
                <w:color w:val="auto"/>
              </w:rPr>
            </w:pPr>
          </w:p>
        </w:tc>
      </w:tr>
      <w:tr>
        <w:trPr>
          <w:trHeight w:val="188"/>
        </w:trPr>
        <w:tc>
          <w:tcPr>
            <w:tcW w:w="2940" w:type="dxa"/>
            <w:vAlign w:val="bottom"/>
            <w:tcBorders>
              <w:top w:val="single" w:sz="8" w:color="88888B"/>
            </w:tcBorders>
          </w:tcPr>
          <w:p>
            <w:pPr>
              <w:spacing w:after="0"/>
              <w:rPr>
                <w:sz w:val="20"/>
                <w:szCs w:val="20"/>
                <w:color w:val="auto"/>
              </w:rPr>
            </w:pPr>
            <w:r>
              <w:rPr>
                <w:rFonts w:ascii="Arial" w:cs="Arial" w:eastAsia="Arial" w:hAnsi="Arial"/>
                <w:sz w:val="11"/>
                <w:szCs w:val="11"/>
                <w:color w:val="55565A"/>
              </w:rPr>
              <w:t>Operating profit</w:t>
            </w:r>
          </w:p>
        </w:tc>
        <w:tc>
          <w:tcPr>
            <w:tcW w:w="940" w:type="dxa"/>
            <w:vAlign w:val="bottom"/>
            <w:tcBorders>
              <w:top w:val="single" w:sz="8" w:color="88888B"/>
            </w:tcBorders>
            <w:vMerge w:val="restart"/>
          </w:tcPr>
          <w:p>
            <w:pPr>
              <w:jc w:val="right"/>
              <w:ind w:right="186"/>
              <w:spacing w:after="0"/>
              <w:rPr>
                <w:sz w:val="20"/>
                <w:szCs w:val="20"/>
                <w:color w:val="auto"/>
              </w:rPr>
            </w:pPr>
            <w:r>
              <w:rPr>
                <w:rFonts w:ascii="Arial" w:cs="Arial" w:eastAsia="Arial" w:hAnsi="Arial"/>
                <w:sz w:val="11"/>
                <w:szCs w:val="11"/>
                <w:color w:val="55565A"/>
              </w:rPr>
              <w:t>23</w:t>
            </w:r>
          </w:p>
        </w:tc>
        <w:tc>
          <w:tcPr>
            <w:tcW w:w="1240" w:type="dxa"/>
            <w:vAlign w:val="bottom"/>
            <w:tcBorders>
              <w:top w:val="single" w:sz="8" w:color="88888B"/>
            </w:tcBorders>
            <w:vMerge w:val="restart"/>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tcBorders>
              <w:top w:val="single" w:sz="8" w:color="88888B"/>
            </w:tcBorders>
            <w:vMerge w:val="restart"/>
          </w:tcPr>
          <w:p>
            <w:pPr>
              <w:jc w:val="right"/>
              <w:ind w:right="204"/>
              <w:spacing w:after="0"/>
              <w:rPr>
                <w:sz w:val="20"/>
                <w:szCs w:val="20"/>
                <w:color w:val="auto"/>
              </w:rPr>
            </w:pPr>
            <w:r>
              <w:rPr>
                <w:rFonts w:ascii="Arial" w:cs="Arial" w:eastAsia="Arial" w:hAnsi="Arial"/>
                <w:sz w:val="11"/>
                <w:szCs w:val="11"/>
                <w:color w:val="55565A"/>
              </w:rPr>
              <w:t>104</w:t>
            </w:r>
          </w:p>
        </w:tc>
        <w:tc>
          <w:tcPr>
            <w:tcW w:w="1760" w:type="dxa"/>
            <w:vAlign w:val="bottom"/>
            <w:tcBorders>
              <w:top w:val="single" w:sz="8" w:color="88888B"/>
            </w:tcBorders>
            <w:vMerge w:val="restart"/>
          </w:tcPr>
          <w:p>
            <w:pPr>
              <w:jc w:val="right"/>
              <w:ind w:right="405"/>
              <w:spacing w:after="0"/>
              <w:rPr>
                <w:sz w:val="20"/>
                <w:szCs w:val="20"/>
                <w:color w:val="auto"/>
              </w:rPr>
            </w:pPr>
            <w:r>
              <w:rPr>
                <w:rFonts w:ascii="Arial" w:cs="Arial" w:eastAsia="Arial" w:hAnsi="Arial"/>
                <w:sz w:val="11"/>
                <w:szCs w:val="11"/>
                <w:color w:val="55565A"/>
              </w:rPr>
              <w:t>381</w:t>
            </w:r>
          </w:p>
        </w:tc>
        <w:tc>
          <w:tcPr>
            <w:tcW w:w="1220" w:type="dxa"/>
            <w:vAlign w:val="bottom"/>
            <w:tcBorders>
              <w:top w:val="single" w:sz="8" w:color="88888B"/>
            </w:tcBorders>
            <w:vMerge w:val="restart"/>
          </w:tcPr>
          <w:p>
            <w:pPr>
              <w:jc w:val="right"/>
              <w:ind w:right="246"/>
              <w:spacing w:after="0"/>
              <w:rPr>
                <w:sz w:val="20"/>
                <w:szCs w:val="20"/>
                <w:color w:val="auto"/>
              </w:rPr>
            </w:pPr>
            <w:r>
              <w:rPr>
                <w:rFonts w:ascii="Arial" w:cs="Arial" w:eastAsia="Arial" w:hAnsi="Arial"/>
                <w:sz w:val="11"/>
                <w:szCs w:val="11"/>
                <w:color w:val="55565A"/>
              </w:rPr>
              <w:t>–</w:t>
            </w:r>
          </w:p>
        </w:tc>
        <w:tc>
          <w:tcPr>
            <w:tcW w:w="1440" w:type="dxa"/>
            <w:vAlign w:val="bottom"/>
            <w:tcBorders>
              <w:top w:val="single" w:sz="8" w:color="88888B"/>
            </w:tcBorders>
            <w:vMerge w:val="restart"/>
          </w:tcPr>
          <w:p>
            <w:pPr>
              <w:jc w:val="right"/>
              <w:ind w:right="166"/>
              <w:spacing w:after="0"/>
              <w:rPr>
                <w:sz w:val="20"/>
                <w:szCs w:val="20"/>
                <w:color w:val="auto"/>
              </w:rPr>
            </w:pPr>
            <w:r>
              <w:rPr>
                <w:rFonts w:ascii="Arial" w:cs="Arial" w:eastAsia="Arial" w:hAnsi="Arial"/>
                <w:sz w:val="11"/>
                <w:szCs w:val="11"/>
                <w:color w:val="55565A"/>
              </w:rPr>
              <w:t>508</w:t>
            </w:r>
          </w:p>
        </w:tc>
        <w:tc>
          <w:tcPr>
            <w:tcW w:w="0" w:type="dxa"/>
            <w:vAlign w:val="bottom"/>
          </w:tcPr>
          <w:p>
            <w:pPr>
              <w:spacing w:after="0"/>
              <w:rPr>
                <w:sz w:val="1"/>
                <w:szCs w:val="1"/>
                <w:color w:val="auto"/>
              </w:rPr>
            </w:pPr>
          </w:p>
        </w:tc>
      </w:tr>
      <w:tr>
        <w:trPr>
          <w:trHeight w:val="63"/>
        </w:trPr>
        <w:tc>
          <w:tcPr>
            <w:tcW w:w="29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Finance (costs) income, net:</w:t>
            </w:r>
          </w:p>
        </w:tc>
        <w:tc>
          <w:tcPr>
            <w:tcW w:w="9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tcPr>
          <w:p>
            <w:pPr>
              <w:ind w:left="120"/>
              <w:spacing w:after="0"/>
              <w:rPr>
                <w:sz w:val="20"/>
                <w:szCs w:val="20"/>
                <w:color w:val="auto"/>
              </w:rPr>
            </w:pPr>
            <w:r>
              <w:rPr>
                <w:rFonts w:ascii="Arial" w:cs="Arial" w:eastAsia="Arial" w:hAnsi="Arial"/>
                <w:sz w:val="11"/>
                <w:szCs w:val="11"/>
                <w:color w:val="55565A"/>
              </w:rPr>
              <w:t>Net interest expense</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color w:val="55565A"/>
              </w:rPr>
              <w:t>(51)</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color w:val="55565A"/>
              </w:rPr>
              <w:t>(1)</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color w:val="55565A"/>
              </w:rPr>
              <w:t>(3)</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color w:val="55565A"/>
              </w:rPr>
              <w:t>(55)</w:t>
            </w:r>
          </w:p>
        </w:tc>
        <w:tc>
          <w:tcPr>
            <w:tcW w:w="0" w:type="dxa"/>
            <w:vAlign w:val="bottom"/>
          </w:tcPr>
          <w:p>
            <w:pPr>
              <w:spacing w:after="0"/>
              <w:rPr>
                <w:sz w:val="1"/>
                <w:szCs w:val="1"/>
                <w:color w:val="auto"/>
              </w:rPr>
            </w:pPr>
          </w:p>
        </w:tc>
      </w:tr>
      <w:tr>
        <w:trPr>
          <w:trHeight w:val="63"/>
        </w:trPr>
        <w:tc>
          <w:tcPr>
            <w:tcW w:w="29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55565A"/>
              </w:rPr>
              <w:t>Other finance costs</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55565A"/>
              </w:rPr>
              <w:t>(3)</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color w:val="55565A"/>
              </w:rPr>
              <w:t>–</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color w:val="55565A"/>
              </w:rPr>
              <w:t>(87)</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55565A"/>
              </w:rPr>
              <w:t>–</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55565A"/>
              </w:rPr>
              <w:t>(90)</w:t>
            </w:r>
          </w:p>
        </w:tc>
        <w:tc>
          <w:tcPr>
            <w:tcW w:w="0" w:type="dxa"/>
            <w:vAlign w:val="bottom"/>
          </w:tcPr>
          <w:p>
            <w:pPr>
              <w:spacing w:after="0"/>
              <w:rPr>
                <w:sz w:val="1"/>
                <w:szCs w:val="1"/>
                <w:color w:val="auto"/>
              </w:rPr>
            </w:pPr>
          </w:p>
        </w:tc>
      </w:tr>
      <w:tr>
        <w:trPr>
          <w:trHeight w:val="208"/>
        </w:trPr>
        <w:tc>
          <w:tcPr>
            <w:tcW w:w="2940" w:type="dxa"/>
            <w:vAlign w:val="bottom"/>
          </w:tcPr>
          <w:p>
            <w:pPr>
              <w:ind w:left="120"/>
              <w:spacing w:after="0"/>
              <w:rPr>
                <w:sz w:val="20"/>
                <w:szCs w:val="20"/>
                <w:color w:val="auto"/>
              </w:rPr>
            </w:pPr>
            <w:r>
              <w:rPr>
                <w:rFonts w:ascii="Arial" w:cs="Arial" w:eastAsia="Arial" w:hAnsi="Arial"/>
                <w:sz w:val="11"/>
                <w:szCs w:val="11"/>
                <w:color w:val="55565A"/>
              </w:rPr>
              <w:t>Intercompany net interest income (expense)</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color w:val="55565A"/>
              </w:rPr>
              <w:t>66</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color w:val="55565A"/>
              </w:rPr>
              <w:t>(12)</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color w:val="55565A"/>
              </w:rPr>
              <w:t>(54)</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color w:val="55565A"/>
              </w:rPr>
              <w:t>–</w:t>
            </w:r>
          </w:p>
        </w:tc>
        <w:tc>
          <w:tcPr>
            <w:tcW w:w="0" w:type="dxa"/>
            <w:vAlign w:val="bottom"/>
          </w:tcPr>
          <w:p>
            <w:pPr>
              <w:spacing w:after="0"/>
              <w:rPr>
                <w:sz w:val="1"/>
                <w:szCs w:val="1"/>
                <w:color w:val="auto"/>
              </w:rPr>
            </w:pPr>
          </w:p>
        </w:tc>
      </w:tr>
      <w:tr>
        <w:trPr>
          <w:trHeight w:val="53"/>
        </w:trPr>
        <w:tc>
          <w:tcPr>
            <w:tcW w:w="2940" w:type="dxa"/>
            <w:vAlign w:val="bottom"/>
            <w:tcBorders>
              <w:bottom w:val="single" w:sz="8" w:color="88888B"/>
            </w:tcBorders>
          </w:tcPr>
          <w:p>
            <w:pPr>
              <w:spacing w:after="0"/>
              <w:rPr>
                <w:sz w:val="4"/>
                <w:szCs w:val="4"/>
                <w:color w:val="auto"/>
              </w:rPr>
            </w:pPr>
          </w:p>
        </w:tc>
        <w:tc>
          <w:tcPr>
            <w:tcW w:w="940" w:type="dxa"/>
            <w:vAlign w:val="bottom"/>
            <w:tcBorders>
              <w:bottom w:val="single" w:sz="8" w:color="88888B"/>
            </w:tcBorders>
            <w:vMerge w:val="continue"/>
          </w:tcPr>
          <w:p>
            <w:pPr>
              <w:spacing w:after="0"/>
              <w:rPr>
                <w:sz w:val="4"/>
                <w:szCs w:val="4"/>
                <w:color w:val="auto"/>
              </w:rPr>
            </w:pPr>
          </w:p>
        </w:tc>
        <w:tc>
          <w:tcPr>
            <w:tcW w:w="1240" w:type="dxa"/>
            <w:vAlign w:val="bottom"/>
            <w:tcBorders>
              <w:bottom w:val="single" w:sz="8" w:color="88888B"/>
            </w:tcBorders>
            <w:vMerge w:val="continue"/>
          </w:tcPr>
          <w:p>
            <w:pPr>
              <w:spacing w:after="0"/>
              <w:rPr>
                <w:sz w:val="4"/>
                <w:szCs w:val="4"/>
                <w:color w:val="auto"/>
              </w:rPr>
            </w:pPr>
          </w:p>
        </w:tc>
        <w:tc>
          <w:tcPr>
            <w:tcW w:w="1380" w:type="dxa"/>
            <w:vAlign w:val="bottom"/>
            <w:tcBorders>
              <w:bottom w:val="single" w:sz="8" w:color="88888B"/>
            </w:tcBorders>
            <w:vMerge w:val="continue"/>
          </w:tcPr>
          <w:p>
            <w:pPr>
              <w:spacing w:after="0"/>
              <w:rPr>
                <w:sz w:val="4"/>
                <w:szCs w:val="4"/>
                <w:color w:val="auto"/>
              </w:rPr>
            </w:pPr>
          </w:p>
        </w:tc>
        <w:tc>
          <w:tcPr>
            <w:tcW w:w="1760" w:type="dxa"/>
            <w:vAlign w:val="bottom"/>
            <w:tcBorders>
              <w:bottom w:val="single" w:sz="8" w:color="88888B"/>
            </w:tcBorders>
            <w:vMerge w:val="continue"/>
          </w:tcPr>
          <w:p>
            <w:pPr>
              <w:spacing w:after="0"/>
              <w:rPr>
                <w:sz w:val="4"/>
                <w:szCs w:val="4"/>
                <w:color w:val="auto"/>
              </w:rPr>
            </w:pPr>
          </w:p>
        </w:tc>
        <w:tc>
          <w:tcPr>
            <w:tcW w:w="1220" w:type="dxa"/>
            <w:vAlign w:val="bottom"/>
            <w:tcBorders>
              <w:bottom w:val="single" w:sz="8" w:color="88888B"/>
            </w:tcBorders>
            <w:vMerge w:val="continue"/>
          </w:tcPr>
          <w:p>
            <w:pPr>
              <w:spacing w:after="0"/>
              <w:rPr>
                <w:sz w:val="4"/>
                <w:szCs w:val="4"/>
                <w:color w:val="auto"/>
              </w:rPr>
            </w:pPr>
          </w:p>
        </w:tc>
        <w:tc>
          <w:tcPr>
            <w:tcW w:w="1440" w:type="dxa"/>
            <w:vAlign w:val="bottom"/>
            <w:tcBorders>
              <w:bottom w:val="single" w:sz="8" w:color="88888B"/>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Income before tax and equity method investments</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55565A"/>
              </w:rPr>
              <w:t>35</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color w:val="55565A"/>
              </w:rPr>
              <w:t>91</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color w:val="55565A"/>
              </w:rPr>
              <w:t>237</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55565A"/>
              </w:rPr>
              <w:t>–</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55565A"/>
              </w:rPr>
              <w:t>363</w:t>
            </w:r>
          </w:p>
        </w:tc>
        <w:tc>
          <w:tcPr>
            <w:tcW w:w="0" w:type="dxa"/>
            <w:vAlign w:val="bottom"/>
          </w:tcPr>
          <w:p>
            <w:pPr>
              <w:spacing w:after="0"/>
              <w:rPr>
                <w:sz w:val="1"/>
                <w:szCs w:val="1"/>
                <w:color w:val="auto"/>
              </w:rPr>
            </w:pPr>
          </w:p>
        </w:tc>
      </w:tr>
      <w:tr>
        <w:trPr>
          <w:trHeight w:val="208"/>
        </w:trPr>
        <w:tc>
          <w:tcPr>
            <w:tcW w:w="2940" w:type="dxa"/>
            <w:vAlign w:val="bottom"/>
          </w:tcPr>
          <w:p>
            <w:pPr>
              <w:spacing w:after="0"/>
              <w:rPr>
                <w:sz w:val="20"/>
                <w:szCs w:val="20"/>
                <w:color w:val="auto"/>
              </w:rPr>
            </w:pPr>
            <w:r>
              <w:rPr>
                <w:rFonts w:ascii="Arial" w:cs="Arial" w:eastAsia="Arial" w:hAnsi="Arial"/>
                <w:sz w:val="11"/>
                <w:szCs w:val="11"/>
                <w:color w:val="55565A"/>
              </w:rPr>
              <w:t>Share of post-tax earnings in equity method investments</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color w:val="55565A"/>
              </w:rPr>
              <w:t>–</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color w:val="55565A"/>
              </w:rPr>
              <w:t>570</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color w:val="55565A"/>
              </w:rPr>
              <w:t>570</w:t>
            </w:r>
          </w:p>
        </w:tc>
        <w:tc>
          <w:tcPr>
            <w:tcW w:w="0" w:type="dxa"/>
            <w:vAlign w:val="bottom"/>
          </w:tcPr>
          <w:p>
            <w:pPr>
              <w:spacing w:after="0"/>
              <w:rPr>
                <w:sz w:val="1"/>
                <w:szCs w:val="1"/>
                <w:color w:val="auto"/>
              </w:rPr>
            </w:pPr>
          </w:p>
        </w:tc>
      </w:tr>
      <w:tr>
        <w:trPr>
          <w:trHeight w:val="63"/>
        </w:trPr>
        <w:tc>
          <w:tcPr>
            <w:tcW w:w="29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Share of post-tax earnings (losses) in subsidiaries</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55565A"/>
              </w:rPr>
              <w:t>721</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color w:val="55565A"/>
              </w:rPr>
              <w:t>(3)</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color w:val="55565A"/>
              </w:rPr>
              <w:t>68</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55565A"/>
              </w:rPr>
              <w:t>(786)</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55565A"/>
              </w:rPr>
              <w:t>–</w:t>
            </w:r>
          </w:p>
        </w:tc>
        <w:tc>
          <w:tcPr>
            <w:tcW w:w="0" w:type="dxa"/>
            <w:vAlign w:val="bottom"/>
          </w:tcPr>
          <w:p>
            <w:pPr>
              <w:spacing w:after="0"/>
              <w:rPr>
                <w:sz w:val="1"/>
                <w:szCs w:val="1"/>
                <w:color w:val="auto"/>
              </w:rPr>
            </w:pPr>
          </w:p>
        </w:tc>
      </w:tr>
      <w:tr>
        <w:trPr>
          <w:trHeight w:val="208"/>
        </w:trPr>
        <w:tc>
          <w:tcPr>
            <w:tcW w:w="2940" w:type="dxa"/>
            <w:vAlign w:val="bottom"/>
          </w:tcPr>
          <w:p>
            <w:pPr>
              <w:spacing w:after="0"/>
              <w:rPr>
                <w:sz w:val="20"/>
                <w:szCs w:val="20"/>
                <w:color w:val="auto"/>
              </w:rPr>
            </w:pPr>
            <w:r>
              <w:rPr>
                <w:rFonts w:ascii="Arial" w:cs="Arial" w:eastAsia="Arial" w:hAnsi="Arial"/>
                <w:sz w:val="11"/>
                <w:szCs w:val="11"/>
                <w:color w:val="55565A"/>
              </w:rPr>
              <w:t>Tax expense</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color w:val="55565A"/>
              </w:rPr>
              <w:t>(23)</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color w:val="55565A"/>
              </w:rPr>
              <w:t>(173)</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color w:val="55565A"/>
              </w:rPr>
              <w:t>(196)</w:t>
            </w:r>
          </w:p>
        </w:tc>
        <w:tc>
          <w:tcPr>
            <w:tcW w:w="0" w:type="dxa"/>
            <w:vAlign w:val="bottom"/>
          </w:tcPr>
          <w:p>
            <w:pPr>
              <w:spacing w:after="0"/>
              <w:rPr>
                <w:sz w:val="1"/>
                <w:szCs w:val="1"/>
                <w:color w:val="auto"/>
              </w:rPr>
            </w:pPr>
          </w:p>
        </w:tc>
      </w:tr>
      <w:tr>
        <w:trPr>
          <w:trHeight w:val="53"/>
        </w:trPr>
        <w:tc>
          <w:tcPr>
            <w:tcW w:w="2940" w:type="dxa"/>
            <w:vAlign w:val="bottom"/>
            <w:tcBorders>
              <w:bottom w:val="single" w:sz="8" w:color="88888B"/>
            </w:tcBorders>
          </w:tcPr>
          <w:p>
            <w:pPr>
              <w:spacing w:after="0"/>
              <w:rPr>
                <w:sz w:val="4"/>
                <w:szCs w:val="4"/>
                <w:color w:val="auto"/>
              </w:rPr>
            </w:pPr>
          </w:p>
        </w:tc>
        <w:tc>
          <w:tcPr>
            <w:tcW w:w="940" w:type="dxa"/>
            <w:vAlign w:val="bottom"/>
            <w:tcBorders>
              <w:bottom w:val="single" w:sz="8" w:color="88888B"/>
            </w:tcBorders>
            <w:vMerge w:val="continue"/>
          </w:tcPr>
          <w:p>
            <w:pPr>
              <w:spacing w:after="0"/>
              <w:rPr>
                <w:sz w:val="4"/>
                <w:szCs w:val="4"/>
                <w:color w:val="auto"/>
              </w:rPr>
            </w:pPr>
          </w:p>
        </w:tc>
        <w:tc>
          <w:tcPr>
            <w:tcW w:w="1240" w:type="dxa"/>
            <w:vAlign w:val="bottom"/>
            <w:tcBorders>
              <w:bottom w:val="single" w:sz="8" w:color="88888B"/>
            </w:tcBorders>
            <w:vMerge w:val="continue"/>
          </w:tcPr>
          <w:p>
            <w:pPr>
              <w:spacing w:after="0"/>
              <w:rPr>
                <w:sz w:val="4"/>
                <w:szCs w:val="4"/>
                <w:color w:val="auto"/>
              </w:rPr>
            </w:pPr>
          </w:p>
        </w:tc>
        <w:tc>
          <w:tcPr>
            <w:tcW w:w="1380" w:type="dxa"/>
            <w:vAlign w:val="bottom"/>
            <w:tcBorders>
              <w:bottom w:val="single" w:sz="8" w:color="88888B"/>
            </w:tcBorders>
            <w:vMerge w:val="continue"/>
          </w:tcPr>
          <w:p>
            <w:pPr>
              <w:spacing w:after="0"/>
              <w:rPr>
                <w:sz w:val="4"/>
                <w:szCs w:val="4"/>
                <w:color w:val="auto"/>
              </w:rPr>
            </w:pPr>
          </w:p>
        </w:tc>
        <w:tc>
          <w:tcPr>
            <w:tcW w:w="1760" w:type="dxa"/>
            <w:vAlign w:val="bottom"/>
            <w:tcBorders>
              <w:bottom w:val="single" w:sz="8" w:color="88888B"/>
            </w:tcBorders>
            <w:vMerge w:val="continue"/>
          </w:tcPr>
          <w:p>
            <w:pPr>
              <w:spacing w:after="0"/>
              <w:rPr>
                <w:sz w:val="4"/>
                <w:szCs w:val="4"/>
                <w:color w:val="auto"/>
              </w:rPr>
            </w:pPr>
          </w:p>
        </w:tc>
        <w:tc>
          <w:tcPr>
            <w:tcW w:w="1220" w:type="dxa"/>
            <w:vAlign w:val="bottom"/>
            <w:tcBorders>
              <w:bottom w:val="single" w:sz="8" w:color="88888B"/>
            </w:tcBorders>
            <w:vMerge w:val="continue"/>
          </w:tcPr>
          <w:p>
            <w:pPr>
              <w:spacing w:after="0"/>
              <w:rPr>
                <w:sz w:val="4"/>
                <w:szCs w:val="4"/>
                <w:color w:val="auto"/>
              </w:rPr>
            </w:pPr>
          </w:p>
        </w:tc>
        <w:tc>
          <w:tcPr>
            <w:tcW w:w="1440" w:type="dxa"/>
            <w:vAlign w:val="bottom"/>
            <w:tcBorders>
              <w:bottom w:val="single" w:sz="8" w:color="88888B"/>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55565A"/>
              </w:rPr>
              <w:t>Earnings from continuing operations</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55565A"/>
              </w:rPr>
              <w:t>756</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color w:val="55565A"/>
              </w:rPr>
              <w:t>65</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color w:val="55565A"/>
              </w:rPr>
              <w:t>702</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55565A"/>
              </w:rPr>
              <w:t>(786)</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55565A"/>
              </w:rPr>
              <w:t>737</w:t>
            </w:r>
          </w:p>
        </w:tc>
        <w:tc>
          <w:tcPr>
            <w:tcW w:w="0" w:type="dxa"/>
            <w:vAlign w:val="bottom"/>
          </w:tcPr>
          <w:p>
            <w:pPr>
              <w:spacing w:after="0"/>
              <w:rPr>
                <w:sz w:val="1"/>
                <w:szCs w:val="1"/>
                <w:color w:val="auto"/>
              </w:rPr>
            </w:pPr>
          </w:p>
        </w:tc>
      </w:tr>
      <w:tr>
        <w:trPr>
          <w:trHeight w:val="208"/>
        </w:trPr>
        <w:tc>
          <w:tcPr>
            <w:tcW w:w="2940" w:type="dxa"/>
            <w:vAlign w:val="bottom"/>
          </w:tcPr>
          <w:p>
            <w:pPr>
              <w:spacing w:after="0"/>
              <w:rPr>
                <w:sz w:val="20"/>
                <w:szCs w:val="20"/>
                <w:color w:val="auto"/>
              </w:rPr>
            </w:pPr>
            <w:r>
              <w:rPr>
                <w:rFonts w:ascii="Arial" w:cs="Arial" w:eastAsia="Arial" w:hAnsi="Arial"/>
                <w:sz w:val="11"/>
                <w:szCs w:val="11"/>
                <w:color w:val="55565A"/>
              </w:rPr>
              <w:t>Earnings from discontinued operations, net of tax</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color w:val="55565A"/>
              </w:rPr>
              <w:t>–</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color w:val="55565A"/>
              </w:rPr>
              <w:t>19</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color w:val="55565A"/>
              </w:rPr>
              <w:t>19</w:t>
            </w:r>
          </w:p>
        </w:tc>
        <w:tc>
          <w:tcPr>
            <w:tcW w:w="0" w:type="dxa"/>
            <w:vAlign w:val="bottom"/>
          </w:tcPr>
          <w:p>
            <w:pPr>
              <w:spacing w:after="0"/>
              <w:rPr>
                <w:sz w:val="1"/>
                <w:szCs w:val="1"/>
                <w:color w:val="auto"/>
              </w:rPr>
            </w:pPr>
          </w:p>
        </w:tc>
      </w:tr>
      <w:tr>
        <w:trPr>
          <w:trHeight w:val="53"/>
        </w:trPr>
        <w:tc>
          <w:tcPr>
            <w:tcW w:w="2940" w:type="dxa"/>
            <w:vAlign w:val="bottom"/>
            <w:tcBorders>
              <w:bottom w:val="single" w:sz="8" w:color="88888B"/>
            </w:tcBorders>
          </w:tcPr>
          <w:p>
            <w:pPr>
              <w:spacing w:after="0"/>
              <w:rPr>
                <w:sz w:val="4"/>
                <w:szCs w:val="4"/>
                <w:color w:val="auto"/>
              </w:rPr>
            </w:pPr>
          </w:p>
        </w:tc>
        <w:tc>
          <w:tcPr>
            <w:tcW w:w="940" w:type="dxa"/>
            <w:vAlign w:val="bottom"/>
            <w:tcBorders>
              <w:bottom w:val="single" w:sz="8" w:color="88888B"/>
            </w:tcBorders>
            <w:vMerge w:val="continue"/>
          </w:tcPr>
          <w:p>
            <w:pPr>
              <w:spacing w:after="0"/>
              <w:rPr>
                <w:sz w:val="4"/>
                <w:szCs w:val="4"/>
                <w:color w:val="auto"/>
              </w:rPr>
            </w:pPr>
          </w:p>
        </w:tc>
        <w:tc>
          <w:tcPr>
            <w:tcW w:w="1240" w:type="dxa"/>
            <w:vAlign w:val="bottom"/>
            <w:tcBorders>
              <w:bottom w:val="single" w:sz="8" w:color="88888B"/>
            </w:tcBorders>
            <w:vMerge w:val="continue"/>
          </w:tcPr>
          <w:p>
            <w:pPr>
              <w:spacing w:after="0"/>
              <w:rPr>
                <w:sz w:val="4"/>
                <w:szCs w:val="4"/>
                <w:color w:val="auto"/>
              </w:rPr>
            </w:pPr>
          </w:p>
        </w:tc>
        <w:tc>
          <w:tcPr>
            <w:tcW w:w="1380" w:type="dxa"/>
            <w:vAlign w:val="bottom"/>
            <w:tcBorders>
              <w:bottom w:val="single" w:sz="8" w:color="88888B"/>
            </w:tcBorders>
            <w:vMerge w:val="continue"/>
          </w:tcPr>
          <w:p>
            <w:pPr>
              <w:spacing w:after="0"/>
              <w:rPr>
                <w:sz w:val="4"/>
                <w:szCs w:val="4"/>
                <w:color w:val="auto"/>
              </w:rPr>
            </w:pPr>
          </w:p>
        </w:tc>
        <w:tc>
          <w:tcPr>
            <w:tcW w:w="1760" w:type="dxa"/>
            <w:vAlign w:val="bottom"/>
            <w:tcBorders>
              <w:bottom w:val="single" w:sz="8" w:color="88888B"/>
            </w:tcBorders>
            <w:vMerge w:val="continue"/>
          </w:tcPr>
          <w:p>
            <w:pPr>
              <w:spacing w:after="0"/>
              <w:rPr>
                <w:sz w:val="4"/>
                <w:szCs w:val="4"/>
                <w:color w:val="auto"/>
              </w:rPr>
            </w:pPr>
          </w:p>
        </w:tc>
        <w:tc>
          <w:tcPr>
            <w:tcW w:w="1220" w:type="dxa"/>
            <w:vAlign w:val="bottom"/>
            <w:tcBorders>
              <w:bottom w:val="single" w:sz="8" w:color="88888B"/>
            </w:tcBorders>
            <w:vMerge w:val="continue"/>
          </w:tcPr>
          <w:p>
            <w:pPr>
              <w:spacing w:after="0"/>
              <w:rPr>
                <w:sz w:val="4"/>
                <w:szCs w:val="4"/>
                <w:color w:val="auto"/>
              </w:rPr>
            </w:pPr>
          </w:p>
        </w:tc>
        <w:tc>
          <w:tcPr>
            <w:tcW w:w="1440" w:type="dxa"/>
            <w:vAlign w:val="bottom"/>
            <w:tcBorders>
              <w:bottom w:val="single" w:sz="8" w:color="88888B"/>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Net earnings</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55565A"/>
              </w:rPr>
              <w:t>756</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color w:val="55565A"/>
              </w:rPr>
              <w:t>65</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color w:val="55565A"/>
              </w:rPr>
              <w:t>721</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55565A"/>
              </w:rPr>
              <w:t>(786)</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55565A"/>
              </w:rPr>
              <w:t>756</w:t>
            </w:r>
          </w:p>
        </w:tc>
        <w:tc>
          <w:tcPr>
            <w:tcW w:w="0" w:type="dxa"/>
            <w:vAlign w:val="bottom"/>
          </w:tcPr>
          <w:p>
            <w:pPr>
              <w:spacing w:after="0"/>
              <w:rPr>
                <w:sz w:val="1"/>
                <w:szCs w:val="1"/>
                <w:color w:val="auto"/>
              </w:rPr>
            </w:pPr>
          </w:p>
        </w:tc>
      </w:tr>
      <w:tr>
        <w:trPr>
          <w:trHeight w:val="188"/>
        </w:trPr>
        <w:tc>
          <w:tcPr>
            <w:tcW w:w="2940" w:type="dxa"/>
            <w:vAlign w:val="bottom"/>
            <w:tcBorders>
              <w:top w:val="single" w:sz="8" w:color="88888B"/>
            </w:tcBorders>
          </w:tcPr>
          <w:p>
            <w:pPr>
              <w:spacing w:after="0"/>
              <w:rPr>
                <w:sz w:val="20"/>
                <w:szCs w:val="20"/>
                <w:color w:val="auto"/>
              </w:rPr>
            </w:pPr>
            <w:r>
              <w:rPr>
                <w:rFonts w:ascii="Arial" w:cs="Arial" w:eastAsia="Arial" w:hAnsi="Arial"/>
                <w:sz w:val="11"/>
                <w:szCs w:val="11"/>
                <w:color w:val="55565A"/>
              </w:rPr>
              <w:t>Earnings attributable to:</w:t>
            </w:r>
          </w:p>
        </w:tc>
        <w:tc>
          <w:tcPr>
            <w:tcW w:w="940" w:type="dxa"/>
            <w:vAlign w:val="bottom"/>
            <w:tcBorders>
              <w:top w:val="single" w:sz="8" w:color="88888B"/>
            </w:tcBorders>
          </w:tcPr>
          <w:p>
            <w:pPr>
              <w:spacing w:after="0"/>
              <w:rPr>
                <w:sz w:val="16"/>
                <w:szCs w:val="16"/>
                <w:color w:val="auto"/>
              </w:rPr>
            </w:pPr>
          </w:p>
        </w:tc>
        <w:tc>
          <w:tcPr>
            <w:tcW w:w="1240" w:type="dxa"/>
            <w:vAlign w:val="bottom"/>
            <w:tcBorders>
              <w:top w:val="single" w:sz="8" w:color="88888B"/>
            </w:tcBorders>
          </w:tcPr>
          <w:p>
            <w:pPr>
              <w:spacing w:after="0"/>
              <w:rPr>
                <w:sz w:val="16"/>
                <w:szCs w:val="16"/>
                <w:color w:val="auto"/>
              </w:rPr>
            </w:pPr>
          </w:p>
        </w:tc>
        <w:tc>
          <w:tcPr>
            <w:tcW w:w="1380" w:type="dxa"/>
            <w:vAlign w:val="bottom"/>
            <w:tcBorders>
              <w:top w:val="single" w:sz="8" w:color="88888B"/>
            </w:tcBorders>
          </w:tcPr>
          <w:p>
            <w:pPr>
              <w:spacing w:after="0"/>
              <w:rPr>
                <w:sz w:val="16"/>
                <w:szCs w:val="16"/>
                <w:color w:val="auto"/>
              </w:rPr>
            </w:pPr>
          </w:p>
        </w:tc>
        <w:tc>
          <w:tcPr>
            <w:tcW w:w="1760" w:type="dxa"/>
            <w:vAlign w:val="bottom"/>
            <w:tcBorders>
              <w:top w:val="single" w:sz="8" w:color="88888B"/>
            </w:tcBorders>
          </w:tcPr>
          <w:p>
            <w:pPr>
              <w:spacing w:after="0"/>
              <w:rPr>
                <w:sz w:val="16"/>
                <w:szCs w:val="16"/>
                <w:color w:val="auto"/>
              </w:rPr>
            </w:pPr>
          </w:p>
        </w:tc>
        <w:tc>
          <w:tcPr>
            <w:tcW w:w="1220" w:type="dxa"/>
            <w:vAlign w:val="bottom"/>
            <w:tcBorders>
              <w:top w:val="single" w:sz="8" w:color="88888B"/>
            </w:tcBorders>
          </w:tcPr>
          <w:p>
            <w:pPr>
              <w:spacing w:after="0"/>
              <w:rPr>
                <w:sz w:val="16"/>
                <w:szCs w:val="16"/>
                <w:color w:val="auto"/>
              </w:rPr>
            </w:pPr>
          </w:p>
        </w:tc>
        <w:tc>
          <w:tcPr>
            <w:tcW w:w="1440" w:type="dxa"/>
            <w:vAlign w:val="bottom"/>
            <w:tcBorders>
              <w:top w:val="single" w:sz="8" w:color="88888B"/>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2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55565A"/>
              </w:rPr>
              <w:t>Common shareholders</w:t>
            </w:r>
          </w:p>
        </w:tc>
        <w:tc>
          <w:tcPr>
            <w:tcW w:w="9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55565A"/>
              </w:rPr>
              <w:t>756</w:t>
            </w:r>
          </w:p>
        </w:tc>
        <w:tc>
          <w:tcPr>
            <w:tcW w:w="12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1"/>
                <w:szCs w:val="11"/>
                <w:color w:val="55565A"/>
              </w:rPr>
              <w:t>65</w:t>
            </w:r>
          </w:p>
        </w:tc>
        <w:tc>
          <w:tcPr>
            <w:tcW w:w="176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1"/>
                <w:szCs w:val="11"/>
                <w:color w:val="55565A"/>
              </w:rPr>
              <w:t>721</w:t>
            </w:r>
          </w:p>
        </w:tc>
        <w:tc>
          <w:tcPr>
            <w:tcW w:w="122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55565A"/>
              </w:rPr>
              <w:t>(786)</w:t>
            </w:r>
          </w:p>
        </w:tc>
        <w:tc>
          <w:tcPr>
            <w:tcW w:w="14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55565A"/>
              </w:rPr>
              <w:t>756</w:t>
            </w:r>
          </w:p>
        </w:tc>
        <w:tc>
          <w:tcPr>
            <w:tcW w:w="0" w:type="dxa"/>
            <w:vAlign w:val="bottom"/>
          </w:tcPr>
          <w:p>
            <w:pPr>
              <w:spacing w:after="0"/>
              <w:rPr>
                <w:sz w:val="1"/>
                <w:szCs w:val="1"/>
                <w:color w:val="auto"/>
              </w:rPr>
            </w:pPr>
          </w:p>
        </w:tc>
      </w:tr>
      <w:tr>
        <w:trPr>
          <w:trHeight w:val="208"/>
        </w:trPr>
        <w:tc>
          <w:tcPr>
            <w:tcW w:w="2940" w:type="dxa"/>
            <w:vAlign w:val="bottom"/>
          </w:tcPr>
          <w:p>
            <w:pPr>
              <w:spacing w:after="0"/>
              <w:rPr>
                <w:sz w:val="20"/>
                <w:szCs w:val="20"/>
                <w:color w:val="auto"/>
              </w:rPr>
            </w:pPr>
            <w:r>
              <w:rPr>
                <w:rFonts w:ascii="Arial" w:cs="Arial" w:eastAsia="Arial" w:hAnsi="Arial"/>
                <w:sz w:val="11"/>
                <w:szCs w:val="11"/>
                <w:color w:val="55565A"/>
              </w:rPr>
              <w:t>Non-controlling interests</w:t>
            </w:r>
          </w:p>
        </w:tc>
        <w:tc>
          <w:tcPr>
            <w:tcW w:w="940" w:type="dxa"/>
            <w:vAlign w:val="bottom"/>
            <w:vMerge w:val="restart"/>
          </w:tcPr>
          <w:p>
            <w:pPr>
              <w:jc w:val="right"/>
              <w:ind w:right="186"/>
              <w:spacing w:after="0"/>
              <w:rPr>
                <w:sz w:val="20"/>
                <w:szCs w:val="20"/>
                <w:color w:val="auto"/>
              </w:rPr>
            </w:pPr>
            <w:r>
              <w:rPr>
                <w:rFonts w:ascii="Arial" w:cs="Arial" w:eastAsia="Arial" w:hAnsi="Arial"/>
                <w:sz w:val="11"/>
                <w:szCs w:val="11"/>
                <w:color w:val="55565A"/>
              </w:rPr>
              <w:t>–</w:t>
            </w:r>
          </w:p>
        </w:tc>
        <w:tc>
          <w:tcPr>
            <w:tcW w:w="1240" w:type="dxa"/>
            <w:vAlign w:val="bottom"/>
            <w:vMerge w:val="restart"/>
          </w:tcPr>
          <w:p>
            <w:pPr>
              <w:jc w:val="right"/>
              <w:ind w:right="225"/>
              <w:spacing w:after="0"/>
              <w:rPr>
                <w:sz w:val="20"/>
                <w:szCs w:val="20"/>
                <w:color w:val="auto"/>
              </w:rPr>
            </w:pPr>
            <w:r>
              <w:rPr>
                <w:rFonts w:ascii="Arial" w:cs="Arial" w:eastAsia="Arial" w:hAnsi="Arial"/>
                <w:sz w:val="11"/>
                <w:szCs w:val="11"/>
                <w:color w:val="55565A"/>
              </w:rPr>
              <w:t>–</w:t>
            </w:r>
          </w:p>
        </w:tc>
        <w:tc>
          <w:tcPr>
            <w:tcW w:w="1380" w:type="dxa"/>
            <w:vAlign w:val="bottom"/>
            <w:vMerge w:val="restart"/>
          </w:tcPr>
          <w:p>
            <w:pPr>
              <w:jc w:val="right"/>
              <w:ind w:right="204"/>
              <w:spacing w:after="0"/>
              <w:rPr>
                <w:sz w:val="20"/>
                <w:szCs w:val="20"/>
                <w:color w:val="auto"/>
              </w:rPr>
            </w:pPr>
            <w:r>
              <w:rPr>
                <w:rFonts w:ascii="Arial" w:cs="Arial" w:eastAsia="Arial" w:hAnsi="Arial"/>
                <w:sz w:val="11"/>
                <w:szCs w:val="11"/>
                <w:color w:val="55565A"/>
              </w:rPr>
              <w:t>–</w:t>
            </w:r>
          </w:p>
        </w:tc>
        <w:tc>
          <w:tcPr>
            <w:tcW w:w="1760" w:type="dxa"/>
            <w:vAlign w:val="bottom"/>
            <w:vMerge w:val="restart"/>
          </w:tcPr>
          <w:p>
            <w:pPr>
              <w:jc w:val="right"/>
              <w:ind w:right="405"/>
              <w:spacing w:after="0"/>
              <w:rPr>
                <w:sz w:val="20"/>
                <w:szCs w:val="20"/>
                <w:color w:val="auto"/>
              </w:rPr>
            </w:pPr>
            <w:r>
              <w:rPr>
                <w:rFonts w:ascii="Arial" w:cs="Arial" w:eastAsia="Arial" w:hAnsi="Arial"/>
                <w:sz w:val="11"/>
                <w:szCs w:val="11"/>
                <w:color w:val="55565A"/>
              </w:rPr>
              <w:t>–</w:t>
            </w:r>
          </w:p>
        </w:tc>
        <w:tc>
          <w:tcPr>
            <w:tcW w:w="1220" w:type="dxa"/>
            <w:vAlign w:val="bottom"/>
            <w:vMerge w:val="restart"/>
          </w:tcPr>
          <w:p>
            <w:pPr>
              <w:jc w:val="right"/>
              <w:ind w:right="246"/>
              <w:spacing w:after="0"/>
              <w:rPr>
                <w:sz w:val="20"/>
                <w:szCs w:val="20"/>
                <w:color w:val="auto"/>
              </w:rPr>
            </w:pPr>
            <w:r>
              <w:rPr>
                <w:rFonts w:ascii="Arial" w:cs="Arial" w:eastAsia="Arial" w:hAnsi="Arial"/>
                <w:sz w:val="11"/>
                <w:szCs w:val="11"/>
                <w:color w:val="55565A"/>
              </w:rPr>
              <w:t>–</w:t>
            </w:r>
          </w:p>
        </w:tc>
        <w:tc>
          <w:tcPr>
            <w:tcW w:w="1440" w:type="dxa"/>
            <w:vAlign w:val="bottom"/>
            <w:vMerge w:val="restart"/>
          </w:tcPr>
          <w:p>
            <w:pPr>
              <w:jc w:val="right"/>
              <w:ind w:right="166"/>
              <w:spacing w:after="0"/>
              <w:rPr>
                <w:sz w:val="20"/>
                <w:szCs w:val="20"/>
                <w:color w:val="auto"/>
              </w:rPr>
            </w:pPr>
            <w:r>
              <w:rPr>
                <w:rFonts w:ascii="Arial" w:cs="Arial" w:eastAsia="Arial" w:hAnsi="Arial"/>
                <w:sz w:val="11"/>
                <w:szCs w:val="11"/>
                <w:color w:val="55565A"/>
              </w:rPr>
              <w:t>–</w:t>
            </w:r>
          </w:p>
        </w:tc>
        <w:tc>
          <w:tcPr>
            <w:tcW w:w="0" w:type="dxa"/>
            <w:vAlign w:val="bottom"/>
          </w:tcPr>
          <w:p>
            <w:pPr>
              <w:spacing w:after="0"/>
              <w:rPr>
                <w:sz w:val="1"/>
                <w:szCs w:val="1"/>
                <w:color w:val="auto"/>
              </w:rPr>
            </w:pPr>
          </w:p>
        </w:tc>
      </w:tr>
      <w:tr>
        <w:trPr>
          <w:trHeight w:val="46"/>
        </w:trPr>
        <w:tc>
          <w:tcPr>
            <w:tcW w:w="2940" w:type="dxa"/>
            <w:vAlign w:val="bottom"/>
            <w:tcBorders>
              <w:bottom w:val="single" w:sz="8" w:color="55565A"/>
            </w:tcBorders>
          </w:tcPr>
          <w:p>
            <w:pPr>
              <w:spacing w:after="0"/>
              <w:rPr>
                <w:sz w:val="4"/>
                <w:szCs w:val="4"/>
                <w:color w:val="auto"/>
              </w:rPr>
            </w:pPr>
          </w:p>
        </w:tc>
        <w:tc>
          <w:tcPr>
            <w:tcW w:w="940" w:type="dxa"/>
            <w:vAlign w:val="bottom"/>
            <w:tcBorders>
              <w:bottom w:val="single" w:sz="8" w:color="55565A"/>
            </w:tcBorders>
            <w:vMerge w:val="continue"/>
          </w:tcPr>
          <w:p>
            <w:pPr>
              <w:spacing w:after="0"/>
              <w:rPr>
                <w:sz w:val="4"/>
                <w:szCs w:val="4"/>
                <w:color w:val="auto"/>
              </w:rPr>
            </w:pPr>
          </w:p>
        </w:tc>
        <w:tc>
          <w:tcPr>
            <w:tcW w:w="1240" w:type="dxa"/>
            <w:vAlign w:val="bottom"/>
            <w:tcBorders>
              <w:bottom w:val="single" w:sz="8" w:color="55565A"/>
            </w:tcBorders>
            <w:vMerge w:val="continue"/>
          </w:tcPr>
          <w:p>
            <w:pPr>
              <w:spacing w:after="0"/>
              <w:rPr>
                <w:sz w:val="4"/>
                <w:szCs w:val="4"/>
                <w:color w:val="auto"/>
              </w:rPr>
            </w:pPr>
          </w:p>
        </w:tc>
        <w:tc>
          <w:tcPr>
            <w:tcW w:w="1380" w:type="dxa"/>
            <w:vAlign w:val="bottom"/>
            <w:tcBorders>
              <w:bottom w:val="single" w:sz="8" w:color="55565A"/>
            </w:tcBorders>
            <w:vMerge w:val="continue"/>
          </w:tcPr>
          <w:p>
            <w:pPr>
              <w:spacing w:after="0"/>
              <w:rPr>
                <w:sz w:val="4"/>
                <w:szCs w:val="4"/>
                <w:color w:val="auto"/>
              </w:rPr>
            </w:pPr>
          </w:p>
        </w:tc>
        <w:tc>
          <w:tcPr>
            <w:tcW w:w="1760" w:type="dxa"/>
            <w:vAlign w:val="bottom"/>
            <w:tcBorders>
              <w:bottom w:val="single" w:sz="8" w:color="55565A"/>
            </w:tcBorders>
            <w:vMerge w:val="continue"/>
          </w:tcPr>
          <w:p>
            <w:pPr>
              <w:spacing w:after="0"/>
              <w:rPr>
                <w:sz w:val="4"/>
                <w:szCs w:val="4"/>
                <w:color w:val="auto"/>
              </w:rPr>
            </w:pPr>
          </w:p>
        </w:tc>
        <w:tc>
          <w:tcPr>
            <w:tcW w:w="1220" w:type="dxa"/>
            <w:vAlign w:val="bottom"/>
            <w:tcBorders>
              <w:bottom w:val="single" w:sz="8" w:color="55565A"/>
            </w:tcBorders>
            <w:vMerge w:val="continue"/>
          </w:tcPr>
          <w:p>
            <w:pPr>
              <w:spacing w:after="0"/>
              <w:rPr>
                <w:sz w:val="4"/>
                <w:szCs w:val="4"/>
                <w:color w:val="auto"/>
              </w:rPr>
            </w:pPr>
          </w:p>
        </w:tc>
        <w:tc>
          <w:tcPr>
            <w:tcW w:w="1440" w:type="dxa"/>
            <w:vAlign w:val="bottom"/>
            <w:tcBorders>
              <w:bottom w:val="single" w:sz="8" w:color="55565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940" w:type="dxa"/>
            <w:vAlign w:val="bottom"/>
            <w:tcBorders>
              <w:bottom w:val="single" w:sz="8" w:color="55565A"/>
            </w:tcBorders>
          </w:tcPr>
          <w:p>
            <w:pPr>
              <w:spacing w:after="0"/>
              <w:rPr>
                <w:sz w:val="14"/>
                <w:szCs w:val="14"/>
                <w:color w:val="auto"/>
              </w:rPr>
            </w:pPr>
          </w:p>
        </w:tc>
        <w:tc>
          <w:tcPr>
            <w:tcW w:w="940" w:type="dxa"/>
            <w:vAlign w:val="bottom"/>
            <w:tcBorders>
              <w:bottom w:val="single" w:sz="8" w:color="55565A"/>
            </w:tcBorders>
          </w:tcPr>
          <w:p>
            <w:pPr>
              <w:spacing w:after="0"/>
              <w:rPr>
                <w:sz w:val="14"/>
                <w:szCs w:val="14"/>
                <w:color w:val="auto"/>
              </w:rPr>
            </w:pPr>
          </w:p>
        </w:tc>
        <w:tc>
          <w:tcPr>
            <w:tcW w:w="1240" w:type="dxa"/>
            <w:vAlign w:val="bottom"/>
            <w:tcBorders>
              <w:bottom w:val="single" w:sz="8" w:color="55565A"/>
            </w:tcBorders>
          </w:tcPr>
          <w:p>
            <w:pPr>
              <w:spacing w:after="0"/>
              <w:rPr>
                <w:sz w:val="14"/>
                <w:szCs w:val="14"/>
                <w:color w:val="auto"/>
              </w:rPr>
            </w:pPr>
          </w:p>
        </w:tc>
        <w:tc>
          <w:tcPr>
            <w:tcW w:w="1380" w:type="dxa"/>
            <w:vAlign w:val="bottom"/>
            <w:tcBorders>
              <w:bottom w:val="single" w:sz="8" w:color="55565A"/>
            </w:tcBorders>
          </w:tcPr>
          <w:p>
            <w:pPr>
              <w:spacing w:after="0"/>
              <w:rPr>
                <w:sz w:val="14"/>
                <w:szCs w:val="14"/>
                <w:color w:val="auto"/>
              </w:rPr>
            </w:pPr>
          </w:p>
        </w:tc>
        <w:tc>
          <w:tcPr>
            <w:tcW w:w="1760" w:type="dxa"/>
            <w:vAlign w:val="bottom"/>
            <w:tcBorders>
              <w:bottom w:val="single" w:sz="8" w:color="55565A"/>
            </w:tcBorders>
          </w:tcPr>
          <w:p>
            <w:pPr>
              <w:spacing w:after="0"/>
              <w:rPr>
                <w:sz w:val="14"/>
                <w:szCs w:val="14"/>
                <w:color w:val="auto"/>
              </w:rPr>
            </w:pPr>
          </w:p>
        </w:tc>
        <w:tc>
          <w:tcPr>
            <w:tcW w:w="1220" w:type="dxa"/>
            <w:vAlign w:val="bottom"/>
            <w:tcBorders>
              <w:bottom w:val="single" w:sz="8" w:color="55565A"/>
            </w:tcBorders>
          </w:tcPr>
          <w:p>
            <w:pPr>
              <w:spacing w:after="0"/>
              <w:rPr>
                <w:sz w:val="14"/>
                <w:szCs w:val="14"/>
                <w:color w:val="auto"/>
              </w:rPr>
            </w:pPr>
          </w:p>
        </w:tc>
        <w:tc>
          <w:tcPr>
            <w:tcW w:w="1440" w:type="dxa"/>
            <w:vAlign w:val="bottom"/>
            <w:tcBorders>
              <w:bottom w:val="single" w:sz="8" w:color="55565A"/>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83" w:orient="portrait"/>
          <w:cols w:equalWidth="0" w:num="1">
            <w:col w:w="11080"/>
          </w:cols>
          <w:pgMar w:left="320" w:top="454" w:right="499" w:bottom="0" w:gutter="0" w:footer="0" w:header="0"/>
        </w:sectPr>
      </w:pPr>
    </w:p>
    <w:bookmarkStart w:id="37" w:name="page38"/>
    <w:bookmarkEnd w:id="37"/>
    <w:p>
      <w:pPr>
        <w:spacing w:after="0"/>
        <w:rPr>
          <w:sz w:val="20"/>
          <w:szCs w:val="20"/>
          <w:color w:val="auto"/>
        </w:rPr>
      </w:pPr>
      <w:r>
        <w:rPr>
          <w:rFonts w:ascii="Arial" w:cs="Arial" w:eastAsia="Arial" w:hAnsi="Arial"/>
          <w:sz w:val="13"/>
          <w:szCs w:val="13"/>
          <w:color w:val="55565A"/>
        </w:rPr>
        <w:t>Page 34</w:t>
      </w:r>
    </w:p>
    <w:p>
      <w:pPr>
        <w:sectPr>
          <w:pgSz w:w="11900" w:h="16838" w:orient="portrait"/>
          <w:cols w:equalWidth="0" w:num="1">
            <w:col w:w="9979"/>
          </w:cols>
          <w:pgMar w:left="480" w:top="207"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CONDENSED CONSOLIDATING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980" w:type="dxa"/>
            <w:vAlign w:val="bottom"/>
            <w:gridSpan w:val="2"/>
          </w:tcPr>
          <w:p>
            <w:pPr>
              <w:jc w:val="right"/>
              <w:ind w:right="789"/>
              <w:spacing w:after="0"/>
              <w:rPr>
                <w:sz w:val="20"/>
                <w:szCs w:val="20"/>
                <w:color w:val="auto"/>
              </w:rPr>
            </w:pPr>
            <w:r>
              <w:rPr>
                <w:rFonts w:ascii="Arial" w:cs="Arial" w:eastAsia="Arial" w:hAnsi="Arial"/>
                <w:sz w:val="14"/>
                <w:szCs w:val="14"/>
                <w:b w:val="1"/>
                <w:bCs w:val="1"/>
                <w:color w:val="55565A"/>
              </w:rPr>
              <w:t>March 31, 2024</w:t>
            </w: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00"/>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Non-</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Subsidiary</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Guarantor</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Guarantor</w:t>
            </w: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5"/>
        </w:trPr>
        <w:tc>
          <w:tcPr>
            <w:tcW w:w="3200" w:type="dxa"/>
            <w:vAlign w:val="bottom"/>
            <w:gridSpan w:val="2"/>
          </w:tcPr>
          <w:p>
            <w:pPr>
              <w:spacing w:after="0"/>
              <w:rPr>
                <w:sz w:val="20"/>
                <w:szCs w:val="20"/>
                <w:color w:val="auto"/>
              </w:rPr>
            </w:pPr>
            <w:r>
              <w:rPr>
                <w:rFonts w:ascii="Arial" w:cs="Arial" w:eastAsia="Arial" w:hAnsi="Arial"/>
                <w:sz w:val="14"/>
                <w:szCs w:val="14"/>
                <w:b w:val="1"/>
                <w:bCs w:val="1"/>
                <w:color w:val="55565A"/>
              </w:rPr>
              <w:t>(millions of U.S. dollars)</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Parent</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Issuer</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Subsidiaries</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Subsidiaries</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Eliminations</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Consolidated</w:t>
            </w:r>
          </w:p>
        </w:tc>
      </w:tr>
      <w:tr>
        <w:trPr>
          <w:trHeight w:val="102"/>
        </w:trPr>
        <w:tc>
          <w:tcPr>
            <w:tcW w:w="20" w:type="dxa"/>
            <w:vAlign w:val="bottom"/>
          </w:tcPr>
          <w:p>
            <w:pPr>
              <w:spacing w:after="0"/>
              <w:rPr>
                <w:sz w:val="8"/>
                <w:szCs w:val="8"/>
                <w:color w:val="auto"/>
              </w:rPr>
            </w:pPr>
          </w:p>
        </w:tc>
        <w:tc>
          <w:tcPr>
            <w:tcW w:w="3180" w:type="dxa"/>
            <w:vAlign w:val="bottom"/>
            <w:tcBorders>
              <w:bottom w:val="single" w:sz="8" w:color="88888B"/>
            </w:tcBorders>
          </w:tcPr>
          <w:p>
            <w:pPr>
              <w:spacing w:after="0"/>
              <w:rPr>
                <w:sz w:val="8"/>
                <w:szCs w:val="8"/>
                <w:color w:val="auto"/>
              </w:rPr>
            </w:pPr>
          </w:p>
        </w:tc>
        <w:tc>
          <w:tcPr>
            <w:tcW w:w="1140" w:type="dxa"/>
            <w:vAlign w:val="bottom"/>
            <w:tcBorders>
              <w:bottom w:val="single" w:sz="8" w:color="88888B"/>
            </w:tcBorders>
          </w:tcPr>
          <w:p>
            <w:pPr>
              <w:spacing w:after="0"/>
              <w:rPr>
                <w:sz w:val="8"/>
                <w:szCs w:val="8"/>
                <w:color w:val="auto"/>
              </w:rPr>
            </w:pPr>
          </w:p>
        </w:tc>
        <w:tc>
          <w:tcPr>
            <w:tcW w:w="1220" w:type="dxa"/>
            <w:vAlign w:val="bottom"/>
            <w:tcBorders>
              <w:bottom w:val="single" w:sz="8" w:color="88888B"/>
            </w:tcBorders>
          </w:tcPr>
          <w:p>
            <w:pPr>
              <w:spacing w:after="0"/>
              <w:rPr>
                <w:sz w:val="8"/>
                <w:szCs w:val="8"/>
                <w:color w:val="auto"/>
              </w:rPr>
            </w:pPr>
          </w:p>
        </w:tc>
        <w:tc>
          <w:tcPr>
            <w:tcW w:w="1540" w:type="dxa"/>
            <w:vAlign w:val="bottom"/>
            <w:tcBorders>
              <w:bottom w:val="single" w:sz="8" w:color="88888B"/>
            </w:tcBorders>
          </w:tcPr>
          <w:p>
            <w:pPr>
              <w:spacing w:after="0"/>
              <w:rPr>
                <w:sz w:val="8"/>
                <w:szCs w:val="8"/>
                <w:color w:val="auto"/>
              </w:rPr>
            </w:pPr>
          </w:p>
        </w:tc>
        <w:tc>
          <w:tcPr>
            <w:tcW w:w="1440" w:type="dxa"/>
            <w:vAlign w:val="bottom"/>
            <w:tcBorders>
              <w:bottom w:val="single" w:sz="8" w:color="88888B"/>
            </w:tcBorders>
          </w:tcPr>
          <w:p>
            <w:pPr>
              <w:spacing w:after="0"/>
              <w:rPr>
                <w:sz w:val="8"/>
                <w:szCs w:val="8"/>
                <w:color w:val="auto"/>
              </w:rPr>
            </w:pPr>
          </w:p>
        </w:tc>
        <w:tc>
          <w:tcPr>
            <w:tcW w:w="1180" w:type="dxa"/>
            <w:vAlign w:val="bottom"/>
            <w:tcBorders>
              <w:bottom w:val="single" w:sz="8" w:color="88888B"/>
            </w:tcBorders>
          </w:tcPr>
          <w:p>
            <w:pPr>
              <w:spacing w:after="0"/>
              <w:rPr>
                <w:sz w:val="8"/>
                <w:szCs w:val="8"/>
                <w:color w:val="auto"/>
              </w:rPr>
            </w:pPr>
          </w:p>
        </w:tc>
        <w:tc>
          <w:tcPr>
            <w:tcW w:w="1200" w:type="dxa"/>
            <w:vAlign w:val="bottom"/>
            <w:tcBorders>
              <w:bottom w:val="single" w:sz="8" w:color="88888B"/>
            </w:tcBorders>
          </w:tcPr>
          <w:p>
            <w:pPr>
              <w:spacing w:after="0"/>
              <w:rPr>
                <w:sz w:val="8"/>
                <w:szCs w:val="8"/>
                <w:color w:val="auto"/>
              </w:rPr>
            </w:pPr>
          </w:p>
        </w:tc>
      </w:tr>
      <w:tr>
        <w:trPr>
          <w:trHeight w:val="160"/>
        </w:trPr>
        <w:tc>
          <w:tcPr>
            <w:tcW w:w="20" w:type="dxa"/>
            <w:vAlign w:val="bottom"/>
          </w:tcPr>
          <w:p>
            <w:pPr>
              <w:spacing w:after="0"/>
              <w:rPr>
                <w:sz w:val="13"/>
                <w:szCs w:val="13"/>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Cash and cash equivalents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6</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70</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1,825</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1,901</w:t>
            </w:r>
          </w:p>
        </w:tc>
      </w:tr>
      <w:tr>
        <w:trPr>
          <w:trHeight w:val="212"/>
        </w:trPr>
        <w:tc>
          <w:tcPr>
            <w:tcW w:w="3200" w:type="dxa"/>
            <w:vAlign w:val="bottom"/>
            <w:gridSpan w:val="2"/>
          </w:tcPr>
          <w:p>
            <w:pPr>
              <w:spacing w:after="0"/>
              <w:rPr>
                <w:sz w:val="20"/>
                <w:szCs w:val="20"/>
                <w:color w:val="auto"/>
              </w:rPr>
            </w:pPr>
            <w:r>
              <w:rPr>
                <w:rFonts w:ascii="Arial" w:cs="Arial" w:eastAsia="Arial" w:hAnsi="Arial"/>
                <w:sz w:val="14"/>
                <w:szCs w:val="14"/>
                <w:color w:val="55565A"/>
              </w:rPr>
              <w:t>Trade and other receivables</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230</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810</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1,040</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Intercompany receivables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2,756</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429</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2,193</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(5,378)</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w:t>
            </w:r>
          </w:p>
        </w:tc>
      </w:tr>
      <w:tr>
        <w:trPr>
          <w:trHeight w:val="212"/>
        </w:trPr>
        <w:tc>
          <w:tcPr>
            <w:tcW w:w="3200" w:type="dxa"/>
            <w:vAlign w:val="bottom"/>
            <w:gridSpan w:val="2"/>
          </w:tcPr>
          <w:p>
            <w:pPr>
              <w:spacing w:after="0"/>
              <w:rPr>
                <w:sz w:val="20"/>
                <w:szCs w:val="20"/>
                <w:color w:val="auto"/>
              </w:rPr>
            </w:pPr>
            <w:r>
              <w:rPr>
                <w:rFonts w:ascii="Arial" w:cs="Arial" w:eastAsia="Arial" w:hAnsi="Arial"/>
                <w:sz w:val="14"/>
                <w:szCs w:val="14"/>
                <w:color w:val="55565A"/>
              </w:rPr>
              <w:t>Other financial assets</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5</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13</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18</w:t>
            </w:r>
          </w:p>
        </w:tc>
      </w:tr>
      <w:tr>
        <w:trPr>
          <w:trHeight w:val="162"/>
        </w:trPr>
        <w:tc>
          <w:tcPr>
            <w:tcW w:w="20" w:type="dxa"/>
            <w:vAlign w:val="bottom"/>
          </w:tcPr>
          <w:p>
            <w:pPr>
              <w:spacing w:after="0"/>
              <w:rPr>
                <w:sz w:val="14"/>
                <w:szCs w:val="14"/>
                <w:color w:val="auto"/>
              </w:rPr>
            </w:pPr>
          </w:p>
        </w:tc>
        <w:tc>
          <w:tcPr>
            <w:tcW w:w="318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Prepaid expenses and other current assets</w:t>
            </w:r>
          </w:p>
        </w:tc>
        <w:tc>
          <w:tcPr>
            <w:tcW w:w="1140" w:type="dxa"/>
            <w:vAlign w:val="bottom"/>
            <w:tcBorders>
              <w:bottom w:val="single" w:sz="8" w:color="88888B"/>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Borders>
              <w:bottom w:val="single" w:sz="8" w:color="88888B"/>
            </w:tcBorders>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219</w:t>
            </w:r>
          </w:p>
        </w:tc>
        <w:tc>
          <w:tcPr>
            <w:tcW w:w="144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245</w:t>
            </w:r>
          </w:p>
        </w:tc>
        <w:tc>
          <w:tcPr>
            <w:tcW w:w="118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464</w:t>
            </w:r>
          </w:p>
        </w:tc>
      </w:tr>
      <w:tr>
        <w:trPr>
          <w:trHeight w:val="192"/>
        </w:trPr>
        <w:tc>
          <w:tcPr>
            <w:tcW w:w="3200" w:type="dxa"/>
            <w:vAlign w:val="bottom"/>
            <w:gridSpan w:val="2"/>
          </w:tcPr>
          <w:p>
            <w:pPr>
              <w:spacing w:after="0"/>
              <w:rPr>
                <w:sz w:val="20"/>
                <w:szCs w:val="20"/>
                <w:color w:val="auto"/>
              </w:rPr>
            </w:pPr>
            <w:r>
              <w:rPr>
                <w:rFonts w:ascii="Arial" w:cs="Arial" w:eastAsia="Arial" w:hAnsi="Arial"/>
                <w:sz w:val="14"/>
                <w:szCs w:val="14"/>
                <w:color w:val="55565A"/>
              </w:rPr>
              <w:t>Current assets</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2,762</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953</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5,086</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(5,378)</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3,423</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Property and equipment, net</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203</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248</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451</w:t>
            </w:r>
          </w:p>
        </w:tc>
      </w:tr>
      <w:tr>
        <w:trPr>
          <w:trHeight w:val="212"/>
        </w:trPr>
        <w:tc>
          <w:tcPr>
            <w:tcW w:w="3200" w:type="dxa"/>
            <w:vAlign w:val="bottom"/>
            <w:gridSpan w:val="2"/>
          </w:tcPr>
          <w:p>
            <w:pPr>
              <w:spacing w:after="0"/>
              <w:rPr>
                <w:sz w:val="20"/>
                <w:szCs w:val="20"/>
                <w:color w:val="auto"/>
              </w:rPr>
            </w:pPr>
            <w:r>
              <w:rPr>
                <w:rFonts w:ascii="Arial" w:cs="Arial" w:eastAsia="Arial" w:hAnsi="Arial"/>
                <w:sz w:val="14"/>
                <w:szCs w:val="14"/>
                <w:color w:val="55565A"/>
              </w:rPr>
              <w:t>Computer software, net</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45</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1,455</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1,500</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Other identifiable intangible assets, net</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1,011</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2,188</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3,199</w:t>
            </w:r>
          </w:p>
        </w:tc>
      </w:tr>
      <w:tr>
        <w:trPr>
          <w:trHeight w:val="212"/>
        </w:trPr>
        <w:tc>
          <w:tcPr>
            <w:tcW w:w="3200" w:type="dxa"/>
            <w:vAlign w:val="bottom"/>
            <w:gridSpan w:val="2"/>
          </w:tcPr>
          <w:p>
            <w:pPr>
              <w:spacing w:after="0"/>
              <w:rPr>
                <w:sz w:val="20"/>
                <w:szCs w:val="20"/>
                <w:color w:val="auto"/>
              </w:rPr>
            </w:pPr>
            <w:r>
              <w:rPr>
                <w:rFonts w:ascii="Arial" w:cs="Arial" w:eastAsia="Arial" w:hAnsi="Arial"/>
                <w:sz w:val="14"/>
                <w:szCs w:val="14"/>
                <w:color w:val="55565A"/>
              </w:rPr>
              <w:t>Goodwill</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3,796</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3,489</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7,285</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Equity method investments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836</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836</w:t>
            </w:r>
          </w:p>
        </w:tc>
      </w:tr>
      <w:tr>
        <w:trPr>
          <w:trHeight w:val="212"/>
        </w:trPr>
        <w:tc>
          <w:tcPr>
            <w:tcW w:w="3200" w:type="dxa"/>
            <w:vAlign w:val="bottom"/>
            <w:gridSpan w:val="2"/>
          </w:tcPr>
          <w:p>
            <w:pPr>
              <w:spacing w:after="0"/>
              <w:rPr>
                <w:sz w:val="20"/>
                <w:szCs w:val="20"/>
                <w:color w:val="auto"/>
              </w:rPr>
            </w:pPr>
            <w:r>
              <w:rPr>
                <w:rFonts w:ascii="Arial" w:cs="Arial" w:eastAsia="Arial" w:hAnsi="Arial"/>
                <w:sz w:val="14"/>
                <w:szCs w:val="14"/>
                <w:color w:val="55565A"/>
              </w:rPr>
              <w:t>Other financial assets</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100</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4</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322</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426</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Other non-current assets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116</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513</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629</w:t>
            </w:r>
          </w:p>
        </w:tc>
      </w:tr>
      <w:tr>
        <w:trPr>
          <w:trHeight w:val="212"/>
        </w:trPr>
        <w:tc>
          <w:tcPr>
            <w:tcW w:w="3200" w:type="dxa"/>
            <w:vAlign w:val="bottom"/>
            <w:gridSpan w:val="2"/>
          </w:tcPr>
          <w:p>
            <w:pPr>
              <w:spacing w:after="0"/>
              <w:rPr>
                <w:sz w:val="20"/>
                <w:szCs w:val="20"/>
                <w:color w:val="auto"/>
              </w:rPr>
            </w:pPr>
            <w:r>
              <w:rPr>
                <w:rFonts w:ascii="Arial" w:cs="Arial" w:eastAsia="Arial" w:hAnsi="Arial"/>
                <w:sz w:val="14"/>
                <w:szCs w:val="14"/>
                <w:color w:val="55565A"/>
              </w:rPr>
              <w:t>Intercompany receivables</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167</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2</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778</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(947)</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Investments in subsidiaries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13,952</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486</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4,012</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(18,450)</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w:t>
            </w:r>
          </w:p>
        </w:tc>
      </w:tr>
      <w:tr>
        <w:trPr>
          <w:trHeight w:val="194"/>
        </w:trPr>
        <w:tc>
          <w:tcPr>
            <w:tcW w:w="3200" w:type="dxa"/>
            <w:vAlign w:val="bottom"/>
            <w:gridSpan w:val="2"/>
          </w:tcPr>
          <w:p>
            <w:pPr>
              <w:spacing w:after="0"/>
              <w:rPr>
                <w:sz w:val="20"/>
                <w:szCs w:val="20"/>
                <w:color w:val="auto"/>
              </w:rPr>
            </w:pPr>
            <w:r>
              <w:rPr>
                <w:rFonts w:ascii="Arial" w:cs="Arial" w:eastAsia="Arial" w:hAnsi="Arial"/>
                <w:sz w:val="14"/>
                <w:szCs w:val="14"/>
                <w:color w:val="55565A"/>
              </w:rPr>
              <w:t>Deferred tax</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1,067</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1,067</w:t>
            </w:r>
          </w:p>
        </w:tc>
      </w:tr>
      <w:tr>
        <w:trPr>
          <w:trHeight w:val="160"/>
        </w:trPr>
        <w:tc>
          <w:tcPr>
            <w:tcW w:w="20" w:type="dxa"/>
            <w:vAlign w:val="bottom"/>
          </w:tcPr>
          <w:p>
            <w:pPr>
              <w:spacing w:after="0"/>
              <w:rPr>
                <w:sz w:val="13"/>
                <w:szCs w:val="13"/>
                <w:color w:val="auto"/>
              </w:rPr>
            </w:pPr>
          </w:p>
        </w:tc>
        <w:tc>
          <w:tcPr>
            <w:tcW w:w="3180" w:type="dxa"/>
            <w:vAlign w:val="bottom"/>
            <w:tcBorders>
              <w:top w:val="single" w:sz="8" w:color="88888B"/>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Total assets</w:t>
            </w:r>
          </w:p>
        </w:tc>
        <w:tc>
          <w:tcPr>
            <w:tcW w:w="1140" w:type="dxa"/>
            <w:vAlign w:val="bottom"/>
            <w:tcBorders>
              <w:top w:val="single" w:sz="8" w:color="88888B"/>
              <w:bottom w:val="single" w:sz="8" w:color="88888B"/>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16,981</w:t>
            </w:r>
          </w:p>
        </w:tc>
        <w:tc>
          <w:tcPr>
            <w:tcW w:w="1220" w:type="dxa"/>
            <w:vAlign w:val="bottom"/>
            <w:tcBorders>
              <w:top w:val="single" w:sz="8" w:color="88888B"/>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Borders>
              <w:top w:val="single" w:sz="8" w:color="88888B"/>
              <w:bottom w:val="single" w:sz="8" w:color="88888B"/>
            </w:tcBorders>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6,616</w:t>
            </w:r>
          </w:p>
        </w:tc>
        <w:tc>
          <w:tcPr>
            <w:tcW w:w="1440" w:type="dxa"/>
            <w:vAlign w:val="bottom"/>
            <w:tcBorders>
              <w:top w:val="single" w:sz="8" w:color="88888B"/>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19,994</w:t>
            </w:r>
          </w:p>
        </w:tc>
        <w:tc>
          <w:tcPr>
            <w:tcW w:w="1180" w:type="dxa"/>
            <w:vAlign w:val="bottom"/>
            <w:tcBorders>
              <w:top w:val="single" w:sz="8" w:color="88888B"/>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(24,775)</w:t>
            </w:r>
          </w:p>
        </w:tc>
        <w:tc>
          <w:tcPr>
            <w:tcW w:w="1200" w:type="dxa"/>
            <w:vAlign w:val="bottom"/>
            <w:tcBorders>
              <w:top w:val="single" w:sz="8" w:color="88888B"/>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18,816</w:t>
            </w:r>
          </w:p>
        </w:tc>
      </w:tr>
      <w:tr>
        <w:trPr>
          <w:trHeight w:val="299"/>
        </w:trPr>
        <w:tc>
          <w:tcPr>
            <w:tcW w:w="3200" w:type="dxa"/>
            <w:vAlign w:val="bottom"/>
            <w:gridSpan w:val="2"/>
          </w:tcPr>
          <w:p>
            <w:pPr>
              <w:spacing w:after="0"/>
              <w:rPr>
                <w:sz w:val="20"/>
                <w:szCs w:val="20"/>
                <w:color w:val="auto"/>
              </w:rPr>
            </w:pPr>
            <w:r>
              <w:rPr>
                <w:rFonts w:ascii="Arial" w:cs="Arial" w:eastAsia="Arial" w:hAnsi="Arial"/>
                <w:sz w:val="14"/>
                <w:szCs w:val="14"/>
                <w:b w:val="1"/>
                <w:bCs w:val="1"/>
                <w:color w:val="55565A"/>
              </w:rPr>
              <w:t>LIABILITIES AND EQUITY</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Liabilities</w:t>
            </w:r>
          </w:p>
        </w:tc>
        <w:tc>
          <w:tcPr>
            <w:tcW w:w="1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2"/>
        </w:trPr>
        <w:tc>
          <w:tcPr>
            <w:tcW w:w="3200" w:type="dxa"/>
            <w:vAlign w:val="bottom"/>
            <w:gridSpan w:val="2"/>
          </w:tcPr>
          <w:p>
            <w:pPr>
              <w:spacing w:after="0"/>
              <w:rPr>
                <w:sz w:val="20"/>
                <w:szCs w:val="20"/>
                <w:color w:val="auto"/>
              </w:rPr>
            </w:pPr>
            <w:r>
              <w:rPr>
                <w:rFonts w:ascii="Arial" w:cs="Arial" w:eastAsia="Arial" w:hAnsi="Arial"/>
                <w:sz w:val="14"/>
                <w:szCs w:val="14"/>
                <w:color w:val="55565A"/>
              </w:rPr>
              <w:t>Current indebtedness</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941</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941</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Payables, accruals and provisions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104</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239</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579</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922</w:t>
            </w:r>
          </w:p>
        </w:tc>
      </w:tr>
      <w:tr>
        <w:trPr>
          <w:trHeight w:val="212"/>
        </w:trPr>
        <w:tc>
          <w:tcPr>
            <w:tcW w:w="3200" w:type="dxa"/>
            <w:vAlign w:val="bottom"/>
            <w:gridSpan w:val="2"/>
          </w:tcPr>
          <w:p>
            <w:pPr>
              <w:spacing w:after="0"/>
              <w:rPr>
                <w:sz w:val="20"/>
                <w:szCs w:val="20"/>
                <w:color w:val="auto"/>
              </w:rPr>
            </w:pPr>
            <w:r>
              <w:rPr>
                <w:rFonts w:ascii="Arial" w:cs="Arial" w:eastAsia="Arial" w:hAnsi="Arial"/>
                <w:sz w:val="14"/>
                <w:szCs w:val="14"/>
                <w:color w:val="55565A"/>
              </w:rPr>
              <w:t>Current tax liabilities</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354</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354</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Deferred revenue</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310</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618</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928</w:t>
            </w:r>
          </w:p>
        </w:tc>
      </w:tr>
      <w:tr>
        <w:trPr>
          <w:trHeight w:val="212"/>
        </w:trPr>
        <w:tc>
          <w:tcPr>
            <w:tcW w:w="3200" w:type="dxa"/>
            <w:vAlign w:val="bottom"/>
            <w:gridSpan w:val="2"/>
          </w:tcPr>
          <w:p>
            <w:pPr>
              <w:spacing w:after="0"/>
              <w:rPr>
                <w:sz w:val="20"/>
                <w:szCs w:val="20"/>
                <w:color w:val="auto"/>
              </w:rPr>
            </w:pPr>
            <w:r>
              <w:rPr>
                <w:rFonts w:ascii="Arial" w:cs="Arial" w:eastAsia="Arial" w:hAnsi="Arial"/>
                <w:sz w:val="14"/>
                <w:szCs w:val="14"/>
                <w:color w:val="55565A"/>
              </w:rPr>
              <w:t>Intercompany payables</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1,751</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452</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3,175</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(5,378)</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w:t>
            </w:r>
          </w:p>
        </w:tc>
      </w:tr>
      <w:tr>
        <w:trPr>
          <w:trHeight w:val="162"/>
        </w:trPr>
        <w:tc>
          <w:tcPr>
            <w:tcW w:w="20" w:type="dxa"/>
            <w:vAlign w:val="bottom"/>
          </w:tcPr>
          <w:p>
            <w:pPr>
              <w:spacing w:after="0"/>
              <w:rPr>
                <w:sz w:val="14"/>
                <w:szCs w:val="14"/>
                <w:color w:val="auto"/>
              </w:rPr>
            </w:pPr>
          </w:p>
        </w:tc>
        <w:tc>
          <w:tcPr>
            <w:tcW w:w="318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Other financial liabilities</w:t>
            </w:r>
          </w:p>
        </w:tc>
        <w:tc>
          <w:tcPr>
            <w:tcW w:w="1140" w:type="dxa"/>
            <w:vAlign w:val="bottom"/>
            <w:tcBorders>
              <w:bottom w:val="single" w:sz="8" w:color="88888B"/>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269</w:t>
            </w:r>
          </w:p>
        </w:tc>
        <w:tc>
          <w:tcPr>
            <w:tcW w:w="122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Borders>
              <w:bottom w:val="single" w:sz="8" w:color="88888B"/>
            </w:tcBorders>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15</w:t>
            </w:r>
          </w:p>
        </w:tc>
        <w:tc>
          <w:tcPr>
            <w:tcW w:w="144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106</w:t>
            </w:r>
          </w:p>
        </w:tc>
        <w:tc>
          <w:tcPr>
            <w:tcW w:w="118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390</w:t>
            </w:r>
          </w:p>
        </w:tc>
      </w:tr>
      <w:tr>
        <w:trPr>
          <w:trHeight w:val="192"/>
        </w:trPr>
        <w:tc>
          <w:tcPr>
            <w:tcW w:w="3200" w:type="dxa"/>
            <w:vAlign w:val="bottom"/>
            <w:gridSpan w:val="2"/>
          </w:tcPr>
          <w:p>
            <w:pPr>
              <w:spacing w:after="0"/>
              <w:rPr>
                <w:sz w:val="20"/>
                <w:szCs w:val="20"/>
                <w:color w:val="auto"/>
              </w:rPr>
            </w:pPr>
            <w:r>
              <w:rPr>
                <w:rFonts w:ascii="Arial" w:cs="Arial" w:eastAsia="Arial" w:hAnsi="Arial"/>
                <w:sz w:val="14"/>
                <w:szCs w:val="14"/>
                <w:color w:val="55565A"/>
              </w:rPr>
              <w:t>Current liabilities</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3,065</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1,016</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4,832</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(5,378)</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3,535</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Long-term indebtedness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2,879</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2,879</w:t>
            </w:r>
          </w:p>
        </w:tc>
      </w:tr>
      <w:tr>
        <w:trPr>
          <w:trHeight w:val="212"/>
        </w:trPr>
        <w:tc>
          <w:tcPr>
            <w:tcW w:w="3200" w:type="dxa"/>
            <w:vAlign w:val="bottom"/>
            <w:gridSpan w:val="2"/>
          </w:tcPr>
          <w:p>
            <w:pPr>
              <w:spacing w:after="0"/>
              <w:rPr>
                <w:sz w:val="20"/>
                <w:szCs w:val="20"/>
                <w:color w:val="auto"/>
              </w:rPr>
            </w:pPr>
            <w:r>
              <w:rPr>
                <w:rFonts w:ascii="Arial" w:cs="Arial" w:eastAsia="Arial" w:hAnsi="Arial"/>
                <w:sz w:val="14"/>
                <w:szCs w:val="14"/>
                <w:color w:val="55565A"/>
              </w:rPr>
              <w:t>Provisions and other non-current liabilities</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2</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6</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681</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689</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Other financial liabilities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82</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171</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253</w:t>
            </w:r>
          </w:p>
        </w:tc>
      </w:tr>
      <w:tr>
        <w:trPr>
          <w:trHeight w:val="212"/>
        </w:trPr>
        <w:tc>
          <w:tcPr>
            <w:tcW w:w="3200" w:type="dxa"/>
            <w:vAlign w:val="bottom"/>
            <w:gridSpan w:val="2"/>
          </w:tcPr>
          <w:p>
            <w:pPr>
              <w:spacing w:after="0"/>
              <w:rPr>
                <w:sz w:val="20"/>
                <w:szCs w:val="20"/>
                <w:color w:val="auto"/>
              </w:rPr>
            </w:pPr>
            <w:r>
              <w:rPr>
                <w:rFonts w:ascii="Arial" w:cs="Arial" w:eastAsia="Arial" w:hAnsi="Arial"/>
                <w:sz w:val="14"/>
                <w:szCs w:val="14"/>
                <w:color w:val="55565A"/>
              </w:rPr>
              <w:t>Intercompany payables</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778</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169</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(947)</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w:t>
            </w:r>
          </w:p>
        </w:tc>
      </w:tr>
      <w:tr>
        <w:trPr>
          <w:trHeight w:val="162"/>
        </w:trPr>
        <w:tc>
          <w:tcPr>
            <w:tcW w:w="20" w:type="dxa"/>
            <w:vAlign w:val="bottom"/>
          </w:tcPr>
          <w:p>
            <w:pPr>
              <w:spacing w:after="0"/>
              <w:rPr>
                <w:sz w:val="14"/>
                <w:szCs w:val="14"/>
                <w:color w:val="auto"/>
              </w:rPr>
            </w:pPr>
          </w:p>
        </w:tc>
        <w:tc>
          <w:tcPr>
            <w:tcW w:w="318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Deferred tax</w:t>
            </w:r>
          </w:p>
        </w:tc>
        <w:tc>
          <w:tcPr>
            <w:tcW w:w="1140" w:type="dxa"/>
            <w:vAlign w:val="bottom"/>
            <w:tcBorders>
              <w:bottom w:val="single" w:sz="8" w:color="88888B"/>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w:t>
            </w:r>
          </w:p>
        </w:tc>
        <w:tc>
          <w:tcPr>
            <w:tcW w:w="122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Borders>
              <w:bottom w:val="single" w:sz="8" w:color="88888B"/>
            </w:tcBorders>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236</w:t>
            </w:r>
          </w:p>
        </w:tc>
        <w:tc>
          <w:tcPr>
            <w:tcW w:w="144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189</w:t>
            </w:r>
          </w:p>
        </w:tc>
        <w:tc>
          <w:tcPr>
            <w:tcW w:w="118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120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425</w:t>
            </w:r>
          </w:p>
        </w:tc>
      </w:tr>
      <w:tr>
        <w:trPr>
          <w:trHeight w:val="192"/>
        </w:trPr>
        <w:tc>
          <w:tcPr>
            <w:tcW w:w="3200" w:type="dxa"/>
            <w:vAlign w:val="bottom"/>
            <w:gridSpan w:val="2"/>
          </w:tcPr>
          <w:p>
            <w:pPr>
              <w:spacing w:after="0"/>
              <w:rPr>
                <w:sz w:val="20"/>
                <w:szCs w:val="20"/>
                <w:color w:val="auto"/>
              </w:rPr>
            </w:pPr>
            <w:r>
              <w:rPr>
                <w:rFonts w:ascii="Arial" w:cs="Arial" w:eastAsia="Arial" w:hAnsi="Arial"/>
                <w:sz w:val="14"/>
                <w:szCs w:val="14"/>
                <w:color w:val="55565A"/>
              </w:rPr>
              <w:t>Total liabilities</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5,946</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2,118</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6,042</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(6,325)</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7,781</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Equity</w:t>
            </w:r>
          </w:p>
        </w:tc>
        <w:tc>
          <w:tcPr>
            <w:tcW w:w="1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94"/>
        </w:trPr>
        <w:tc>
          <w:tcPr>
            <w:tcW w:w="3200" w:type="dxa"/>
            <w:vAlign w:val="bottom"/>
            <w:gridSpan w:val="2"/>
          </w:tcPr>
          <w:p>
            <w:pPr>
              <w:spacing w:after="0"/>
              <w:rPr>
                <w:sz w:val="20"/>
                <w:szCs w:val="20"/>
                <w:color w:val="auto"/>
              </w:rPr>
            </w:pPr>
            <w:r>
              <w:rPr>
                <w:rFonts w:ascii="Arial" w:cs="Arial" w:eastAsia="Arial" w:hAnsi="Arial"/>
                <w:sz w:val="14"/>
                <w:szCs w:val="14"/>
                <w:color w:val="55565A"/>
              </w:rPr>
              <w:t>Total equity</w:t>
            </w: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55565A"/>
              </w:rPr>
              <w:t>11,035</w:t>
            </w:r>
          </w:p>
        </w:tc>
        <w:tc>
          <w:tcPr>
            <w:tcW w:w="1220" w:type="dxa"/>
            <w:vAlign w:val="bottom"/>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b w:val="1"/>
                <w:bCs w:val="1"/>
                <w:color w:val="55565A"/>
              </w:rPr>
              <w:t>4,498</w:t>
            </w: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13,952</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55565A"/>
              </w:rPr>
              <w:t>(18,450)</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5565A"/>
              </w:rPr>
              <w:t>11,035</w:t>
            </w:r>
          </w:p>
        </w:tc>
      </w:tr>
      <w:tr>
        <w:trPr>
          <w:trHeight w:val="160"/>
        </w:trPr>
        <w:tc>
          <w:tcPr>
            <w:tcW w:w="20" w:type="dxa"/>
            <w:vAlign w:val="bottom"/>
          </w:tcPr>
          <w:p>
            <w:pPr>
              <w:spacing w:after="0"/>
              <w:rPr>
                <w:sz w:val="13"/>
                <w:szCs w:val="13"/>
                <w:color w:val="auto"/>
              </w:rPr>
            </w:pPr>
          </w:p>
        </w:tc>
        <w:tc>
          <w:tcPr>
            <w:tcW w:w="3180" w:type="dxa"/>
            <w:vAlign w:val="bottom"/>
            <w:tcBorders>
              <w:top w:val="single" w:sz="8" w:color="88888B"/>
              <w:bottom w:val="single" w:sz="8" w:color="55565A"/>
            </w:tcBorders>
            <w:shd w:val="clear" w:color="auto" w:fill="CCEEFF"/>
          </w:tcPr>
          <w:p>
            <w:pPr>
              <w:spacing w:after="0"/>
              <w:rPr>
                <w:sz w:val="20"/>
                <w:szCs w:val="20"/>
                <w:color w:val="auto"/>
              </w:rPr>
            </w:pPr>
            <w:r>
              <w:rPr>
                <w:rFonts w:ascii="Arial" w:cs="Arial" w:eastAsia="Arial" w:hAnsi="Arial"/>
                <w:sz w:val="14"/>
                <w:szCs w:val="14"/>
                <w:color w:val="55565A"/>
              </w:rPr>
              <w:t>Total liabilities and equity</w:t>
            </w:r>
          </w:p>
        </w:tc>
        <w:tc>
          <w:tcPr>
            <w:tcW w:w="1140" w:type="dxa"/>
            <w:vAlign w:val="bottom"/>
            <w:tcBorders>
              <w:top w:val="single" w:sz="8" w:color="88888B"/>
              <w:bottom w:val="single" w:sz="8" w:color="55565A"/>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16,981</w:t>
            </w:r>
          </w:p>
        </w:tc>
        <w:tc>
          <w:tcPr>
            <w:tcW w:w="1220" w:type="dxa"/>
            <w:vAlign w:val="bottom"/>
            <w:tcBorders>
              <w:top w:val="single" w:sz="8" w:color="88888B"/>
              <w:bottom w:val="single" w:sz="8" w:color="55565A"/>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540" w:type="dxa"/>
            <w:vAlign w:val="bottom"/>
            <w:tcBorders>
              <w:top w:val="single" w:sz="8" w:color="88888B"/>
              <w:bottom w:val="single" w:sz="8" w:color="55565A"/>
            </w:tcBorders>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6,616</w:t>
            </w:r>
          </w:p>
        </w:tc>
        <w:tc>
          <w:tcPr>
            <w:tcW w:w="1440" w:type="dxa"/>
            <w:vAlign w:val="bottom"/>
            <w:tcBorders>
              <w:top w:val="single" w:sz="8" w:color="88888B"/>
              <w:bottom w:val="single" w:sz="8" w:color="55565A"/>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19,994</w:t>
            </w:r>
          </w:p>
        </w:tc>
        <w:tc>
          <w:tcPr>
            <w:tcW w:w="1180" w:type="dxa"/>
            <w:vAlign w:val="bottom"/>
            <w:tcBorders>
              <w:top w:val="single" w:sz="8" w:color="88888B"/>
              <w:bottom w:val="single" w:sz="8" w:color="55565A"/>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(24,775)</w:t>
            </w:r>
          </w:p>
        </w:tc>
        <w:tc>
          <w:tcPr>
            <w:tcW w:w="1200" w:type="dxa"/>
            <w:vAlign w:val="bottom"/>
            <w:tcBorders>
              <w:top w:val="single" w:sz="8" w:color="88888B"/>
              <w:bottom w:val="single" w:sz="8" w:color="55565A"/>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18,816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35</w:t>
      </w:r>
    </w:p>
    <w:p>
      <w:pPr>
        <w:sectPr>
          <w:pgSz w:w="11900" w:h="16838" w:orient="portrait"/>
          <w:cols w:equalWidth="0" w:num="1">
            <w:col w:w="11080"/>
          </w:cols>
          <w:pgMar w:left="320" w:top="454"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CONDENSED CONSOLIDATING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980" w:type="dxa"/>
            <w:vAlign w:val="bottom"/>
            <w:gridSpan w:val="2"/>
          </w:tcPr>
          <w:p>
            <w:pPr>
              <w:jc w:val="right"/>
              <w:ind w:right="649"/>
              <w:spacing w:after="0"/>
              <w:rPr>
                <w:sz w:val="20"/>
                <w:szCs w:val="20"/>
                <w:color w:val="auto"/>
              </w:rPr>
            </w:pPr>
            <w:r>
              <w:rPr>
                <w:rFonts w:ascii="Arial" w:cs="Arial" w:eastAsia="Arial" w:hAnsi="Arial"/>
                <w:sz w:val="14"/>
                <w:szCs w:val="14"/>
                <w:b w:val="1"/>
                <w:bCs w:val="1"/>
                <w:color w:val="55565A"/>
              </w:rPr>
              <w:t>December 31, 2023</w:t>
            </w: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55565A"/>
              </w:rPr>
              <w:t>Subsidiary</w:t>
            </w:r>
          </w:p>
        </w:tc>
        <w:tc>
          <w:tcPr>
            <w:tcW w:w="1540" w:type="dxa"/>
            <w:vAlign w:val="bottom"/>
          </w:tcPr>
          <w:p>
            <w:pPr>
              <w:spacing w:after="0"/>
              <w:rPr>
                <w:sz w:val="24"/>
                <w:szCs w:val="24"/>
                <w:color w:val="auto"/>
              </w:rPr>
            </w:pPr>
          </w:p>
        </w:tc>
        <w:tc>
          <w:tcPr>
            <w:tcW w:w="1440" w:type="dxa"/>
            <w:vAlign w:val="bottom"/>
          </w:tcPr>
          <w:p>
            <w:pPr>
              <w:jc w:val="right"/>
              <w:ind w:right="129"/>
              <w:spacing w:after="0"/>
              <w:rPr>
                <w:sz w:val="20"/>
                <w:szCs w:val="20"/>
                <w:color w:val="auto"/>
              </w:rPr>
            </w:pPr>
            <w:r>
              <w:rPr>
                <w:rFonts w:ascii="Arial" w:cs="Arial" w:eastAsia="Arial" w:hAnsi="Arial"/>
                <w:sz w:val="14"/>
                <w:szCs w:val="14"/>
                <w:b w:val="1"/>
                <w:bCs w:val="1"/>
                <w:color w:val="55565A"/>
              </w:rPr>
              <w:t>Non-</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54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55565A"/>
              </w:rPr>
              <w:t>Guarantor</w:t>
            </w:r>
          </w:p>
        </w:tc>
        <w:tc>
          <w:tcPr>
            <w:tcW w:w="14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55565A"/>
              </w:rPr>
              <w:t>Guarantor</w:t>
            </w:r>
          </w:p>
        </w:tc>
        <w:tc>
          <w:tcPr>
            <w:tcW w:w="1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55565A"/>
              </w:rPr>
              <w:t>(millions of U.S. dollars)</w:t>
            </w:r>
          </w:p>
        </w:tc>
        <w:tc>
          <w:tcPr>
            <w:tcW w:w="114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55565A"/>
              </w:rPr>
              <w:t>Parent</w:t>
            </w:r>
          </w:p>
        </w:tc>
        <w:tc>
          <w:tcPr>
            <w:tcW w:w="122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55565A"/>
              </w:rPr>
              <w:t>Issuer</w:t>
            </w:r>
          </w:p>
        </w:tc>
        <w:tc>
          <w:tcPr>
            <w:tcW w:w="15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18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55565A"/>
              </w:rPr>
              <w:t>Eliminations</w:t>
            </w:r>
          </w:p>
        </w:tc>
        <w:tc>
          <w:tcPr>
            <w:tcW w:w="12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55565A"/>
              </w:rPr>
              <w:t>Consolidated</w:t>
            </w: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54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55565A"/>
              </w:rPr>
              <w:t>Subsidiaries</w:t>
            </w:r>
          </w:p>
        </w:tc>
        <w:tc>
          <w:tcPr>
            <w:tcW w:w="14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55565A"/>
              </w:rPr>
              <w:t>Subsidiaries</w:t>
            </w:r>
          </w:p>
        </w:tc>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80" w:type="dxa"/>
            <w:vAlign w:val="bottom"/>
            <w:tcBorders>
              <w:bottom w:val="single" w:sz="8" w:color="88888B"/>
            </w:tcBorders>
          </w:tcPr>
          <w:p>
            <w:pPr>
              <w:spacing w:after="0"/>
              <w:rPr>
                <w:sz w:val="4"/>
                <w:szCs w:val="4"/>
                <w:color w:val="auto"/>
              </w:rPr>
            </w:pPr>
          </w:p>
        </w:tc>
        <w:tc>
          <w:tcPr>
            <w:tcW w:w="1140" w:type="dxa"/>
            <w:vAlign w:val="bottom"/>
            <w:tcBorders>
              <w:bottom w:val="single" w:sz="8" w:color="88888B"/>
            </w:tcBorders>
          </w:tcPr>
          <w:p>
            <w:pPr>
              <w:spacing w:after="0"/>
              <w:rPr>
                <w:sz w:val="4"/>
                <w:szCs w:val="4"/>
                <w:color w:val="auto"/>
              </w:rPr>
            </w:pPr>
          </w:p>
        </w:tc>
        <w:tc>
          <w:tcPr>
            <w:tcW w:w="1220" w:type="dxa"/>
            <w:vAlign w:val="bottom"/>
            <w:tcBorders>
              <w:bottom w:val="single" w:sz="8" w:color="88888B"/>
            </w:tcBorders>
          </w:tcPr>
          <w:p>
            <w:pPr>
              <w:spacing w:after="0"/>
              <w:rPr>
                <w:sz w:val="4"/>
                <w:szCs w:val="4"/>
                <w:color w:val="auto"/>
              </w:rPr>
            </w:pPr>
          </w:p>
        </w:tc>
        <w:tc>
          <w:tcPr>
            <w:tcW w:w="1540" w:type="dxa"/>
            <w:vAlign w:val="bottom"/>
            <w:tcBorders>
              <w:bottom w:val="single" w:sz="8" w:color="88888B"/>
            </w:tcBorders>
          </w:tcPr>
          <w:p>
            <w:pPr>
              <w:spacing w:after="0"/>
              <w:rPr>
                <w:sz w:val="4"/>
                <w:szCs w:val="4"/>
                <w:color w:val="auto"/>
              </w:rPr>
            </w:pPr>
          </w:p>
        </w:tc>
        <w:tc>
          <w:tcPr>
            <w:tcW w:w="1440" w:type="dxa"/>
            <w:vAlign w:val="bottom"/>
            <w:tcBorders>
              <w:bottom w:val="single" w:sz="8" w:color="88888B"/>
            </w:tcBorders>
          </w:tcPr>
          <w:p>
            <w:pPr>
              <w:spacing w:after="0"/>
              <w:rPr>
                <w:sz w:val="4"/>
                <w:szCs w:val="4"/>
                <w:color w:val="auto"/>
              </w:rPr>
            </w:pPr>
          </w:p>
        </w:tc>
        <w:tc>
          <w:tcPr>
            <w:tcW w:w="1180" w:type="dxa"/>
            <w:vAlign w:val="bottom"/>
            <w:tcBorders>
              <w:bottom w:val="single" w:sz="8" w:color="88888B"/>
            </w:tcBorders>
          </w:tcPr>
          <w:p>
            <w:pPr>
              <w:spacing w:after="0"/>
              <w:rPr>
                <w:sz w:val="4"/>
                <w:szCs w:val="4"/>
                <w:color w:val="auto"/>
              </w:rPr>
            </w:pPr>
          </w:p>
        </w:tc>
        <w:tc>
          <w:tcPr>
            <w:tcW w:w="1200" w:type="dxa"/>
            <w:vAlign w:val="bottom"/>
            <w:tcBorders>
              <w:bottom w:val="single" w:sz="8" w:color="88888B"/>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Cash and cash equivalents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5565A"/>
              </w:rPr>
              <w:t>24</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182</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1,092</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1,298</w:t>
            </w:r>
          </w:p>
        </w:tc>
        <w:tc>
          <w:tcPr>
            <w:tcW w:w="0" w:type="dxa"/>
            <w:vAlign w:val="bottom"/>
          </w:tcPr>
          <w:p>
            <w:pPr>
              <w:spacing w:after="0"/>
              <w:rPr>
                <w:sz w:val="1"/>
                <w:szCs w:val="1"/>
                <w:color w:val="auto"/>
              </w:rPr>
            </w:pPr>
          </w:p>
        </w:tc>
      </w:tr>
      <w:tr>
        <w:trPr>
          <w:trHeight w:val="206"/>
        </w:trPr>
        <w:tc>
          <w:tcPr>
            <w:tcW w:w="3200" w:type="dxa"/>
            <w:vAlign w:val="bottom"/>
            <w:gridSpan w:val="2"/>
          </w:tcPr>
          <w:p>
            <w:pPr>
              <w:spacing w:after="0"/>
              <w:rPr>
                <w:sz w:val="20"/>
                <w:szCs w:val="20"/>
                <w:color w:val="auto"/>
              </w:rPr>
            </w:pPr>
            <w:r>
              <w:rPr>
                <w:rFonts w:ascii="Arial" w:cs="Arial" w:eastAsia="Arial" w:hAnsi="Arial"/>
                <w:sz w:val="14"/>
                <w:szCs w:val="14"/>
                <w:color w:val="55565A"/>
              </w:rPr>
              <w:t>Trade and other receivables</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276</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846</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1,122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Intercompany receivables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5565A"/>
              </w:rPr>
              <w:t>2,666</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465</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3,402</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55565A"/>
              </w:rPr>
              <w:t>(6,533)</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w:t>
            </w:r>
          </w:p>
        </w:tc>
        <w:tc>
          <w:tcPr>
            <w:tcW w:w="0" w:type="dxa"/>
            <w:vAlign w:val="bottom"/>
          </w:tcPr>
          <w:p>
            <w:pPr>
              <w:spacing w:after="0"/>
              <w:rPr>
                <w:sz w:val="1"/>
                <w:szCs w:val="1"/>
                <w:color w:val="auto"/>
              </w:rPr>
            </w:pPr>
          </w:p>
        </w:tc>
      </w:tr>
      <w:tr>
        <w:trPr>
          <w:trHeight w:val="206"/>
        </w:trPr>
        <w:tc>
          <w:tcPr>
            <w:tcW w:w="3200" w:type="dxa"/>
            <w:vAlign w:val="bottom"/>
            <w:gridSpan w:val="2"/>
          </w:tcPr>
          <w:p>
            <w:pPr>
              <w:spacing w:after="0"/>
              <w:rPr>
                <w:sz w:val="20"/>
                <w:szCs w:val="20"/>
                <w:color w:val="auto"/>
              </w:rPr>
            </w:pPr>
            <w:r>
              <w:rPr>
                <w:rFonts w:ascii="Arial" w:cs="Arial" w:eastAsia="Arial" w:hAnsi="Arial"/>
                <w:sz w:val="14"/>
                <w:szCs w:val="14"/>
                <w:color w:val="55565A"/>
              </w:rPr>
              <w:t>Other financial assets</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6</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60</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66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Prepaid expenses and other current assets</w:t>
            </w:r>
          </w:p>
        </w:tc>
        <w:tc>
          <w:tcPr>
            <w:tcW w:w="1140" w:type="dxa"/>
            <w:vAlign w:val="bottom"/>
            <w:tcBorders>
              <w:bottom w:val="single" w:sz="8" w:color="88888B"/>
            </w:tcBorders>
            <w:shd w:val="clear" w:color="auto" w:fill="CCEEFF"/>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Borders>
              <w:bottom w:val="single" w:sz="8" w:color="88888B"/>
            </w:tcBorders>
            <w:shd w:val="clear" w:color="auto" w:fill="CCEEFF"/>
          </w:tcPr>
          <w:p>
            <w:pPr>
              <w:jc w:val="right"/>
              <w:ind w:right="329"/>
              <w:spacing w:after="0"/>
              <w:rPr>
                <w:sz w:val="20"/>
                <w:szCs w:val="20"/>
                <w:color w:val="auto"/>
              </w:rPr>
            </w:pPr>
            <w:r>
              <w:rPr>
                <w:rFonts w:ascii="Arial" w:cs="Arial" w:eastAsia="Arial" w:hAnsi="Arial"/>
                <w:sz w:val="14"/>
                <w:szCs w:val="14"/>
                <w:color w:val="55565A"/>
              </w:rPr>
              <w:t>212</w:t>
            </w:r>
          </w:p>
        </w:tc>
        <w:tc>
          <w:tcPr>
            <w:tcW w:w="144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color w:val="55565A"/>
              </w:rPr>
              <w:t>223</w:t>
            </w:r>
          </w:p>
        </w:tc>
        <w:tc>
          <w:tcPr>
            <w:tcW w:w="118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color w:val="55565A"/>
              </w:rPr>
              <w:t>435</w:t>
            </w:r>
          </w:p>
        </w:tc>
        <w:tc>
          <w:tcPr>
            <w:tcW w:w="0" w:type="dxa"/>
            <w:vAlign w:val="bottom"/>
          </w:tcPr>
          <w:p>
            <w:pPr>
              <w:spacing w:after="0"/>
              <w:rPr>
                <w:sz w:val="1"/>
                <w:szCs w:val="1"/>
                <w:color w:val="auto"/>
              </w:rPr>
            </w:pPr>
          </w:p>
        </w:tc>
      </w:tr>
      <w:tr>
        <w:trPr>
          <w:trHeight w:val="186"/>
        </w:trPr>
        <w:tc>
          <w:tcPr>
            <w:tcW w:w="3200" w:type="dxa"/>
            <w:vAlign w:val="bottom"/>
            <w:gridSpan w:val="2"/>
          </w:tcPr>
          <w:p>
            <w:pPr>
              <w:spacing w:after="0"/>
              <w:rPr>
                <w:sz w:val="20"/>
                <w:szCs w:val="20"/>
                <w:color w:val="auto"/>
              </w:rPr>
            </w:pPr>
            <w:r>
              <w:rPr>
                <w:rFonts w:ascii="Arial" w:cs="Arial" w:eastAsia="Arial" w:hAnsi="Arial"/>
                <w:sz w:val="14"/>
                <w:szCs w:val="14"/>
                <w:color w:val="55565A"/>
              </w:rPr>
              <w:t>Current assets</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2,690</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1,141</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5,623</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(6,533)</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2,921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Property and equipment, net</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200</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247</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447</w:t>
            </w:r>
          </w:p>
        </w:tc>
        <w:tc>
          <w:tcPr>
            <w:tcW w:w="0" w:type="dxa"/>
            <w:vAlign w:val="bottom"/>
          </w:tcPr>
          <w:p>
            <w:pPr>
              <w:spacing w:after="0"/>
              <w:rPr>
                <w:sz w:val="1"/>
                <w:szCs w:val="1"/>
                <w:color w:val="auto"/>
              </w:rPr>
            </w:pPr>
          </w:p>
        </w:tc>
      </w:tr>
      <w:tr>
        <w:trPr>
          <w:trHeight w:val="206"/>
        </w:trPr>
        <w:tc>
          <w:tcPr>
            <w:tcW w:w="3200" w:type="dxa"/>
            <w:vAlign w:val="bottom"/>
            <w:gridSpan w:val="2"/>
          </w:tcPr>
          <w:p>
            <w:pPr>
              <w:spacing w:after="0"/>
              <w:rPr>
                <w:sz w:val="20"/>
                <w:szCs w:val="20"/>
                <w:color w:val="auto"/>
              </w:rPr>
            </w:pPr>
            <w:r>
              <w:rPr>
                <w:rFonts w:ascii="Arial" w:cs="Arial" w:eastAsia="Arial" w:hAnsi="Arial"/>
                <w:sz w:val="14"/>
                <w:szCs w:val="14"/>
                <w:color w:val="55565A"/>
              </w:rPr>
              <w:t>Computer software, net</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49</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1,187</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1,236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Other identifiable intangible assets, net</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1,021</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2,144</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3,165</w:t>
            </w:r>
          </w:p>
        </w:tc>
        <w:tc>
          <w:tcPr>
            <w:tcW w:w="0" w:type="dxa"/>
            <w:vAlign w:val="bottom"/>
          </w:tcPr>
          <w:p>
            <w:pPr>
              <w:spacing w:after="0"/>
              <w:rPr>
                <w:sz w:val="1"/>
                <w:szCs w:val="1"/>
                <w:color w:val="auto"/>
              </w:rPr>
            </w:pPr>
          </w:p>
        </w:tc>
      </w:tr>
      <w:tr>
        <w:trPr>
          <w:trHeight w:val="206"/>
        </w:trPr>
        <w:tc>
          <w:tcPr>
            <w:tcW w:w="3200" w:type="dxa"/>
            <w:vAlign w:val="bottom"/>
            <w:gridSpan w:val="2"/>
          </w:tcPr>
          <w:p>
            <w:pPr>
              <w:spacing w:after="0"/>
              <w:rPr>
                <w:sz w:val="20"/>
                <w:szCs w:val="20"/>
                <w:color w:val="auto"/>
              </w:rPr>
            </w:pPr>
            <w:r>
              <w:rPr>
                <w:rFonts w:ascii="Arial" w:cs="Arial" w:eastAsia="Arial" w:hAnsi="Arial"/>
                <w:sz w:val="14"/>
                <w:szCs w:val="14"/>
                <w:color w:val="55565A"/>
              </w:rPr>
              <w:t>Goodwill</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3,803</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2,916</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6,719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Equity method investments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2,030</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2,030</w:t>
            </w:r>
          </w:p>
        </w:tc>
        <w:tc>
          <w:tcPr>
            <w:tcW w:w="0" w:type="dxa"/>
            <w:vAlign w:val="bottom"/>
          </w:tcPr>
          <w:p>
            <w:pPr>
              <w:spacing w:after="0"/>
              <w:rPr>
                <w:sz w:val="1"/>
                <w:szCs w:val="1"/>
                <w:color w:val="auto"/>
              </w:rPr>
            </w:pPr>
          </w:p>
        </w:tc>
      </w:tr>
      <w:tr>
        <w:trPr>
          <w:trHeight w:val="206"/>
        </w:trPr>
        <w:tc>
          <w:tcPr>
            <w:tcW w:w="3200" w:type="dxa"/>
            <w:vAlign w:val="bottom"/>
            <w:gridSpan w:val="2"/>
          </w:tcPr>
          <w:p>
            <w:pPr>
              <w:spacing w:after="0"/>
              <w:rPr>
                <w:sz w:val="20"/>
                <w:szCs w:val="20"/>
                <w:color w:val="auto"/>
              </w:rPr>
            </w:pPr>
            <w:r>
              <w:rPr>
                <w:rFonts w:ascii="Arial" w:cs="Arial" w:eastAsia="Arial" w:hAnsi="Arial"/>
                <w:sz w:val="14"/>
                <w:szCs w:val="14"/>
                <w:color w:val="55565A"/>
              </w:rPr>
              <w:t>Other financial assets</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116</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6</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322</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444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Other non-current assets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116</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502</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618</w:t>
            </w:r>
          </w:p>
        </w:tc>
        <w:tc>
          <w:tcPr>
            <w:tcW w:w="0" w:type="dxa"/>
            <w:vAlign w:val="bottom"/>
          </w:tcPr>
          <w:p>
            <w:pPr>
              <w:spacing w:after="0"/>
              <w:rPr>
                <w:sz w:val="1"/>
                <w:szCs w:val="1"/>
                <w:color w:val="auto"/>
              </w:rPr>
            </w:pPr>
          </w:p>
        </w:tc>
      </w:tr>
      <w:tr>
        <w:trPr>
          <w:trHeight w:val="206"/>
        </w:trPr>
        <w:tc>
          <w:tcPr>
            <w:tcW w:w="3200" w:type="dxa"/>
            <w:vAlign w:val="bottom"/>
            <w:gridSpan w:val="2"/>
          </w:tcPr>
          <w:p>
            <w:pPr>
              <w:spacing w:after="0"/>
              <w:rPr>
                <w:sz w:val="20"/>
                <w:szCs w:val="20"/>
                <w:color w:val="auto"/>
              </w:rPr>
            </w:pPr>
            <w:r>
              <w:rPr>
                <w:rFonts w:ascii="Arial" w:cs="Arial" w:eastAsia="Arial" w:hAnsi="Arial"/>
                <w:sz w:val="14"/>
                <w:szCs w:val="14"/>
                <w:color w:val="55565A"/>
              </w:rPr>
              <w:t>Intercompany receivables</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188</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2</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778</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(968)</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Investments in subsidiaries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5565A"/>
              </w:rPr>
              <w:t>14,572</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489</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3,943</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55565A"/>
              </w:rPr>
              <w:t>(19,004)</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w:t>
            </w:r>
          </w:p>
        </w:tc>
        <w:tc>
          <w:tcPr>
            <w:tcW w:w="0" w:type="dxa"/>
            <w:vAlign w:val="bottom"/>
          </w:tcPr>
          <w:p>
            <w:pPr>
              <w:spacing w:after="0"/>
              <w:rPr>
                <w:sz w:val="1"/>
                <w:szCs w:val="1"/>
                <w:color w:val="auto"/>
              </w:rPr>
            </w:pPr>
          </w:p>
        </w:tc>
      </w:tr>
      <w:tr>
        <w:trPr>
          <w:trHeight w:val="194"/>
        </w:trPr>
        <w:tc>
          <w:tcPr>
            <w:tcW w:w="3200" w:type="dxa"/>
            <w:vAlign w:val="bottom"/>
            <w:gridSpan w:val="2"/>
          </w:tcPr>
          <w:p>
            <w:pPr>
              <w:spacing w:after="0"/>
              <w:rPr>
                <w:sz w:val="20"/>
                <w:szCs w:val="20"/>
                <w:color w:val="auto"/>
              </w:rPr>
            </w:pPr>
            <w:r>
              <w:rPr>
                <w:rFonts w:ascii="Arial" w:cs="Arial" w:eastAsia="Arial" w:hAnsi="Arial"/>
                <w:sz w:val="14"/>
                <w:szCs w:val="14"/>
                <w:color w:val="55565A"/>
              </w:rPr>
              <w:t>Deferred tax</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1,104</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1,104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80" w:type="dxa"/>
            <w:vAlign w:val="bottom"/>
            <w:tcBorders>
              <w:top w:val="single" w:sz="8" w:color="88888B"/>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Total assets</w:t>
            </w:r>
          </w:p>
        </w:tc>
        <w:tc>
          <w:tcPr>
            <w:tcW w:w="1140" w:type="dxa"/>
            <w:vAlign w:val="bottom"/>
            <w:tcBorders>
              <w:top w:val="single" w:sz="8" w:color="88888B"/>
              <w:bottom w:val="single" w:sz="8" w:color="88888B"/>
            </w:tcBorders>
            <w:shd w:val="clear" w:color="auto" w:fill="CCEEFF"/>
          </w:tcPr>
          <w:p>
            <w:pPr>
              <w:jc w:val="right"/>
              <w:ind w:right="169"/>
              <w:spacing w:after="0"/>
              <w:rPr>
                <w:sz w:val="20"/>
                <w:szCs w:val="20"/>
                <w:color w:val="auto"/>
              </w:rPr>
            </w:pPr>
            <w:r>
              <w:rPr>
                <w:rFonts w:ascii="Arial" w:cs="Arial" w:eastAsia="Arial" w:hAnsi="Arial"/>
                <w:sz w:val="14"/>
                <w:szCs w:val="14"/>
                <w:color w:val="55565A"/>
              </w:rPr>
              <w:t>17,566</w:t>
            </w:r>
          </w:p>
        </w:tc>
        <w:tc>
          <w:tcPr>
            <w:tcW w:w="1220" w:type="dxa"/>
            <w:vAlign w:val="bottom"/>
            <w:tcBorders>
              <w:top w:val="single" w:sz="8" w:color="88888B"/>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Borders>
              <w:top w:val="single" w:sz="8" w:color="88888B"/>
              <w:bottom w:val="single" w:sz="8" w:color="88888B"/>
            </w:tcBorders>
            <w:shd w:val="clear" w:color="auto" w:fill="CCEEFF"/>
          </w:tcPr>
          <w:p>
            <w:pPr>
              <w:jc w:val="right"/>
              <w:ind w:right="329"/>
              <w:spacing w:after="0"/>
              <w:rPr>
                <w:sz w:val="20"/>
                <w:szCs w:val="20"/>
                <w:color w:val="auto"/>
              </w:rPr>
            </w:pPr>
            <w:r>
              <w:rPr>
                <w:rFonts w:ascii="Arial" w:cs="Arial" w:eastAsia="Arial" w:hAnsi="Arial"/>
                <w:sz w:val="14"/>
                <w:szCs w:val="14"/>
                <w:color w:val="55565A"/>
              </w:rPr>
              <w:t>6,827</w:t>
            </w:r>
          </w:p>
        </w:tc>
        <w:tc>
          <w:tcPr>
            <w:tcW w:w="1440" w:type="dxa"/>
            <w:vAlign w:val="bottom"/>
            <w:tcBorders>
              <w:top w:val="single" w:sz="8" w:color="88888B"/>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color w:val="55565A"/>
              </w:rPr>
              <w:t>20,796</w:t>
            </w:r>
          </w:p>
        </w:tc>
        <w:tc>
          <w:tcPr>
            <w:tcW w:w="1180" w:type="dxa"/>
            <w:vAlign w:val="bottom"/>
            <w:tcBorders>
              <w:top w:val="single" w:sz="8" w:color="88888B"/>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color w:val="55565A"/>
              </w:rPr>
              <w:t>(26,505)</w:t>
            </w:r>
          </w:p>
        </w:tc>
        <w:tc>
          <w:tcPr>
            <w:tcW w:w="1200" w:type="dxa"/>
            <w:vAlign w:val="bottom"/>
            <w:tcBorders>
              <w:top w:val="single" w:sz="8" w:color="88888B"/>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color w:val="55565A"/>
              </w:rPr>
              <w:t>18,684</w:t>
            </w:r>
          </w:p>
        </w:tc>
        <w:tc>
          <w:tcPr>
            <w:tcW w:w="0" w:type="dxa"/>
            <w:vAlign w:val="bottom"/>
          </w:tcPr>
          <w:p>
            <w:pPr>
              <w:spacing w:after="0"/>
              <w:rPr>
                <w:sz w:val="1"/>
                <w:szCs w:val="1"/>
                <w:color w:val="auto"/>
              </w:rPr>
            </w:pPr>
          </w:p>
        </w:tc>
      </w:tr>
      <w:tr>
        <w:trPr>
          <w:trHeight w:val="299"/>
        </w:trPr>
        <w:tc>
          <w:tcPr>
            <w:tcW w:w="3200" w:type="dxa"/>
            <w:vAlign w:val="bottom"/>
            <w:gridSpan w:val="2"/>
          </w:tcPr>
          <w:p>
            <w:pPr>
              <w:spacing w:after="0"/>
              <w:rPr>
                <w:sz w:val="20"/>
                <w:szCs w:val="20"/>
                <w:color w:val="auto"/>
              </w:rPr>
            </w:pPr>
            <w:r>
              <w:rPr>
                <w:rFonts w:ascii="Arial" w:cs="Arial" w:eastAsia="Arial" w:hAnsi="Arial"/>
                <w:sz w:val="14"/>
                <w:szCs w:val="14"/>
                <w:b w:val="1"/>
                <w:bCs w:val="1"/>
                <w:color w:val="55565A"/>
              </w:rPr>
              <w:t>LIABILITIES AND EQUITY</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Liabilities</w:t>
            </w:r>
          </w:p>
        </w:tc>
        <w:tc>
          <w:tcPr>
            <w:tcW w:w="1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00" w:type="dxa"/>
            <w:vAlign w:val="bottom"/>
            <w:gridSpan w:val="2"/>
          </w:tcPr>
          <w:p>
            <w:pPr>
              <w:spacing w:after="0"/>
              <w:rPr>
                <w:sz w:val="20"/>
                <w:szCs w:val="20"/>
                <w:color w:val="auto"/>
              </w:rPr>
            </w:pPr>
            <w:r>
              <w:rPr>
                <w:rFonts w:ascii="Arial" w:cs="Arial" w:eastAsia="Arial" w:hAnsi="Arial"/>
                <w:sz w:val="14"/>
                <w:szCs w:val="14"/>
                <w:color w:val="55565A"/>
              </w:rPr>
              <w:t>Current indebtedness</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372</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372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Payables, accruals and provisions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5565A"/>
              </w:rPr>
              <w:t>55</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317</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742</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1,114</w:t>
            </w:r>
          </w:p>
        </w:tc>
        <w:tc>
          <w:tcPr>
            <w:tcW w:w="0" w:type="dxa"/>
            <w:vAlign w:val="bottom"/>
          </w:tcPr>
          <w:p>
            <w:pPr>
              <w:spacing w:after="0"/>
              <w:rPr>
                <w:sz w:val="1"/>
                <w:szCs w:val="1"/>
                <w:color w:val="auto"/>
              </w:rPr>
            </w:pPr>
          </w:p>
        </w:tc>
      </w:tr>
      <w:tr>
        <w:trPr>
          <w:trHeight w:val="206"/>
        </w:trPr>
        <w:tc>
          <w:tcPr>
            <w:tcW w:w="3200" w:type="dxa"/>
            <w:vAlign w:val="bottom"/>
            <w:gridSpan w:val="2"/>
          </w:tcPr>
          <w:p>
            <w:pPr>
              <w:spacing w:after="0"/>
              <w:rPr>
                <w:sz w:val="20"/>
                <w:szCs w:val="20"/>
                <w:color w:val="auto"/>
              </w:rPr>
            </w:pPr>
            <w:r>
              <w:rPr>
                <w:rFonts w:ascii="Arial" w:cs="Arial" w:eastAsia="Arial" w:hAnsi="Arial"/>
                <w:sz w:val="14"/>
                <w:szCs w:val="14"/>
                <w:color w:val="55565A"/>
              </w:rPr>
              <w:t>Current tax liabilities</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248</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248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Deferred revenue</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337</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655</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992</w:t>
            </w:r>
          </w:p>
        </w:tc>
        <w:tc>
          <w:tcPr>
            <w:tcW w:w="0" w:type="dxa"/>
            <w:vAlign w:val="bottom"/>
          </w:tcPr>
          <w:p>
            <w:pPr>
              <w:spacing w:after="0"/>
              <w:rPr>
                <w:sz w:val="1"/>
                <w:szCs w:val="1"/>
                <w:color w:val="auto"/>
              </w:rPr>
            </w:pPr>
          </w:p>
        </w:tc>
      </w:tr>
      <w:tr>
        <w:trPr>
          <w:trHeight w:val="206"/>
        </w:trPr>
        <w:tc>
          <w:tcPr>
            <w:tcW w:w="3200" w:type="dxa"/>
            <w:vAlign w:val="bottom"/>
            <w:gridSpan w:val="2"/>
          </w:tcPr>
          <w:p>
            <w:pPr>
              <w:spacing w:after="0"/>
              <w:rPr>
                <w:sz w:val="20"/>
                <w:szCs w:val="20"/>
                <w:color w:val="auto"/>
              </w:rPr>
            </w:pPr>
            <w:r>
              <w:rPr>
                <w:rFonts w:ascii="Arial" w:cs="Arial" w:eastAsia="Arial" w:hAnsi="Arial"/>
                <w:sz w:val="14"/>
                <w:szCs w:val="14"/>
                <w:color w:val="55565A"/>
              </w:rPr>
              <w:t>Intercompany payables</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2,768</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634</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3,131</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(6,533)</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Other financial liabilities</w:t>
            </w:r>
          </w:p>
        </w:tc>
        <w:tc>
          <w:tcPr>
            <w:tcW w:w="1140" w:type="dxa"/>
            <w:vAlign w:val="bottom"/>
            <w:tcBorders>
              <w:bottom w:val="single" w:sz="8" w:color="88888B"/>
            </w:tcBorders>
            <w:shd w:val="clear" w:color="auto" w:fill="CCEEFF"/>
          </w:tcPr>
          <w:p>
            <w:pPr>
              <w:jc w:val="right"/>
              <w:ind w:right="169"/>
              <w:spacing w:after="0"/>
              <w:rPr>
                <w:sz w:val="20"/>
                <w:szCs w:val="20"/>
                <w:color w:val="auto"/>
              </w:rPr>
            </w:pPr>
            <w:r>
              <w:rPr>
                <w:rFonts w:ascii="Arial" w:cs="Arial" w:eastAsia="Arial" w:hAnsi="Arial"/>
                <w:sz w:val="14"/>
                <w:szCs w:val="14"/>
                <w:color w:val="55565A"/>
              </w:rPr>
              <w:t>400</w:t>
            </w:r>
          </w:p>
        </w:tc>
        <w:tc>
          <w:tcPr>
            <w:tcW w:w="122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Borders>
              <w:bottom w:val="single" w:sz="8" w:color="88888B"/>
            </w:tcBorders>
            <w:shd w:val="clear" w:color="auto" w:fill="CCEEFF"/>
          </w:tcPr>
          <w:p>
            <w:pPr>
              <w:jc w:val="right"/>
              <w:ind w:right="329"/>
              <w:spacing w:after="0"/>
              <w:rPr>
                <w:sz w:val="20"/>
                <w:szCs w:val="20"/>
                <w:color w:val="auto"/>
              </w:rPr>
            </w:pPr>
            <w:r>
              <w:rPr>
                <w:rFonts w:ascii="Arial" w:cs="Arial" w:eastAsia="Arial" w:hAnsi="Arial"/>
                <w:sz w:val="14"/>
                <w:szCs w:val="14"/>
                <w:color w:val="55565A"/>
              </w:rPr>
              <w:t>15</w:t>
            </w:r>
          </w:p>
        </w:tc>
        <w:tc>
          <w:tcPr>
            <w:tcW w:w="144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color w:val="55565A"/>
              </w:rPr>
              <w:t>92</w:t>
            </w:r>
          </w:p>
        </w:tc>
        <w:tc>
          <w:tcPr>
            <w:tcW w:w="118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color w:val="55565A"/>
              </w:rPr>
              <w:t>507</w:t>
            </w:r>
          </w:p>
        </w:tc>
        <w:tc>
          <w:tcPr>
            <w:tcW w:w="0" w:type="dxa"/>
            <w:vAlign w:val="bottom"/>
          </w:tcPr>
          <w:p>
            <w:pPr>
              <w:spacing w:after="0"/>
              <w:rPr>
                <w:sz w:val="1"/>
                <w:szCs w:val="1"/>
                <w:color w:val="auto"/>
              </w:rPr>
            </w:pPr>
          </w:p>
        </w:tc>
      </w:tr>
      <w:tr>
        <w:trPr>
          <w:trHeight w:val="186"/>
        </w:trPr>
        <w:tc>
          <w:tcPr>
            <w:tcW w:w="3200" w:type="dxa"/>
            <w:vAlign w:val="bottom"/>
            <w:gridSpan w:val="2"/>
          </w:tcPr>
          <w:p>
            <w:pPr>
              <w:spacing w:after="0"/>
              <w:rPr>
                <w:sz w:val="20"/>
                <w:szCs w:val="20"/>
                <w:color w:val="auto"/>
              </w:rPr>
            </w:pPr>
            <w:r>
              <w:rPr>
                <w:rFonts w:ascii="Arial" w:cs="Arial" w:eastAsia="Arial" w:hAnsi="Arial"/>
                <w:sz w:val="14"/>
                <w:szCs w:val="14"/>
                <w:color w:val="55565A"/>
              </w:rPr>
              <w:t>Current liabilities</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3,595</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1,303</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4,868</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(6,533)</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3,233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Long-term indebtedness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5565A"/>
              </w:rPr>
              <w:t>2,905</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2,905</w:t>
            </w:r>
          </w:p>
        </w:tc>
        <w:tc>
          <w:tcPr>
            <w:tcW w:w="0" w:type="dxa"/>
            <w:vAlign w:val="bottom"/>
          </w:tcPr>
          <w:p>
            <w:pPr>
              <w:spacing w:after="0"/>
              <w:rPr>
                <w:sz w:val="1"/>
                <w:szCs w:val="1"/>
                <w:color w:val="auto"/>
              </w:rPr>
            </w:pPr>
          </w:p>
        </w:tc>
      </w:tr>
      <w:tr>
        <w:trPr>
          <w:trHeight w:val="206"/>
        </w:trPr>
        <w:tc>
          <w:tcPr>
            <w:tcW w:w="3200" w:type="dxa"/>
            <w:vAlign w:val="bottom"/>
            <w:gridSpan w:val="2"/>
          </w:tcPr>
          <w:p>
            <w:pPr>
              <w:spacing w:after="0"/>
              <w:rPr>
                <w:sz w:val="20"/>
                <w:szCs w:val="20"/>
                <w:color w:val="auto"/>
              </w:rPr>
            </w:pPr>
            <w:r>
              <w:rPr>
                <w:rFonts w:ascii="Arial" w:cs="Arial" w:eastAsia="Arial" w:hAnsi="Arial"/>
                <w:sz w:val="14"/>
                <w:szCs w:val="14"/>
                <w:color w:val="55565A"/>
              </w:rPr>
              <w:t>Provisions and other non-current liabilities</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2</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6</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684</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692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55565A"/>
              </w:rPr>
              <w:t>Other financial liabilities</w:t>
            </w:r>
          </w:p>
        </w:tc>
        <w:tc>
          <w:tcPr>
            <w:tcW w:w="11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76</w:t>
            </w:r>
          </w:p>
        </w:tc>
        <w:tc>
          <w:tcPr>
            <w:tcW w:w="14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5565A"/>
              </w:rPr>
              <w:t>161</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237</w:t>
            </w:r>
          </w:p>
        </w:tc>
        <w:tc>
          <w:tcPr>
            <w:tcW w:w="0" w:type="dxa"/>
            <w:vAlign w:val="bottom"/>
          </w:tcPr>
          <w:p>
            <w:pPr>
              <w:spacing w:after="0"/>
              <w:rPr>
                <w:sz w:val="1"/>
                <w:szCs w:val="1"/>
                <w:color w:val="auto"/>
              </w:rPr>
            </w:pPr>
          </w:p>
        </w:tc>
      </w:tr>
      <w:tr>
        <w:trPr>
          <w:trHeight w:val="206"/>
        </w:trPr>
        <w:tc>
          <w:tcPr>
            <w:tcW w:w="3200" w:type="dxa"/>
            <w:vAlign w:val="bottom"/>
            <w:gridSpan w:val="2"/>
          </w:tcPr>
          <w:p>
            <w:pPr>
              <w:spacing w:after="0"/>
              <w:rPr>
                <w:sz w:val="20"/>
                <w:szCs w:val="20"/>
                <w:color w:val="auto"/>
              </w:rPr>
            </w:pPr>
            <w:r>
              <w:rPr>
                <w:rFonts w:ascii="Arial" w:cs="Arial" w:eastAsia="Arial" w:hAnsi="Arial"/>
                <w:sz w:val="14"/>
                <w:szCs w:val="14"/>
                <w:color w:val="55565A"/>
              </w:rPr>
              <w:t>Intercompany payables</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778</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190</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(968)</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Deferred tax</w:t>
            </w:r>
          </w:p>
        </w:tc>
        <w:tc>
          <w:tcPr>
            <w:tcW w:w="1140" w:type="dxa"/>
            <w:vAlign w:val="bottom"/>
            <w:tcBorders>
              <w:bottom w:val="single" w:sz="8" w:color="88888B"/>
            </w:tcBorders>
            <w:shd w:val="clear" w:color="auto" w:fill="CCEEFF"/>
          </w:tcPr>
          <w:p>
            <w:pPr>
              <w:jc w:val="right"/>
              <w:ind w:right="169"/>
              <w:spacing w:after="0"/>
              <w:rPr>
                <w:sz w:val="20"/>
                <w:szCs w:val="20"/>
                <w:color w:val="auto"/>
              </w:rPr>
            </w:pPr>
            <w:r>
              <w:rPr>
                <w:rFonts w:ascii="Arial" w:cs="Arial" w:eastAsia="Arial" w:hAnsi="Arial"/>
                <w:sz w:val="14"/>
                <w:szCs w:val="14"/>
                <w:color w:val="55565A"/>
              </w:rPr>
              <w:t>–</w:t>
            </w:r>
          </w:p>
        </w:tc>
        <w:tc>
          <w:tcPr>
            <w:tcW w:w="122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Borders>
              <w:bottom w:val="single" w:sz="8" w:color="88888B"/>
            </w:tcBorders>
            <w:shd w:val="clear" w:color="auto" w:fill="CCEEFF"/>
          </w:tcPr>
          <w:p>
            <w:pPr>
              <w:jc w:val="right"/>
              <w:ind w:right="329"/>
              <w:spacing w:after="0"/>
              <w:rPr>
                <w:sz w:val="20"/>
                <w:szCs w:val="20"/>
                <w:color w:val="auto"/>
              </w:rPr>
            </w:pPr>
            <w:r>
              <w:rPr>
                <w:rFonts w:ascii="Arial" w:cs="Arial" w:eastAsia="Arial" w:hAnsi="Arial"/>
                <w:sz w:val="14"/>
                <w:szCs w:val="14"/>
                <w:color w:val="55565A"/>
              </w:rPr>
              <w:t>232</w:t>
            </w:r>
          </w:p>
        </w:tc>
        <w:tc>
          <w:tcPr>
            <w:tcW w:w="144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color w:val="55565A"/>
              </w:rPr>
              <w:t>321</w:t>
            </w:r>
          </w:p>
        </w:tc>
        <w:tc>
          <w:tcPr>
            <w:tcW w:w="118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color w:val="55565A"/>
              </w:rPr>
              <w:t>–</w:t>
            </w:r>
          </w:p>
        </w:tc>
        <w:tc>
          <w:tcPr>
            <w:tcW w:w="120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color w:val="55565A"/>
              </w:rPr>
              <w:t>553</w:t>
            </w:r>
          </w:p>
        </w:tc>
        <w:tc>
          <w:tcPr>
            <w:tcW w:w="0" w:type="dxa"/>
            <w:vAlign w:val="bottom"/>
          </w:tcPr>
          <w:p>
            <w:pPr>
              <w:spacing w:after="0"/>
              <w:rPr>
                <w:sz w:val="1"/>
                <w:szCs w:val="1"/>
                <w:color w:val="auto"/>
              </w:rPr>
            </w:pPr>
          </w:p>
        </w:tc>
      </w:tr>
      <w:tr>
        <w:trPr>
          <w:trHeight w:val="186"/>
        </w:trPr>
        <w:tc>
          <w:tcPr>
            <w:tcW w:w="3200" w:type="dxa"/>
            <w:vAlign w:val="bottom"/>
            <w:gridSpan w:val="2"/>
          </w:tcPr>
          <w:p>
            <w:pPr>
              <w:spacing w:after="0"/>
              <w:rPr>
                <w:sz w:val="20"/>
                <w:szCs w:val="20"/>
                <w:color w:val="auto"/>
              </w:rPr>
            </w:pPr>
            <w:r>
              <w:rPr>
                <w:rFonts w:ascii="Arial" w:cs="Arial" w:eastAsia="Arial" w:hAnsi="Arial"/>
                <w:sz w:val="14"/>
                <w:szCs w:val="14"/>
                <w:color w:val="55565A"/>
              </w:rPr>
              <w:t>Total liabilities</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6,502</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2,395</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6,224</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(7,501)</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7,620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Equity</w:t>
            </w:r>
          </w:p>
        </w:tc>
        <w:tc>
          <w:tcPr>
            <w:tcW w:w="1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gridSpan w:val="2"/>
          </w:tcPr>
          <w:p>
            <w:pPr>
              <w:spacing w:after="0"/>
              <w:rPr>
                <w:sz w:val="20"/>
                <w:szCs w:val="20"/>
                <w:color w:val="auto"/>
              </w:rPr>
            </w:pPr>
            <w:r>
              <w:rPr>
                <w:rFonts w:ascii="Arial" w:cs="Arial" w:eastAsia="Arial" w:hAnsi="Arial"/>
                <w:sz w:val="14"/>
                <w:szCs w:val="14"/>
                <w:color w:val="55565A"/>
              </w:rPr>
              <w:t>Total equity</w:t>
            </w:r>
          </w:p>
        </w:tc>
        <w:tc>
          <w:tcPr>
            <w:tcW w:w="1140" w:type="dxa"/>
            <w:vAlign w:val="bottom"/>
          </w:tcPr>
          <w:p>
            <w:pPr>
              <w:jc w:val="right"/>
              <w:ind w:right="169"/>
              <w:spacing w:after="0"/>
              <w:rPr>
                <w:sz w:val="20"/>
                <w:szCs w:val="20"/>
                <w:color w:val="auto"/>
              </w:rPr>
            </w:pPr>
            <w:r>
              <w:rPr>
                <w:rFonts w:ascii="Arial" w:cs="Arial" w:eastAsia="Arial" w:hAnsi="Arial"/>
                <w:sz w:val="14"/>
                <w:szCs w:val="14"/>
                <w:color w:val="55565A"/>
              </w:rPr>
              <w:t>11,064</w:t>
            </w:r>
          </w:p>
        </w:tc>
        <w:tc>
          <w:tcPr>
            <w:tcW w:w="122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Pr>
          <w:p>
            <w:pPr>
              <w:jc w:val="right"/>
              <w:ind w:right="329"/>
              <w:spacing w:after="0"/>
              <w:rPr>
                <w:sz w:val="20"/>
                <w:szCs w:val="20"/>
                <w:color w:val="auto"/>
              </w:rPr>
            </w:pPr>
            <w:r>
              <w:rPr>
                <w:rFonts w:ascii="Arial" w:cs="Arial" w:eastAsia="Arial" w:hAnsi="Arial"/>
                <w:sz w:val="14"/>
                <w:szCs w:val="14"/>
                <w:color w:val="55565A"/>
              </w:rPr>
              <w:t>4,432</w:t>
            </w:r>
          </w:p>
        </w:tc>
        <w:tc>
          <w:tcPr>
            <w:tcW w:w="1440" w:type="dxa"/>
            <w:vAlign w:val="bottom"/>
          </w:tcPr>
          <w:p>
            <w:pPr>
              <w:jc w:val="right"/>
              <w:ind w:right="129"/>
              <w:spacing w:after="0"/>
              <w:rPr>
                <w:sz w:val="20"/>
                <w:szCs w:val="20"/>
                <w:color w:val="auto"/>
              </w:rPr>
            </w:pPr>
            <w:r>
              <w:rPr>
                <w:rFonts w:ascii="Arial" w:cs="Arial" w:eastAsia="Arial" w:hAnsi="Arial"/>
                <w:sz w:val="14"/>
                <w:szCs w:val="14"/>
                <w:color w:val="55565A"/>
              </w:rPr>
              <w:t>14,572</w:t>
            </w:r>
          </w:p>
        </w:tc>
        <w:tc>
          <w:tcPr>
            <w:tcW w:w="1180" w:type="dxa"/>
            <w:vAlign w:val="bottom"/>
          </w:tcPr>
          <w:p>
            <w:pPr>
              <w:jc w:val="right"/>
              <w:ind w:right="49"/>
              <w:spacing w:after="0"/>
              <w:rPr>
                <w:sz w:val="20"/>
                <w:szCs w:val="20"/>
                <w:color w:val="auto"/>
              </w:rPr>
            </w:pPr>
            <w:r>
              <w:rPr>
                <w:rFonts w:ascii="Arial" w:cs="Arial" w:eastAsia="Arial" w:hAnsi="Arial"/>
                <w:sz w:val="14"/>
                <w:szCs w:val="14"/>
                <w:color w:val="55565A"/>
              </w:rPr>
              <w:t>(19,004)</w:t>
            </w:r>
          </w:p>
        </w:tc>
        <w:tc>
          <w:tcPr>
            <w:tcW w:w="1200" w:type="dxa"/>
            <w:vAlign w:val="bottom"/>
          </w:tcPr>
          <w:p>
            <w:pPr>
              <w:jc w:val="right"/>
              <w:ind w:right="109"/>
              <w:spacing w:after="0"/>
              <w:rPr>
                <w:sz w:val="20"/>
                <w:szCs w:val="20"/>
                <w:color w:val="auto"/>
              </w:rPr>
            </w:pPr>
            <w:r>
              <w:rPr>
                <w:rFonts w:ascii="Arial" w:cs="Arial" w:eastAsia="Arial" w:hAnsi="Arial"/>
                <w:sz w:val="14"/>
                <w:szCs w:val="14"/>
                <w:color w:val="55565A"/>
              </w:rPr>
              <w:t>11,064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80" w:type="dxa"/>
            <w:vAlign w:val="bottom"/>
            <w:tcBorders>
              <w:top w:val="single" w:sz="8" w:color="88888B"/>
              <w:bottom w:val="single" w:sz="8" w:color="55565A"/>
            </w:tcBorders>
            <w:shd w:val="clear" w:color="auto" w:fill="CCEEFF"/>
          </w:tcPr>
          <w:p>
            <w:pPr>
              <w:spacing w:after="0"/>
              <w:rPr>
                <w:sz w:val="20"/>
                <w:szCs w:val="20"/>
                <w:color w:val="auto"/>
              </w:rPr>
            </w:pPr>
            <w:r>
              <w:rPr>
                <w:rFonts w:ascii="Arial" w:cs="Arial" w:eastAsia="Arial" w:hAnsi="Arial"/>
                <w:sz w:val="14"/>
                <w:szCs w:val="14"/>
                <w:color w:val="55565A"/>
              </w:rPr>
              <w:t>Total liabilities and equity</w:t>
            </w:r>
          </w:p>
        </w:tc>
        <w:tc>
          <w:tcPr>
            <w:tcW w:w="1140" w:type="dxa"/>
            <w:vAlign w:val="bottom"/>
            <w:tcBorders>
              <w:top w:val="single" w:sz="8" w:color="88888B"/>
              <w:bottom w:val="single" w:sz="8" w:color="55565A"/>
            </w:tcBorders>
            <w:shd w:val="clear" w:color="auto" w:fill="CCEEFF"/>
          </w:tcPr>
          <w:p>
            <w:pPr>
              <w:jc w:val="right"/>
              <w:ind w:right="169"/>
              <w:spacing w:after="0"/>
              <w:rPr>
                <w:sz w:val="20"/>
                <w:szCs w:val="20"/>
                <w:color w:val="auto"/>
              </w:rPr>
            </w:pPr>
            <w:r>
              <w:rPr>
                <w:rFonts w:ascii="Arial" w:cs="Arial" w:eastAsia="Arial" w:hAnsi="Arial"/>
                <w:sz w:val="14"/>
                <w:szCs w:val="14"/>
                <w:color w:val="55565A"/>
              </w:rPr>
              <w:t>17,566</w:t>
            </w:r>
          </w:p>
        </w:tc>
        <w:tc>
          <w:tcPr>
            <w:tcW w:w="1220" w:type="dxa"/>
            <w:vAlign w:val="bottom"/>
            <w:tcBorders>
              <w:top w:val="single" w:sz="8" w:color="88888B"/>
              <w:bottom w:val="single" w:sz="8" w:color="55565A"/>
            </w:tcBorders>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c>
          <w:tcPr>
            <w:tcW w:w="1540" w:type="dxa"/>
            <w:vAlign w:val="bottom"/>
            <w:tcBorders>
              <w:top w:val="single" w:sz="8" w:color="88888B"/>
              <w:bottom w:val="single" w:sz="8" w:color="55565A"/>
            </w:tcBorders>
            <w:shd w:val="clear" w:color="auto" w:fill="CCEEFF"/>
          </w:tcPr>
          <w:p>
            <w:pPr>
              <w:jc w:val="right"/>
              <w:ind w:right="329"/>
              <w:spacing w:after="0"/>
              <w:rPr>
                <w:sz w:val="20"/>
                <w:szCs w:val="20"/>
                <w:color w:val="auto"/>
              </w:rPr>
            </w:pPr>
            <w:r>
              <w:rPr>
                <w:rFonts w:ascii="Arial" w:cs="Arial" w:eastAsia="Arial" w:hAnsi="Arial"/>
                <w:sz w:val="14"/>
                <w:szCs w:val="14"/>
                <w:color w:val="55565A"/>
              </w:rPr>
              <w:t>6,827</w:t>
            </w:r>
          </w:p>
        </w:tc>
        <w:tc>
          <w:tcPr>
            <w:tcW w:w="1440" w:type="dxa"/>
            <w:vAlign w:val="bottom"/>
            <w:tcBorders>
              <w:top w:val="single" w:sz="8" w:color="88888B"/>
              <w:bottom w:val="single" w:sz="8" w:color="55565A"/>
            </w:tcBorders>
            <w:shd w:val="clear" w:color="auto" w:fill="CCEEFF"/>
          </w:tcPr>
          <w:p>
            <w:pPr>
              <w:jc w:val="right"/>
              <w:ind w:right="129"/>
              <w:spacing w:after="0"/>
              <w:rPr>
                <w:sz w:val="20"/>
                <w:szCs w:val="20"/>
                <w:color w:val="auto"/>
              </w:rPr>
            </w:pPr>
            <w:r>
              <w:rPr>
                <w:rFonts w:ascii="Arial" w:cs="Arial" w:eastAsia="Arial" w:hAnsi="Arial"/>
                <w:sz w:val="14"/>
                <w:szCs w:val="14"/>
                <w:color w:val="55565A"/>
              </w:rPr>
              <w:t>20,796</w:t>
            </w:r>
          </w:p>
        </w:tc>
        <w:tc>
          <w:tcPr>
            <w:tcW w:w="1180" w:type="dxa"/>
            <w:vAlign w:val="bottom"/>
            <w:tcBorders>
              <w:top w:val="single" w:sz="8" w:color="88888B"/>
              <w:bottom w:val="single" w:sz="8" w:color="55565A"/>
            </w:tcBorders>
            <w:shd w:val="clear" w:color="auto" w:fill="CCEEFF"/>
          </w:tcPr>
          <w:p>
            <w:pPr>
              <w:jc w:val="right"/>
              <w:ind w:right="49"/>
              <w:spacing w:after="0"/>
              <w:rPr>
                <w:sz w:val="20"/>
                <w:szCs w:val="20"/>
                <w:color w:val="auto"/>
              </w:rPr>
            </w:pPr>
            <w:r>
              <w:rPr>
                <w:rFonts w:ascii="Arial" w:cs="Arial" w:eastAsia="Arial" w:hAnsi="Arial"/>
                <w:sz w:val="14"/>
                <w:szCs w:val="14"/>
                <w:color w:val="55565A"/>
              </w:rPr>
              <w:t>(26,505)</w:t>
            </w:r>
          </w:p>
        </w:tc>
        <w:tc>
          <w:tcPr>
            <w:tcW w:w="1200" w:type="dxa"/>
            <w:vAlign w:val="bottom"/>
            <w:tcBorders>
              <w:top w:val="single" w:sz="8" w:color="88888B"/>
              <w:bottom w:val="single" w:sz="8" w:color="55565A"/>
            </w:tcBorders>
            <w:shd w:val="clear" w:color="auto" w:fill="CCEEFF"/>
          </w:tcPr>
          <w:p>
            <w:pPr>
              <w:jc w:val="right"/>
              <w:ind w:right="109"/>
              <w:spacing w:after="0"/>
              <w:rPr>
                <w:sz w:val="20"/>
                <w:szCs w:val="20"/>
                <w:color w:val="auto"/>
              </w:rPr>
            </w:pPr>
            <w:r>
              <w:rPr>
                <w:rFonts w:ascii="Arial" w:cs="Arial" w:eastAsia="Arial" w:hAnsi="Arial"/>
                <w:sz w:val="14"/>
                <w:szCs w:val="14"/>
                <w:color w:val="55565A"/>
              </w:rPr>
              <w:t>18,684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3"/>
          <w:szCs w:val="13"/>
          <w:color w:val="55565A"/>
        </w:rPr>
        <w:t>Page 36</w:t>
      </w:r>
    </w:p>
    <w:p>
      <w:pPr>
        <w:sectPr>
          <w:pgSz w:w="11900" w:h="16838" w:orient="portrait"/>
          <w:cols w:equalWidth="0" w:num="1">
            <w:col w:w="11080"/>
          </w:cols>
          <w:pgMar w:left="320" w:top="454"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5565A"/>
        </w:rPr>
        <w:t>CONDENSED CONSOLIDATING STATEMENT OF CASH FLOW</w:t>
      </w:r>
    </w:p>
    <w:p>
      <w:pPr>
        <w:spacing w:after="0" w:line="200" w:lineRule="exact"/>
        <w:rPr>
          <w:sz w:val="20"/>
          <w:szCs w:val="20"/>
          <w:color w:val="auto"/>
        </w:rPr>
      </w:pPr>
    </w:p>
    <w:p>
      <w:pPr>
        <w:spacing w:after="0" w:line="30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jc w:val="right"/>
              <w:ind w:right="189"/>
              <w:spacing w:after="0"/>
              <w:rPr>
                <w:sz w:val="20"/>
                <w:szCs w:val="20"/>
                <w:color w:val="auto"/>
              </w:rPr>
            </w:pPr>
            <w:r>
              <w:rPr>
                <w:rFonts w:ascii="Arial" w:cs="Arial" w:eastAsia="Arial" w:hAnsi="Arial"/>
                <w:sz w:val="14"/>
                <w:szCs w:val="14"/>
                <w:b w:val="1"/>
                <w:bCs w:val="1"/>
                <w:color w:val="55565A"/>
              </w:rPr>
              <w:t>Non-</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jc w:val="right"/>
              <w:ind w:right="249"/>
              <w:spacing w:after="0"/>
              <w:rPr>
                <w:sz w:val="20"/>
                <w:szCs w:val="20"/>
                <w:color w:val="auto"/>
              </w:rPr>
            </w:pPr>
            <w:r>
              <w:rPr>
                <w:rFonts w:ascii="Arial" w:cs="Arial" w:eastAsia="Arial" w:hAnsi="Arial"/>
                <w:sz w:val="14"/>
                <w:szCs w:val="14"/>
                <w:b w:val="1"/>
                <w:bCs w:val="1"/>
                <w:color w:val="55565A"/>
              </w:rPr>
              <w:t>Subsidiary</w:t>
            </w:r>
          </w:p>
        </w:tc>
        <w:tc>
          <w:tcPr>
            <w:tcW w:w="1620" w:type="dxa"/>
            <w:vAlign w:val="bottom"/>
          </w:tcPr>
          <w:p>
            <w:pPr>
              <w:jc w:val="right"/>
              <w:ind w:right="409"/>
              <w:spacing w:after="0"/>
              <w:rPr>
                <w:sz w:val="20"/>
                <w:szCs w:val="20"/>
                <w:color w:val="auto"/>
              </w:rPr>
            </w:pPr>
            <w:r>
              <w:rPr>
                <w:rFonts w:ascii="Arial" w:cs="Arial" w:eastAsia="Arial" w:hAnsi="Arial"/>
                <w:sz w:val="14"/>
                <w:szCs w:val="14"/>
                <w:b w:val="1"/>
                <w:bCs w:val="1"/>
                <w:color w:val="55565A"/>
              </w:rPr>
              <w:t>Guarantor</w:t>
            </w:r>
          </w:p>
        </w:tc>
        <w:tc>
          <w:tcPr>
            <w:tcW w:w="1560" w:type="dxa"/>
            <w:vAlign w:val="bottom"/>
          </w:tcPr>
          <w:p>
            <w:pPr>
              <w:jc w:val="right"/>
              <w:ind w:right="189"/>
              <w:spacing w:after="0"/>
              <w:rPr>
                <w:sz w:val="20"/>
                <w:szCs w:val="20"/>
                <w:color w:val="auto"/>
              </w:rPr>
            </w:pPr>
            <w:r>
              <w:rPr>
                <w:rFonts w:ascii="Arial" w:cs="Arial" w:eastAsia="Arial" w:hAnsi="Arial"/>
                <w:sz w:val="14"/>
                <w:szCs w:val="14"/>
                <w:b w:val="1"/>
                <w:bCs w:val="1"/>
                <w:color w:val="55565A"/>
              </w:rPr>
              <w:t>Guarantor</w:t>
            </w: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5"/>
        </w:trPr>
        <w:tc>
          <w:tcPr>
            <w:tcW w:w="2920" w:type="dxa"/>
            <w:vAlign w:val="bottom"/>
            <w:gridSpan w:val="2"/>
          </w:tcPr>
          <w:p>
            <w:pPr>
              <w:spacing w:after="0"/>
              <w:rPr>
                <w:sz w:val="20"/>
                <w:szCs w:val="20"/>
                <w:color w:val="auto"/>
              </w:rPr>
            </w:pPr>
            <w:r>
              <w:rPr>
                <w:rFonts w:ascii="Arial" w:cs="Arial" w:eastAsia="Arial" w:hAnsi="Arial"/>
                <w:sz w:val="14"/>
                <w:szCs w:val="14"/>
                <w:b w:val="1"/>
                <w:bCs w:val="1"/>
                <w:color w:val="55565A"/>
              </w:rPr>
              <w:t>(millions of U.S. dollars)</w:t>
            </w:r>
          </w:p>
        </w:tc>
        <w:tc>
          <w:tcPr>
            <w:tcW w:w="1060" w:type="dxa"/>
            <w:vAlign w:val="bottom"/>
          </w:tcPr>
          <w:p>
            <w:pPr>
              <w:jc w:val="right"/>
              <w:ind w:right="189"/>
              <w:spacing w:after="0"/>
              <w:rPr>
                <w:sz w:val="20"/>
                <w:szCs w:val="20"/>
                <w:color w:val="auto"/>
              </w:rPr>
            </w:pPr>
            <w:r>
              <w:rPr>
                <w:rFonts w:ascii="Arial" w:cs="Arial" w:eastAsia="Arial" w:hAnsi="Arial"/>
                <w:sz w:val="14"/>
                <w:szCs w:val="14"/>
                <w:b w:val="1"/>
                <w:bCs w:val="1"/>
                <w:color w:val="55565A"/>
              </w:rPr>
              <w:t>Parent</w:t>
            </w:r>
          </w:p>
        </w:tc>
        <w:tc>
          <w:tcPr>
            <w:tcW w:w="1300" w:type="dxa"/>
            <w:vAlign w:val="bottom"/>
          </w:tcPr>
          <w:p>
            <w:pPr>
              <w:jc w:val="right"/>
              <w:ind w:right="249"/>
              <w:spacing w:after="0"/>
              <w:rPr>
                <w:sz w:val="20"/>
                <w:szCs w:val="20"/>
                <w:color w:val="auto"/>
              </w:rPr>
            </w:pPr>
            <w:r>
              <w:rPr>
                <w:rFonts w:ascii="Arial" w:cs="Arial" w:eastAsia="Arial" w:hAnsi="Arial"/>
                <w:sz w:val="14"/>
                <w:szCs w:val="14"/>
                <w:b w:val="1"/>
                <w:bCs w:val="1"/>
                <w:color w:val="55565A"/>
              </w:rPr>
              <w:t>Issuer</w:t>
            </w:r>
          </w:p>
        </w:tc>
        <w:tc>
          <w:tcPr>
            <w:tcW w:w="1620" w:type="dxa"/>
            <w:vAlign w:val="bottom"/>
          </w:tcPr>
          <w:p>
            <w:pPr>
              <w:jc w:val="right"/>
              <w:ind w:right="409"/>
              <w:spacing w:after="0"/>
              <w:rPr>
                <w:sz w:val="20"/>
                <w:szCs w:val="20"/>
                <w:color w:val="auto"/>
              </w:rPr>
            </w:pPr>
            <w:r>
              <w:rPr>
                <w:rFonts w:ascii="Arial" w:cs="Arial" w:eastAsia="Arial" w:hAnsi="Arial"/>
                <w:sz w:val="14"/>
                <w:szCs w:val="14"/>
                <w:b w:val="1"/>
                <w:bCs w:val="1"/>
                <w:color w:val="55565A"/>
              </w:rPr>
              <w:t>Subsidiaries</w:t>
            </w:r>
          </w:p>
        </w:tc>
        <w:tc>
          <w:tcPr>
            <w:tcW w:w="1560" w:type="dxa"/>
            <w:vAlign w:val="bottom"/>
          </w:tcPr>
          <w:p>
            <w:pPr>
              <w:jc w:val="right"/>
              <w:ind w:right="189"/>
              <w:spacing w:after="0"/>
              <w:rPr>
                <w:sz w:val="20"/>
                <w:szCs w:val="20"/>
                <w:color w:val="auto"/>
              </w:rPr>
            </w:pPr>
            <w:r>
              <w:rPr>
                <w:rFonts w:ascii="Arial" w:cs="Arial" w:eastAsia="Arial" w:hAnsi="Arial"/>
                <w:sz w:val="14"/>
                <w:szCs w:val="14"/>
                <w:b w:val="1"/>
                <w:bCs w:val="1"/>
                <w:color w:val="55565A"/>
              </w:rPr>
              <w:t>Subsidiaries</w:t>
            </w:r>
          </w:p>
        </w:tc>
        <w:tc>
          <w:tcPr>
            <w:tcW w:w="1220" w:type="dxa"/>
            <w:vAlign w:val="bottom"/>
          </w:tcPr>
          <w:p>
            <w:pPr>
              <w:jc w:val="right"/>
              <w:ind w:right="89"/>
              <w:spacing w:after="0"/>
              <w:rPr>
                <w:sz w:val="20"/>
                <w:szCs w:val="20"/>
                <w:color w:val="auto"/>
              </w:rPr>
            </w:pPr>
            <w:r>
              <w:rPr>
                <w:rFonts w:ascii="Arial" w:cs="Arial" w:eastAsia="Arial" w:hAnsi="Arial"/>
                <w:sz w:val="14"/>
                <w:szCs w:val="14"/>
                <w:b w:val="1"/>
                <w:bCs w:val="1"/>
                <w:color w:val="55565A"/>
              </w:rPr>
              <w:t>Eliminations</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55565A"/>
              </w:rPr>
              <w:t>Consolidated</w:t>
            </w:r>
          </w:p>
        </w:tc>
      </w:tr>
      <w:tr>
        <w:trPr>
          <w:trHeight w:val="48"/>
        </w:trPr>
        <w:tc>
          <w:tcPr>
            <w:tcW w:w="20" w:type="dxa"/>
            <w:vAlign w:val="bottom"/>
          </w:tcPr>
          <w:p>
            <w:pPr>
              <w:spacing w:after="0"/>
              <w:rPr>
                <w:sz w:val="4"/>
                <w:szCs w:val="4"/>
                <w:color w:val="auto"/>
              </w:rPr>
            </w:pPr>
          </w:p>
        </w:tc>
        <w:tc>
          <w:tcPr>
            <w:tcW w:w="2900" w:type="dxa"/>
            <w:vAlign w:val="bottom"/>
            <w:tcBorders>
              <w:bottom w:val="single" w:sz="8" w:color="88888B"/>
            </w:tcBorders>
          </w:tcPr>
          <w:p>
            <w:pPr>
              <w:spacing w:after="0"/>
              <w:rPr>
                <w:sz w:val="4"/>
                <w:szCs w:val="4"/>
                <w:color w:val="auto"/>
              </w:rPr>
            </w:pPr>
          </w:p>
        </w:tc>
        <w:tc>
          <w:tcPr>
            <w:tcW w:w="1060" w:type="dxa"/>
            <w:vAlign w:val="bottom"/>
            <w:tcBorders>
              <w:bottom w:val="single" w:sz="8" w:color="88888B"/>
            </w:tcBorders>
          </w:tcPr>
          <w:p>
            <w:pPr>
              <w:spacing w:after="0"/>
              <w:rPr>
                <w:sz w:val="4"/>
                <w:szCs w:val="4"/>
                <w:color w:val="auto"/>
              </w:rPr>
            </w:pPr>
          </w:p>
        </w:tc>
        <w:tc>
          <w:tcPr>
            <w:tcW w:w="1300" w:type="dxa"/>
            <w:vAlign w:val="bottom"/>
            <w:tcBorders>
              <w:bottom w:val="single" w:sz="8" w:color="88888B"/>
            </w:tcBorders>
          </w:tcPr>
          <w:p>
            <w:pPr>
              <w:spacing w:after="0"/>
              <w:rPr>
                <w:sz w:val="4"/>
                <w:szCs w:val="4"/>
                <w:color w:val="auto"/>
              </w:rPr>
            </w:pPr>
          </w:p>
        </w:tc>
        <w:tc>
          <w:tcPr>
            <w:tcW w:w="3180" w:type="dxa"/>
            <w:vAlign w:val="bottom"/>
            <w:tcBorders>
              <w:bottom w:val="single" w:sz="8" w:color="88888B"/>
            </w:tcBorders>
            <w:gridSpan w:val="2"/>
          </w:tcPr>
          <w:p>
            <w:pPr>
              <w:spacing w:after="0"/>
              <w:rPr>
                <w:sz w:val="4"/>
                <w:szCs w:val="4"/>
                <w:color w:val="auto"/>
              </w:rPr>
            </w:pPr>
          </w:p>
        </w:tc>
        <w:tc>
          <w:tcPr>
            <w:tcW w:w="1220" w:type="dxa"/>
            <w:vAlign w:val="bottom"/>
            <w:tcBorders>
              <w:bottom w:val="single" w:sz="8" w:color="88888B"/>
            </w:tcBorders>
          </w:tcPr>
          <w:p>
            <w:pPr>
              <w:spacing w:after="0"/>
              <w:rPr>
                <w:sz w:val="4"/>
                <w:szCs w:val="4"/>
                <w:color w:val="auto"/>
              </w:rPr>
            </w:pPr>
          </w:p>
        </w:tc>
        <w:tc>
          <w:tcPr>
            <w:tcW w:w="1240" w:type="dxa"/>
            <w:vAlign w:val="bottom"/>
            <w:tcBorders>
              <w:bottom w:val="single" w:sz="8" w:color="88888B"/>
            </w:tcBorders>
          </w:tcPr>
          <w:p>
            <w:pPr>
              <w:spacing w:after="0"/>
              <w:rPr>
                <w:sz w:val="4"/>
                <w:szCs w:val="4"/>
                <w:color w:val="auto"/>
              </w:rPr>
            </w:pPr>
          </w:p>
        </w:tc>
      </w:tr>
      <w:tr>
        <w:trPr>
          <w:trHeight w:val="160"/>
        </w:trPr>
        <w:tc>
          <w:tcPr>
            <w:tcW w:w="20" w:type="dxa"/>
            <w:vAlign w:val="bottom"/>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18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b w:val="1"/>
                <w:bCs w:val="1"/>
                <w:color w:val="55565A"/>
              </w:rPr>
              <w:t>Three months ended March 31, 2024</w:t>
            </w:r>
          </w:p>
        </w:tc>
        <w:tc>
          <w:tcPr>
            <w:tcW w:w="1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78"/>
        </w:trPr>
        <w:tc>
          <w:tcPr>
            <w:tcW w:w="2920" w:type="dxa"/>
            <w:vAlign w:val="bottom"/>
            <w:gridSpan w:val="2"/>
          </w:tcPr>
          <w:p>
            <w:pPr>
              <w:spacing w:after="0"/>
              <w:rPr>
                <w:sz w:val="20"/>
                <w:szCs w:val="20"/>
                <w:color w:val="auto"/>
              </w:rPr>
            </w:pPr>
            <w:r>
              <w:rPr>
                <w:rFonts w:ascii="Arial" w:cs="Arial" w:eastAsia="Arial" w:hAnsi="Arial"/>
                <w:sz w:val="14"/>
                <w:szCs w:val="14"/>
                <w:color w:val="55565A"/>
              </w:rPr>
              <w:t>Net cash (used in) provided by operating</w:t>
            </w: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900" w:type="dxa"/>
            <w:vAlign w:val="bottom"/>
          </w:tcPr>
          <w:p>
            <w:pPr>
              <w:ind w:left="140"/>
              <w:spacing w:after="0"/>
              <w:rPr>
                <w:sz w:val="20"/>
                <w:szCs w:val="20"/>
                <w:color w:val="auto"/>
              </w:rPr>
            </w:pPr>
            <w:r>
              <w:rPr>
                <w:rFonts w:ascii="Arial" w:cs="Arial" w:eastAsia="Arial" w:hAnsi="Arial"/>
                <w:sz w:val="14"/>
                <w:szCs w:val="14"/>
                <w:color w:val="55565A"/>
              </w:rPr>
              <w:t>activities</w:t>
            </w:r>
          </w:p>
        </w:tc>
        <w:tc>
          <w:tcPr>
            <w:tcW w:w="1060" w:type="dxa"/>
            <w:vAlign w:val="bottom"/>
          </w:tcPr>
          <w:p>
            <w:pPr>
              <w:jc w:val="right"/>
              <w:ind w:right="189"/>
              <w:spacing w:after="0"/>
              <w:rPr>
                <w:sz w:val="20"/>
                <w:szCs w:val="20"/>
                <w:color w:val="auto"/>
              </w:rPr>
            </w:pPr>
            <w:r>
              <w:rPr>
                <w:rFonts w:ascii="Arial" w:cs="Arial" w:eastAsia="Arial" w:hAnsi="Arial"/>
                <w:sz w:val="14"/>
                <w:szCs w:val="14"/>
                <w:b w:val="1"/>
                <w:bCs w:val="1"/>
                <w:color w:val="55565A"/>
              </w:rPr>
              <w:t>(2)</w:t>
            </w:r>
          </w:p>
        </w:tc>
        <w:tc>
          <w:tcPr>
            <w:tcW w:w="1300" w:type="dxa"/>
            <w:vAlign w:val="bottom"/>
          </w:tcPr>
          <w:p>
            <w:pPr>
              <w:jc w:val="right"/>
              <w:ind w:right="249"/>
              <w:spacing w:after="0"/>
              <w:rPr>
                <w:sz w:val="20"/>
                <w:szCs w:val="20"/>
                <w:color w:val="auto"/>
              </w:rPr>
            </w:pPr>
            <w:r>
              <w:rPr>
                <w:rFonts w:ascii="Arial" w:cs="Arial" w:eastAsia="Arial" w:hAnsi="Arial"/>
                <w:sz w:val="14"/>
                <w:szCs w:val="14"/>
                <w:b w:val="1"/>
                <w:bCs w:val="1"/>
                <w:color w:val="55565A"/>
              </w:rPr>
              <w:t>–</w:t>
            </w:r>
          </w:p>
        </w:tc>
        <w:tc>
          <w:tcPr>
            <w:tcW w:w="1620" w:type="dxa"/>
            <w:vAlign w:val="bottom"/>
          </w:tcPr>
          <w:p>
            <w:pPr>
              <w:jc w:val="right"/>
              <w:ind w:right="409"/>
              <w:spacing w:after="0"/>
              <w:rPr>
                <w:sz w:val="20"/>
                <w:szCs w:val="20"/>
                <w:color w:val="auto"/>
              </w:rPr>
            </w:pPr>
            <w:r>
              <w:rPr>
                <w:rFonts w:ascii="Arial" w:cs="Arial" w:eastAsia="Arial" w:hAnsi="Arial"/>
                <w:sz w:val="14"/>
                <w:szCs w:val="14"/>
                <w:b w:val="1"/>
                <w:bCs w:val="1"/>
                <w:color w:val="55565A"/>
              </w:rPr>
              <w:t>(118)</w:t>
            </w:r>
          </w:p>
        </w:tc>
        <w:tc>
          <w:tcPr>
            <w:tcW w:w="1560" w:type="dxa"/>
            <w:vAlign w:val="bottom"/>
          </w:tcPr>
          <w:p>
            <w:pPr>
              <w:jc w:val="right"/>
              <w:ind w:right="189"/>
              <w:spacing w:after="0"/>
              <w:rPr>
                <w:sz w:val="20"/>
                <w:szCs w:val="20"/>
                <w:color w:val="auto"/>
              </w:rPr>
            </w:pPr>
            <w:r>
              <w:rPr>
                <w:rFonts w:ascii="Arial" w:cs="Arial" w:eastAsia="Arial" w:hAnsi="Arial"/>
                <w:sz w:val="14"/>
                <w:szCs w:val="14"/>
                <w:b w:val="1"/>
                <w:bCs w:val="1"/>
                <w:color w:val="55565A"/>
              </w:rPr>
              <w:t>552</w:t>
            </w:r>
          </w:p>
        </w:tc>
        <w:tc>
          <w:tcPr>
            <w:tcW w:w="1220" w:type="dxa"/>
            <w:vAlign w:val="bottom"/>
          </w:tcPr>
          <w:p>
            <w:pPr>
              <w:jc w:val="right"/>
              <w:ind w:right="89"/>
              <w:spacing w:after="0"/>
              <w:rPr>
                <w:sz w:val="20"/>
                <w:szCs w:val="20"/>
                <w:color w:val="auto"/>
              </w:rPr>
            </w:pPr>
            <w:r>
              <w:rPr>
                <w:rFonts w:ascii="Arial" w:cs="Arial" w:eastAsia="Arial" w:hAnsi="Arial"/>
                <w:sz w:val="14"/>
                <w:szCs w:val="14"/>
                <w:b w:val="1"/>
                <w:bCs w:val="1"/>
                <w:color w:val="55565A"/>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55565A"/>
              </w:rPr>
              <w:t>432</w:t>
            </w:r>
          </w:p>
        </w:tc>
      </w:tr>
      <w:tr>
        <w:trPr>
          <w:trHeight w:val="153"/>
        </w:trPr>
        <w:tc>
          <w:tcPr>
            <w:tcW w:w="20" w:type="dxa"/>
            <w:vAlign w:val="bottom"/>
          </w:tcPr>
          <w:p>
            <w:pPr>
              <w:spacing w:after="0"/>
              <w:rPr>
                <w:sz w:val="13"/>
                <w:szCs w:val="13"/>
                <w:color w:val="auto"/>
              </w:rPr>
            </w:pPr>
          </w:p>
        </w:tc>
        <w:tc>
          <w:tcPr>
            <w:tcW w:w="2900" w:type="dxa"/>
            <w:vAlign w:val="bottom"/>
            <w:shd w:val="clear" w:color="auto" w:fill="CCEEFF"/>
          </w:tcPr>
          <w:p>
            <w:pPr>
              <w:spacing w:after="0" w:line="153" w:lineRule="exact"/>
              <w:rPr>
                <w:sz w:val="20"/>
                <w:szCs w:val="20"/>
                <w:color w:val="auto"/>
              </w:rPr>
            </w:pPr>
            <w:r>
              <w:rPr>
                <w:rFonts w:ascii="Arial" w:cs="Arial" w:eastAsia="Arial" w:hAnsi="Arial"/>
                <w:sz w:val="14"/>
                <w:szCs w:val="14"/>
                <w:color w:val="55565A"/>
              </w:rPr>
              <w:t>Net cash provided by (used in) investing</w:t>
            </w:r>
          </w:p>
        </w:tc>
        <w:tc>
          <w:tcPr>
            <w:tcW w:w="10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55565A"/>
              </w:rPr>
              <w:t>activities</w:t>
            </w:r>
          </w:p>
        </w:tc>
        <w:tc>
          <w:tcPr>
            <w:tcW w:w="106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991</w:t>
            </w:r>
          </w:p>
        </w:tc>
        <w:tc>
          <w:tcPr>
            <w:tcW w:w="130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w:t>
            </w:r>
          </w:p>
        </w:tc>
        <w:tc>
          <w:tcPr>
            <w:tcW w:w="1620" w:type="dxa"/>
            <w:vAlign w:val="bottom"/>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(4)</w:t>
            </w:r>
          </w:p>
        </w:tc>
        <w:tc>
          <w:tcPr>
            <w:tcW w:w="156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653</w:t>
            </w:r>
          </w:p>
        </w:tc>
        <w:tc>
          <w:tcPr>
            <w:tcW w:w="122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(997)</w:t>
            </w: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643</w:t>
            </w:r>
          </w:p>
        </w:tc>
      </w:tr>
      <w:tr>
        <w:trPr>
          <w:trHeight w:val="178"/>
        </w:trPr>
        <w:tc>
          <w:tcPr>
            <w:tcW w:w="2920" w:type="dxa"/>
            <w:vAlign w:val="bottom"/>
            <w:gridSpan w:val="2"/>
          </w:tcPr>
          <w:p>
            <w:pPr>
              <w:spacing w:after="0"/>
              <w:rPr>
                <w:sz w:val="20"/>
                <w:szCs w:val="20"/>
                <w:color w:val="auto"/>
              </w:rPr>
            </w:pPr>
            <w:r>
              <w:rPr>
                <w:rFonts w:ascii="Arial" w:cs="Arial" w:eastAsia="Arial" w:hAnsi="Arial"/>
                <w:sz w:val="14"/>
                <w:szCs w:val="14"/>
                <w:color w:val="55565A"/>
              </w:rPr>
              <w:t>Net cash (used in) provided by financing</w:t>
            </w: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900" w:type="dxa"/>
            <w:vAlign w:val="bottom"/>
          </w:tcPr>
          <w:p>
            <w:pPr>
              <w:ind w:left="140"/>
              <w:spacing w:after="0"/>
              <w:rPr>
                <w:sz w:val="20"/>
                <w:szCs w:val="20"/>
                <w:color w:val="auto"/>
              </w:rPr>
            </w:pPr>
            <w:r>
              <w:rPr>
                <w:rFonts w:ascii="Arial" w:cs="Arial" w:eastAsia="Arial" w:hAnsi="Arial"/>
                <w:sz w:val="14"/>
                <w:szCs w:val="14"/>
                <w:color w:val="55565A"/>
              </w:rPr>
              <w:t>activities</w:t>
            </w:r>
          </w:p>
        </w:tc>
        <w:tc>
          <w:tcPr>
            <w:tcW w:w="1060" w:type="dxa"/>
            <w:vAlign w:val="bottom"/>
          </w:tcPr>
          <w:p>
            <w:pPr>
              <w:jc w:val="right"/>
              <w:ind w:right="189"/>
              <w:spacing w:after="0"/>
              <w:rPr>
                <w:sz w:val="20"/>
                <w:szCs w:val="20"/>
                <w:color w:val="auto"/>
              </w:rPr>
            </w:pPr>
            <w:r>
              <w:rPr>
                <w:rFonts w:ascii="Arial" w:cs="Arial" w:eastAsia="Arial" w:hAnsi="Arial"/>
                <w:sz w:val="14"/>
                <w:szCs w:val="14"/>
                <w:b w:val="1"/>
                <w:bCs w:val="1"/>
                <w:color w:val="55565A"/>
              </w:rPr>
              <w:t>(1,007)</w:t>
            </w:r>
          </w:p>
        </w:tc>
        <w:tc>
          <w:tcPr>
            <w:tcW w:w="1300" w:type="dxa"/>
            <w:vAlign w:val="bottom"/>
          </w:tcPr>
          <w:p>
            <w:pPr>
              <w:jc w:val="right"/>
              <w:ind w:right="249"/>
              <w:spacing w:after="0"/>
              <w:rPr>
                <w:sz w:val="20"/>
                <w:szCs w:val="20"/>
                <w:color w:val="auto"/>
              </w:rPr>
            </w:pPr>
            <w:r>
              <w:rPr>
                <w:rFonts w:ascii="Arial" w:cs="Arial" w:eastAsia="Arial" w:hAnsi="Arial"/>
                <w:sz w:val="14"/>
                <w:szCs w:val="14"/>
                <w:b w:val="1"/>
                <w:bCs w:val="1"/>
                <w:color w:val="55565A"/>
              </w:rPr>
              <w:t>–</w:t>
            </w:r>
          </w:p>
        </w:tc>
        <w:tc>
          <w:tcPr>
            <w:tcW w:w="1620" w:type="dxa"/>
            <w:vAlign w:val="bottom"/>
          </w:tcPr>
          <w:p>
            <w:pPr>
              <w:jc w:val="right"/>
              <w:ind w:right="409"/>
              <w:spacing w:after="0"/>
              <w:rPr>
                <w:sz w:val="20"/>
                <w:szCs w:val="20"/>
                <w:color w:val="auto"/>
              </w:rPr>
            </w:pPr>
            <w:r>
              <w:rPr>
                <w:rFonts w:ascii="Arial" w:cs="Arial" w:eastAsia="Arial" w:hAnsi="Arial"/>
                <w:sz w:val="14"/>
                <w:szCs w:val="14"/>
                <w:b w:val="1"/>
                <w:bCs w:val="1"/>
                <w:color w:val="55565A"/>
              </w:rPr>
              <w:t>10</w:t>
            </w:r>
          </w:p>
        </w:tc>
        <w:tc>
          <w:tcPr>
            <w:tcW w:w="1560" w:type="dxa"/>
            <w:vAlign w:val="bottom"/>
          </w:tcPr>
          <w:p>
            <w:pPr>
              <w:jc w:val="right"/>
              <w:ind w:right="189"/>
              <w:spacing w:after="0"/>
              <w:rPr>
                <w:sz w:val="20"/>
                <w:szCs w:val="20"/>
                <w:color w:val="auto"/>
              </w:rPr>
            </w:pPr>
            <w:r>
              <w:rPr>
                <w:rFonts w:ascii="Arial" w:cs="Arial" w:eastAsia="Arial" w:hAnsi="Arial"/>
                <w:sz w:val="14"/>
                <w:szCs w:val="14"/>
                <w:b w:val="1"/>
                <w:bCs w:val="1"/>
                <w:color w:val="55565A"/>
              </w:rPr>
              <w:t>(470)</w:t>
            </w:r>
          </w:p>
        </w:tc>
        <w:tc>
          <w:tcPr>
            <w:tcW w:w="1220" w:type="dxa"/>
            <w:vAlign w:val="bottom"/>
          </w:tcPr>
          <w:p>
            <w:pPr>
              <w:jc w:val="right"/>
              <w:ind w:right="89"/>
              <w:spacing w:after="0"/>
              <w:rPr>
                <w:sz w:val="20"/>
                <w:szCs w:val="20"/>
                <w:color w:val="auto"/>
              </w:rPr>
            </w:pPr>
            <w:r>
              <w:rPr>
                <w:rFonts w:ascii="Arial" w:cs="Arial" w:eastAsia="Arial" w:hAnsi="Arial"/>
                <w:sz w:val="14"/>
                <w:szCs w:val="14"/>
                <w:b w:val="1"/>
                <w:bCs w:val="1"/>
                <w:color w:val="55565A"/>
              </w:rPr>
              <w:t>997</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55565A"/>
              </w:rPr>
              <w:t>(470)</w:t>
            </w:r>
          </w:p>
        </w:tc>
      </w:tr>
      <w:tr>
        <w:trPr>
          <w:trHeight w:val="162"/>
        </w:trPr>
        <w:tc>
          <w:tcPr>
            <w:tcW w:w="20" w:type="dxa"/>
            <w:vAlign w:val="bottom"/>
          </w:tcPr>
          <w:p>
            <w:pPr>
              <w:spacing w:after="0"/>
              <w:rPr>
                <w:sz w:val="14"/>
                <w:szCs w:val="14"/>
                <w:color w:val="auto"/>
              </w:rPr>
            </w:pPr>
          </w:p>
        </w:tc>
        <w:tc>
          <w:tcPr>
            <w:tcW w:w="29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Translation adjustments</w:t>
            </w:r>
          </w:p>
        </w:tc>
        <w:tc>
          <w:tcPr>
            <w:tcW w:w="106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w:t>
            </w:r>
          </w:p>
        </w:tc>
        <w:tc>
          <w:tcPr>
            <w:tcW w:w="130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w:t>
            </w:r>
          </w:p>
        </w:tc>
        <w:tc>
          <w:tcPr>
            <w:tcW w:w="162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w:t>
            </w:r>
          </w:p>
        </w:tc>
        <w:tc>
          <w:tcPr>
            <w:tcW w:w="156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55565A"/>
              </w:rPr>
              <w:t>(2)</w:t>
            </w:r>
          </w:p>
        </w:tc>
        <w:tc>
          <w:tcPr>
            <w:tcW w:w="122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5565A"/>
              </w:rPr>
              <w:t>–</w:t>
            </w:r>
          </w:p>
        </w:tc>
        <w:tc>
          <w:tcPr>
            <w:tcW w:w="124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5565A"/>
              </w:rPr>
              <w:t>(2)</w:t>
            </w:r>
          </w:p>
        </w:tc>
      </w:tr>
      <w:tr>
        <w:trPr>
          <w:trHeight w:val="158"/>
        </w:trPr>
        <w:tc>
          <w:tcPr>
            <w:tcW w:w="2920" w:type="dxa"/>
            <w:vAlign w:val="bottom"/>
            <w:gridSpan w:val="2"/>
          </w:tcPr>
          <w:p>
            <w:pPr>
              <w:spacing w:after="0" w:line="158" w:lineRule="exact"/>
              <w:rPr>
                <w:sz w:val="20"/>
                <w:szCs w:val="20"/>
                <w:color w:val="auto"/>
              </w:rPr>
            </w:pPr>
            <w:r>
              <w:rPr>
                <w:rFonts w:ascii="Arial" w:cs="Arial" w:eastAsia="Arial" w:hAnsi="Arial"/>
                <w:sz w:val="14"/>
                <w:szCs w:val="14"/>
                <w:color w:val="55565A"/>
              </w:rPr>
              <w:t>(Decrease) increase in cash and cash</w:t>
            </w: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900" w:type="dxa"/>
            <w:vAlign w:val="bottom"/>
            <w:tcBorders>
              <w:bottom w:val="single" w:sz="8" w:color="88888B"/>
            </w:tcBorders>
          </w:tcPr>
          <w:p>
            <w:pPr>
              <w:ind w:left="140"/>
              <w:spacing w:after="0"/>
              <w:rPr>
                <w:sz w:val="20"/>
                <w:szCs w:val="20"/>
                <w:color w:val="auto"/>
              </w:rPr>
            </w:pPr>
            <w:r>
              <w:rPr>
                <w:rFonts w:ascii="Arial" w:cs="Arial" w:eastAsia="Arial" w:hAnsi="Arial"/>
                <w:sz w:val="14"/>
                <w:szCs w:val="14"/>
                <w:color w:val="55565A"/>
              </w:rPr>
              <w:t>equivalents</w:t>
            </w:r>
          </w:p>
        </w:tc>
        <w:tc>
          <w:tcPr>
            <w:tcW w:w="1060" w:type="dxa"/>
            <w:vAlign w:val="bottom"/>
            <w:tcBorders>
              <w:bottom w:val="single" w:sz="8" w:color="88888B"/>
            </w:tcBorders>
          </w:tcPr>
          <w:p>
            <w:pPr>
              <w:jc w:val="right"/>
              <w:ind w:right="189"/>
              <w:spacing w:after="0"/>
              <w:rPr>
                <w:sz w:val="20"/>
                <w:szCs w:val="20"/>
                <w:color w:val="auto"/>
              </w:rPr>
            </w:pPr>
            <w:r>
              <w:rPr>
                <w:rFonts w:ascii="Arial" w:cs="Arial" w:eastAsia="Arial" w:hAnsi="Arial"/>
                <w:sz w:val="14"/>
                <w:szCs w:val="14"/>
                <w:b w:val="1"/>
                <w:bCs w:val="1"/>
                <w:color w:val="55565A"/>
              </w:rPr>
              <w:t>(18)</w:t>
            </w:r>
          </w:p>
        </w:tc>
        <w:tc>
          <w:tcPr>
            <w:tcW w:w="130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w:t>
            </w:r>
          </w:p>
        </w:tc>
        <w:tc>
          <w:tcPr>
            <w:tcW w:w="1620" w:type="dxa"/>
            <w:vAlign w:val="bottom"/>
            <w:tcBorders>
              <w:bottom w:val="single" w:sz="8" w:color="88888B"/>
            </w:tcBorders>
          </w:tcPr>
          <w:p>
            <w:pPr>
              <w:jc w:val="right"/>
              <w:ind w:right="409"/>
              <w:spacing w:after="0"/>
              <w:rPr>
                <w:sz w:val="20"/>
                <w:szCs w:val="20"/>
                <w:color w:val="auto"/>
              </w:rPr>
            </w:pPr>
            <w:r>
              <w:rPr>
                <w:rFonts w:ascii="Arial" w:cs="Arial" w:eastAsia="Arial" w:hAnsi="Arial"/>
                <w:sz w:val="14"/>
                <w:szCs w:val="14"/>
                <w:b w:val="1"/>
                <w:bCs w:val="1"/>
                <w:color w:val="55565A"/>
              </w:rPr>
              <w:t>(112)</w:t>
            </w:r>
          </w:p>
        </w:tc>
        <w:tc>
          <w:tcPr>
            <w:tcW w:w="1560" w:type="dxa"/>
            <w:vAlign w:val="bottom"/>
            <w:tcBorders>
              <w:bottom w:val="single" w:sz="8" w:color="88888B"/>
            </w:tcBorders>
          </w:tcPr>
          <w:p>
            <w:pPr>
              <w:jc w:val="right"/>
              <w:ind w:right="189"/>
              <w:spacing w:after="0"/>
              <w:rPr>
                <w:sz w:val="20"/>
                <w:szCs w:val="20"/>
                <w:color w:val="auto"/>
              </w:rPr>
            </w:pPr>
            <w:r>
              <w:rPr>
                <w:rFonts w:ascii="Arial" w:cs="Arial" w:eastAsia="Arial" w:hAnsi="Arial"/>
                <w:sz w:val="14"/>
                <w:szCs w:val="14"/>
                <w:b w:val="1"/>
                <w:bCs w:val="1"/>
                <w:color w:val="55565A"/>
              </w:rPr>
              <w:t>733</w:t>
            </w:r>
          </w:p>
        </w:tc>
        <w:tc>
          <w:tcPr>
            <w:tcW w:w="1220" w:type="dxa"/>
            <w:vAlign w:val="bottom"/>
            <w:tcBorders>
              <w:bottom w:val="single" w:sz="8" w:color="88888B"/>
            </w:tcBorders>
          </w:tcPr>
          <w:p>
            <w:pPr>
              <w:jc w:val="right"/>
              <w:ind w:right="89"/>
              <w:spacing w:after="0"/>
              <w:rPr>
                <w:sz w:val="20"/>
                <w:szCs w:val="20"/>
                <w:color w:val="auto"/>
              </w:rPr>
            </w:pPr>
            <w:r>
              <w:rPr>
                <w:rFonts w:ascii="Arial" w:cs="Arial" w:eastAsia="Arial" w:hAnsi="Arial"/>
                <w:sz w:val="14"/>
                <w:szCs w:val="14"/>
                <w:b w:val="1"/>
                <w:bCs w:val="1"/>
                <w:color w:val="55565A"/>
              </w:rPr>
              <w:t>–</w:t>
            </w:r>
          </w:p>
        </w:tc>
        <w:tc>
          <w:tcPr>
            <w:tcW w:w="1240" w:type="dxa"/>
            <w:vAlign w:val="bottom"/>
            <w:tcBorders>
              <w:bottom w:val="single" w:sz="8" w:color="88888B"/>
            </w:tcBorders>
          </w:tcPr>
          <w:p>
            <w:pPr>
              <w:jc w:val="right"/>
              <w:ind w:right="109"/>
              <w:spacing w:after="0"/>
              <w:rPr>
                <w:sz w:val="20"/>
                <w:szCs w:val="20"/>
                <w:color w:val="auto"/>
              </w:rPr>
            </w:pPr>
            <w:r>
              <w:rPr>
                <w:rFonts w:ascii="Arial" w:cs="Arial" w:eastAsia="Arial" w:hAnsi="Arial"/>
                <w:sz w:val="14"/>
                <w:szCs w:val="14"/>
                <w:b w:val="1"/>
                <w:bCs w:val="1"/>
                <w:color w:val="55565A"/>
              </w:rPr>
              <w:t>603</w:t>
            </w:r>
          </w:p>
        </w:tc>
      </w:tr>
      <w:tr>
        <w:trPr>
          <w:trHeight w:val="192"/>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8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55565A"/>
              </w:rPr>
              <w:t>Three months ended March 31, 2023</w:t>
            </w: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53"/>
        </w:trPr>
        <w:tc>
          <w:tcPr>
            <w:tcW w:w="20" w:type="dxa"/>
            <w:vAlign w:val="bottom"/>
          </w:tcPr>
          <w:p>
            <w:pPr>
              <w:spacing w:after="0"/>
              <w:rPr>
                <w:sz w:val="13"/>
                <w:szCs w:val="13"/>
                <w:color w:val="auto"/>
              </w:rPr>
            </w:pPr>
          </w:p>
        </w:tc>
        <w:tc>
          <w:tcPr>
            <w:tcW w:w="2900" w:type="dxa"/>
            <w:vAlign w:val="bottom"/>
            <w:shd w:val="clear" w:color="auto" w:fill="CCEEFF"/>
          </w:tcPr>
          <w:p>
            <w:pPr>
              <w:spacing w:after="0" w:line="153" w:lineRule="exact"/>
              <w:rPr>
                <w:sz w:val="20"/>
                <w:szCs w:val="20"/>
                <w:color w:val="auto"/>
              </w:rPr>
            </w:pPr>
            <w:r>
              <w:rPr>
                <w:rFonts w:ascii="Arial" w:cs="Arial" w:eastAsia="Arial" w:hAnsi="Arial"/>
                <w:sz w:val="14"/>
                <w:szCs w:val="14"/>
                <w:color w:val="55565A"/>
              </w:rPr>
              <w:t>Net cash (used in) provided by operating</w:t>
            </w:r>
          </w:p>
        </w:tc>
        <w:tc>
          <w:tcPr>
            <w:tcW w:w="10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55565A"/>
              </w:rPr>
              <w:t>activities</w:t>
            </w:r>
          </w:p>
        </w:tc>
        <w:tc>
          <w:tcPr>
            <w:tcW w:w="10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(11)</w:t>
            </w:r>
          </w:p>
        </w:tc>
        <w:tc>
          <w:tcPr>
            <w:tcW w:w="13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w:t>
            </w:r>
          </w:p>
        </w:tc>
        <w:tc>
          <w:tcPr>
            <w:tcW w:w="162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(19)</w:t>
            </w:r>
          </w:p>
        </w:tc>
        <w:tc>
          <w:tcPr>
            <w:tcW w:w="15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297</w:t>
            </w:r>
          </w:p>
        </w:tc>
        <w:tc>
          <w:tcPr>
            <w:tcW w:w="12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55565A"/>
              </w:rPr>
              <w:t>–</w:t>
            </w: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267</w:t>
            </w:r>
          </w:p>
        </w:tc>
      </w:tr>
      <w:tr>
        <w:trPr>
          <w:trHeight w:val="178"/>
        </w:trPr>
        <w:tc>
          <w:tcPr>
            <w:tcW w:w="2920" w:type="dxa"/>
            <w:vAlign w:val="bottom"/>
            <w:gridSpan w:val="2"/>
          </w:tcPr>
          <w:p>
            <w:pPr>
              <w:spacing w:after="0"/>
              <w:rPr>
                <w:sz w:val="20"/>
                <w:szCs w:val="20"/>
                <w:color w:val="auto"/>
              </w:rPr>
            </w:pPr>
            <w:r>
              <w:rPr>
                <w:rFonts w:ascii="Arial" w:cs="Arial" w:eastAsia="Arial" w:hAnsi="Arial"/>
                <w:sz w:val="14"/>
                <w:szCs w:val="14"/>
                <w:color w:val="55565A"/>
              </w:rPr>
              <w:t>Net cash provided by (used in) investing</w:t>
            </w: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900" w:type="dxa"/>
            <w:vAlign w:val="bottom"/>
          </w:tcPr>
          <w:p>
            <w:pPr>
              <w:ind w:left="140"/>
              <w:spacing w:after="0"/>
              <w:rPr>
                <w:sz w:val="20"/>
                <w:szCs w:val="20"/>
                <w:color w:val="auto"/>
              </w:rPr>
            </w:pPr>
            <w:r>
              <w:rPr>
                <w:rFonts w:ascii="Arial" w:cs="Arial" w:eastAsia="Arial" w:hAnsi="Arial"/>
                <w:sz w:val="14"/>
                <w:szCs w:val="14"/>
                <w:color w:val="55565A"/>
              </w:rPr>
              <w:t>activities</w:t>
            </w:r>
          </w:p>
        </w:tc>
        <w:tc>
          <w:tcPr>
            <w:tcW w:w="1060" w:type="dxa"/>
            <w:vAlign w:val="bottom"/>
          </w:tcPr>
          <w:p>
            <w:pPr>
              <w:jc w:val="right"/>
              <w:ind w:right="189"/>
              <w:spacing w:after="0"/>
              <w:rPr>
                <w:sz w:val="20"/>
                <w:szCs w:val="20"/>
                <w:color w:val="auto"/>
              </w:rPr>
            </w:pPr>
            <w:r>
              <w:rPr>
                <w:rFonts w:ascii="Arial" w:cs="Arial" w:eastAsia="Arial" w:hAnsi="Arial"/>
                <w:sz w:val="14"/>
                <w:szCs w:val="14"/>
                <w:color w:val="55565A"/>
              </w:rPr>
              <w:t>21</w:t>
            </w:r>
          </w:p>
        </w:tc>
        <w:tc>
          <w:tcPr>
            <w:tcW w:w="1300" w:type="dxa"/>
            <w:vAlign w:val="bottom"/>
          </w:tcPr>
          <w:p>
            <w:pPr>
              <w:jc w:val="right"/>
              <w:ind w:right="249"/>
              <w:spacing w:after="0"/>
              <w:rPr>
                <w:sz w:val="20"/>
                <w:szCs w:val="20"/>
                <w:color w:val="auto"/>
              </w:rPr>
            </w:pPr>
            <w:r>
              <w:rPr>
                <w:rFonts w:ascii="Arial" w:cs="Arial" w:eastAsia="Arial" w:hAnsi="Arial"/>
                <w:sz w:val="14"/>
                <w:szCs w:val="14"/>
                <w:color w:val="55565A"/>
              </w:rPr>
              <w:t>–</w:t>
            </w:r>
          </w:p>
        </w:tc>
        <w:tc>
          <w:tcPr>
            <w:tcW w:w="1620" w:type="dxa"/>
            <w:vAlign w:val="bottom"/>
          </w:tcPr>
          <w:p>
            <w:pPr>
              <w:jc w:val="right"/>
              <w:ind w:right="409"/>
              <w:spacing w:after="0"/>
              <w:rPr>
                <w:sz w:val="20"/>
                <w:szCs w:val="20"/>
                <w:color w:val="auto"/>
              </w:rPr>
            </w:pPr>
            <w:r>
              <w:rPr>
                <w:rFonts w:ascii="Arial" w:cs="Arial" w:eastAsia="Arial" w:hAnsi="Arial"/>
                <w:sz w:val="14"/>
                <w:szCs w:val="14"/>
                <w:color w:val="55565A"/>
              </w:rPr>
              <w:t>(364)</w:t>
            </w:r>
          </w:p>
        </w:tc>
        <w:tc>
          <w:tcPr>
            <w:tcW w:w="1560" w:type="dxa"/>
            <w:vAlign w:val="bottom"/>
          </w:tcPr>
          <w:p>
            <w:pPr>
              <w:jc w:val="right"/>
              <w:ind w:right="189"/>
              <w:spacing w:after="0"/>
              <w:rPr>
                <w:sz w:val="20"/>
                <w:szCs w:val="20"/>
                <w:color w:val="auto"/>
              </w:rPr>
            </w:pPr>
            <w:r>
              <w:rPr>
                <w:rFonts w:ascii="Arial" w:cs="Arial" w:eastAsia="Arial" w:hAnsi="Arial"/>
                <w:sz w:val="14"/>
                <w:szCs w:val="14"/>
                <w:color w:val="55565A"/>
              </w:rPr>
              <w:t>1,295</w:t>
            </w:r>
          </w:p>
        </w:tc>
        <w:tc>
          <w:tcPr>
            <w:tcW w:w="1220" w:type="dxa"/>
            <w:vAlign w:val="bottom"/>
          </w:tcPr>
          <w:p>
            <w:pPr>
              <w:jc w:val="right"/>
              <w:ind w:right="89"/>
              <w:spacing w:after="0"/>
              <w:rPr>
                <w:sz w:val="20"/>
                <w:szCs w:val="20"/>
                <w:color w:val="auto"/>
              </w:rPr>
            </w:pPr>
            <w:r>
              <w:rPr>
                <w:rFonts w:ascii="Arial" w:cs="Arial" w:eastAsia="Arial" w:hAnsi="Arial"/>
                <w:sz w:val="14"/>
                <w:szCs w:val="14"/>
                <w:color w:val="55565A"/>
              </w:rPr>
              <w:t>716</w:t>
            </w:r>
          </w:p>
        </w:tc>
        <w:tc>
          <w:tcPr>
            <w:tcW w:w="1240" w:type="dxa"/>
            <w:vAlign w:val="bottom"/>
          </w:tcPr>
          <w:p>
            <w:pPr>
              <w:jc w:val="right"/>
              <w:ind w:right="109"/>
              <w:spacing w:after="0"/>
              <w:rPr>
                <w:sz w:val="20"/>
                <w:szCs w:val="20"/>
                <w:color w:val="auto"/>
              </w:rPr>
            </w:pPr>
            <w:r>
              <w:rPr>
                <w:rFonts w:ascii="Arial" w:cs="Arial" w:eastAsia="Arial" w:hAnsi="Arial"/>
                <w:sz w:val="14"/>
                <w:szCs w:val="14"/>
                <w:color w:val="55565A"/>
              </w:rPr>
              <w:t>1,668</w:t>
            </w:r>
          </w:p>
        </w:tc>
      </w:tr>
      <w:tr>
        <w:trPr>
          <w:trHeight w:val="159"/>
        </w:trPr>
        <w:tc>
          <w:tcPr>
            <w:tcW w:w="20" w:type="dxa"/>
            <w:vAlign w:val="bottom"/>
          </w:tcPr>
          <w:p>
            <w:pPr>
              <w:spacing w:after="0"/>
              <w:rPr>
                <w:sz w:val="13"/>
                <w:szCs w:val="13"/>
                <w:color w:val="auto"/>
              </w:rPr>
            </w:pPr>
          </w:p>
        </w:tc>
        <w:tc>
          <w:tcPr>
            <w:tcW w:w="2900" w:type="dxa"/>
            <w:vAlign w:val="bottom"/>
            <w:shd w:val="clear" w:color="auto" w:fill="CCEEFF"/>
          </w:tcPr>
          <w:p>
            <w:pPr>
              <w:spacing w:after="0" w:line="159" w:lineRule="exact"/>
              <w:rPr>
                <w:sz w:val="20"/>
                <w:szCs w:val="20"/>
                <w:color w:val="auto"/>
              </w:rPr>
            </w:pPr>
            <w:r>
              <w:rPr>
                <w:rFonts w:ascii="Arial" w:cs="Arial" w:eastAsia="Arial" w:hAnsi="Arial"/>
                <w:sz w:val="14"/>
                <w:szCs w:val="14"/>
                <w:color w:val="55565A"/>
              </w:rPr>
              <w:t>Net cash provided by (used in) financing</w:t>
            </w:r>
          </w:p>
        </w:tc>
        <w:tc>
          <w:tcPr>
            <w:tcW w:w="10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55565A"/>
              </w:rPr>
              <w:t>activities</w:t>
            </w:r>
          </w:p>
        </w:tc>
        <w:tc>
          <w:tcPr>
            <w:tcW w:w="10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9</w:t>
            </w:r>
          </w:p>
        </w:tc>
        <w:tc>
          <w:tcPr>
            <w:tcW w:w="13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w:t>
            </w:r>
          </w:p>
        </w:tc>
        <w:tc>
          <w:tcPr>
            <w:tcW w:w="162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302</w:t>
            </w:r>
          </w:p>
        </w:tc>
        <w:tc>
          <w:tcPr>
            <w:tcW w:w="15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(910)</w:t>
            </w:r>
          </w:p>
        </w:tc>
        <w:tc>
          <w:tcPr>
            <w:tcW w:w="12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55565A"/>
              </w:rPr>
              <w:t>(716)</w:t>
            </w: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(1,315)</w:t>
            </w:r>
          </w:p>
        </w:tc>
      </w:tr>
      <w:tr>
        <w:trPr>
          <w:trHeight w:val="194"/>
        </w:trPr>
        <w:tc>
          <w:tcPr>
            <w:tcW w:w="2920" w:type="dxa"/>
            <w:vAlign w:val="bottom"/>
            <w:gridSpan w:val="2"/>
          </w:tcPr>
          <w:p>
            <w:pPr>
              <w:spacing w:after="0"/>
              <w:rPr>
                <w:sz w:val="20"/>
                <w:szCs w:val="20"/>
                <w:color w:val="auto"/>
              </w:rPr>
            </w:pPr>
            <w:r>
              <w:rPr>
                <w:rFonts w:ascii="Arial" w:cs="Arial" w:eastAsia="Arial" w:hAnsi="Arial"/>
                <w:sz w:val="14"/>
                <w:szCs w:val="14"/>
                <w:color w:val="55565A"/>
              </w:rPr>
              <w:t>Translation adjustments</w:t>
            </w:r>
          </w:p>
        </w:tc>
        <w:tc>
          <w:tcPr>
            <w:tcW w:w="1060" w:type="dxa"/>
            <w:vAlign w:val="bottom"/>
          </w:tcPr>
          <w:p>
            <w:pPr>
              <w:jc w:val="right"/>
              <w:ind w:right="189"/>
              <w:spacing w:after="0"/>
              <w:rPr>
                <w:sz w:val="20"/>
                <w:szCs w:val="20"/>
                <w:color w:val="auto"/>
              </w:rPr>
            </w:pPr>
            <w:r>
              <w:rPr>
                <w:rFonts w:ascii="Arial" w:cs="Arial" w:eastAsia="Arial" w:hAnsi="Arial"/>
                <w:sz w:val="14"/>
                <w:szCs w:val="14"/>
                <w:color w:val="55565A"/>
              </w:rPr>
              <w:t>–</w:t>
            </w:r>
          </w:p>
        </w:tc>
        <w:tc>
          <w:tcPr>
            <w:tcW w:w="1300" w:type="dxa"/>
            <w:vAlign w:val="bottom"/>
          </w:tcPr>
          <w:p>
            <w:pPr>
              <w:jc w:val="right"/>
              <w:ind w:right="249"/>
              <w:spacing w:after="0"/>
              <w:rPr>
                <w:sz w:val="20"/>
                <w:szCs w:val="20"/>
                <w:color w:val="auto"/>
              </w:rPr>
            </w:pPr>
            <w:r>
              <w:rPr>
                <w:rFonts w:ascii="Arial" w:cs="Arial" w:eastAsia="Arial" w:hAnsi="Arial"/>
                <w:sz w:val="14"/>
                <w:szCs w:val="14"/>
                <w:color w:val="55565A"/>
              </w:rPr>
              <w:t>–</w:t>
            </w:r>
          </w:p>
        </w:tc>
        <w:tc>
          <w:tcPr>
            <w:tcW w:w="1620" w:type="dxa"/>
            <w:vAlign w:val="bottom"/>
          </w:tcPr>
          <w:p>
            <w:pPr>
              <w:jc w:val="right"/>
              <w:ind w:right="409"/>
              <w:spacing w:after="0"/>
              <w:rPr>
                <w:sz w:val="20"/>
                <w:szCs w:val="20"/>
                <w:color w:val="auto"/>
              </w:rPr>
            </w:pPr>
            <w:r>
              <w:rPr>
                <w:rFonts w:ascii="Arial" w:cs="Arial" w:eastAsia="Arial" w:hAnsi="Arial"/>
                <w:sz w:val="14"/>
                <w:szCs w:val="14"/>
                <w:color w:val="55565A"/>
              </w:rPr>
              <w:t>–</w:t>
            </w:r>
          </w:p>
        </w:tc>
        <w:tc>
          <w:tcPr>
            <w:tcW w:w="1560" w:type="dxa"/>
            <w:vAlign w:val="bottom"/>
          </w:tcPr>
          <w:p>
            <w:pPr>
              <w:jc w:val="right"/>
              <w:ind w:right="189"/>
              <w:spacing w:after="0"/>
              <w:rPr>
                <w:sz w:val="20"/>
                <w:szCs w:val="20"/>
                <w:color w:val="auto"/>
              </w:rPr>
            </w:pPr>
            <w:r>
              <w:rPr>
                <w:rFonts w:ascii="Arial" w:cs="Arial" w:eastAsia="Arial" w:hAnsi="Arial"/>
                <w:sz w:val="14"/>
                <w:szCs w:val="14"/>
                <w:color w:val="55565A"/>
              </w:rPr>
              <w:t>1</w:t>
            </w:r>
          </w:p>
        </w:tc>
        <w:tc>
          <w:tcPr>
            <w:tcW w:w="1220" w:type="dxa"/>
            <w:vAlign w:val="bottom"/>
          </w:tcPr>
          <w:p>
            <w:pPr>
              <w:jc w:val="right"/>
              <w:ind w:right="89"/>
              <w:spacing w:after="0"/>
              <w:rPr>
                <w:sz w:val="20"/>
                <w:szCs w:val="20"/>
                <w:color w:val="auto"/>
              </w:rPr>
            </w:pPr>
            <w:r>
              <w:rPr>
                <w:rFonts w:ascii="Arial" w:cs="Arial" w:eastAsia="Arial" w:hAnsi="Arial"/>
                <w:sz w:val="14"/>
                <w:szCs w:val="14"/>
                <w:color w:val="55565A"/>
              </w:rPr>
              <w:t>–</w:t>
            </w:r>
          </w:p>
        </w:tc>
        <w:tc>
          <w:tcPr>
            <w:tcW w:w="1240" w:type="dxa"/>
            <w:vAlign w:val="bottom"/>
          </w:tcPr>
          <w:p>
            <w:pPr>
              <w:jc w:val="right"/>
              <w:ind w:right="109"/>
              <w:spacing w:after="0"/>
              <w:rPr>
                <w:sz w:val="20"/>
                <w:szCs w:val="20"/>
                <w:color w:val="auto"/>
              </w:rPr>
            </w:pPr>
            <w:r>
              <w:rPr>
                <w:rFonts w:ascii="Arial" w:cs="Arial" w:eastAsia="Arial" w:hAnsi="Arial"/>
                <w:sz w:val="14"/>
                <w:szCs w:val="14"/>
                <w:color w:val="55565A"/>
              </w:rPr>
              <w:t>1</w:t>
            </w:r>
          </w:p>
        </w:tc>
      </w:tr>
      <w:tr>
        <w:trPr>
          <w:trHeight w:val="151"/>
        </w:trPr>
        <w:tc>
          <w:tcPr>
            <w:tcW w:w="20" w:type="dxa"/>
            <w:vAlign w:val="bottom"/>
          </w:tcPr>
          <w:p>
            <w:pPr>
              <w:spacing w:after="0"/>
              <w:rPr>
                <w:sz w:val="13"/>
                <w:szCs w:val="13"/>
                <w:color w:val="auto"/>
              </w:rPr>
            </w:pPr>
          </w:p>
        </w:tc>
        <w:tc>
          <w:tcPr>
            <w:tcW w:w="2900" w:type="dxa"/>
            <w:vAlign w:val="bottom"/>
            <w:tcBorders>
              <w:top w:val="single" w:sz="8" w:color="88888B"/>
            </w:tcBorders>
            <w:shd w:val="clear" w:color="auto" w:fill="CCEEFF"/>
          </w:tcPr>
          <w:p>
            <w:pPr>
              <w:spacing w:after="0" w:line="151" w:lineRule="exact"/>
              <w:rPr>
                <w:sz w:val="20"/>
                <w:szCs w:val="20"/>
                <w:color w:val="auto"/>
              </w:rPr>
            </w:pPr>
            <w:r>
              <w:rPr>
                <w:rFonts w:ascii="Arial" w:cs="Arial" w:eastAsia="Arial" w:hAnsi="Arial"/>
                <w:sz w:val="14"/>
                <w:szCs w:val="14"/>
                <w:color w:val="55565A"/>
              </w:rPr>
              <w:t>Increase (decrease) in cash and cash</w:t>
            </w:r>
          </w:p>
        </w:tc>
        <w:tc>
          <w:tcPr>
            <w:tcW w:w="1060" w:type="dxa"/>
            <w:vAlign w:val="bottom"/>
            <w:tcBorders>
              <w:top w:val="single" w:sz="8" w:color="88888B"/>
            </w:tcBorders>
            <w:shd w:val="clear" w:color="auto" w:fill="CCEEFF"/>
          </w:tcPr>
          <w:p>
            <w:pPr>
              <w:spacing w:after="0"/>
              <w:rPr>
                <w:sz w:val="13"/>
                <w:szCs w:val="13"/>
                <w:color w:val="auto"/>
              </w:rPr>
            </w:pPr>
          </w:p>
        </w:tc>
        <w:tc>
          <w:tcPr>
            <w:tcW w:w="1300" w:type="dxa"/>
            <w:vAlign w:val="bottom"/>
            <w:tcBorders>
              <w:top w:val="single" w:sz="8" w:color="88888B"/>
            </w:tcBorders>
            <w:shd w:val="clear" w:color="auto" w:fill="CCEEFF"/>
          </w:tcPr>
          <w:p>
            <w:pPr>
              <w:spacing w:after="0"/>
              <w:rPr>
                <w:sz w:val="13"/>
                <w:szCs w:val="13"/>
                <w:color w:val="auto"/>
              </w:rPr>
            </w:pPr>
          </w:p>
        </w:tc>
        <w:tc>
          <w:tcPr>
            <w:tcW w:w="1620" w:type="dxa"/>
            <w:vAlign w:val="bottom"/>
            <w:tcBorders>
              <w:top w:val="single" w:sz="8" w:color="88888B"/>
            </w:tcBorders>
            <w:shd w:val="clear" w:color="auto" w:fill="CCEEFF"/>
          </w:tcPr>
          <w:p>
            <w:pPr>
              <w:spacing w:after="0"/>
              <w:rPr>
                <w:sz w:val="13"/>
                <w:szCs w:val="13"/>
                <w:color w:val="auto"/>
              </w:rPr>
            </w:pPr>
          </w:p>
        </w:tc>
        <w:tc>
          <w:tcPr>
            <w:tcW w:w="1560" w:type="dxa"/>
            <w:vAlign w:val="bottom"/>
            <w:tcBorders>
              <w:top w:val="single" w:sz="8" w:color="88888B"/>
            </w:tcBorders>
            <w:shd w:val="clear" w:color="auto" w:fill="CCEEFF"/>
          </w:tcPr>
          <w:p>
            <w:pPr>
              <w:spacing w:after="0"/>
              <w:rPr>
                <w:sz w:val="13"/>
                <w:szCs w:val="13"/>
                <w:color w:val="auto"/>
              </w:rPr>
            </w:pPr>
          </w:p>
        </w:tc>
        <w:tc>
          <w:tcPr>
            <w:tcW w:w="1220" w:type="dxa"/>
            <w:vAlign w:val="bottom"/>
            <w:tcBorders>
              <w:top w:val="single" w:sz="8" w:color="88888B"/>
            </w:tcBorders>
            <w:shd w:val="clear" w:color="auto" w:fill="CCEEFF"/>
          </w:tcPr>
          <w:p>
            <w:pPr>
              <w:spacing w:after="0"/>
              <w:rPr>
                <w:sz w:val="13"/>
                <w:szCs w:val="13"/>
                <w:color w:val="auto"/>
              </w:rPr>
            </w:pPr>
          </w:p>
        </w:tc>
        <w:tc>
          <w:tcPr>
            <w:tcW w:w="1240" w:type="dxa"/>
            <w:vAlign w:val="bottom"/>
            <w:tcBorders>
              <w:top w:val="single" w:sz="8" w:color="88888B"/>
            </w:tcBorders>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900" w:type="dxa"/>
            <w:vAlign w:val="bottom"/>
            <w:tcBorders>
              <w:bottom w:val="single" w:sz="8" w:color="88888B"/>
            </w:tcBorders>
            <w:shd w:val="clear" w:color="auto" w:fill="CCEEFF"/>
          </w:tcPr>
          <w:p>
            <w:pPr>
              <w:ind w:left="140"/>
              <w:spacing w:after="0"/>
              <w:rPr>
                <w:sz w:val="20"/>
                <w:szCs w:val="20"/>
                <w:color w:val="auto"/>
              </w:rPr>
            </w:pPr>
            <w:r>
              <w:rPr>
                <w:rFonts w:ascii="Arial" w:cs="Arial" w:eastAsia="Arial" w:hAnsi="Arial"/>
                <w:sz w:val="14"/>
                <w:szCs w:val="14"/>
                <w:color w:val="55565A"/>
              </w:rPr>
              <w:t>equivalents</w:t>
            </w:r>
          </w:p>
        </w:tc>
        <w:tc>
          <w:tcPr>
            <w:tcW w:w="106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color w:val="55565A"/>
              </w:rPr>
              <w:t>19</w:t>
            </w:r>
          </w:p>
        </w:tc>
        <w:tc>
          <w:tcPr>
            <w:tcW w:w="130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color w:val="55565A"/>
              </w:rPr>
              <w:t>–</w:t>
            </w:r>
          </w:p>
        </w:tc>
        <w:tc>
          <w:tcPr>
            <w:tcW w:w="162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(81)</w:t>
            </w:r>
          </w:p>
        </w:tc>
        <w:tc>
          <w:tcPr>
            <w:tcW w:w="156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color w:val="55565A"/>
              </w:rPr>
              <w:t>683</w:t>
            </w:r>
          </w:p>
        </w:tc>
        <w:tc>
          <w:tcPr>
            <w:tcW w:w="1220" w:type="dxa"/>
            <w:vAlign w:val="bottom"/>
            <w:tcBorders>
              <w:bottom w:val="single" w:sz="8" w:color="88888B"/>
            </w:tcBorders>
            <w:shd w:val="clear" w:color="auto" w:fill="CCEEFF"/>
          </w:tcPr>
          <w:p>
            <w:pPr>
              <w:jc w:val="right"/>
              <w:ind w:right="89"/>
              <w:spacing w:after="0"/>
              <w:rPr>
                <w:sz w:val="20"/>
                <w:szCs w:val="20"/>
                <w:color w:val="auto"/>
              </w:rPr>
            </w:pPr>
            <w:r>
              <w:rPr>
                <w:rFonts w:ascii="Arial" w:cs="Arial" w:eastAsia="Arial" w:hAnsi="Arial"/>
                <w:sz w:val="14"/>
                <w:szCs w:val="14"/>
                <w:color w:val="55565A"/>
              </w:rPr>
              <w:t>–</w:t>
            </w:r>
          </w:p>
        </w:tc>
        <w:tc>
          <w:tcPr>
            <w:tcW w:w="124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color w:val="55565A"/>
              </w:rPr>
              <w:t>621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37</w:t>
      </w:r>
    </w:p>
    <w:p>
      <w:pPr>
        <w:sectPr>
          <w:pgSz w:w="11900" w:h="16838" w:orient="portrait"/>
          <w:cols w:equalWidth="0" w:num="1">
            <w:col w:w="11080"/>
          </w:cols>
          <w:pgMar w:left="320" w:top="454" w:right="4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55565A"/>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094855" cy="5092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39"/>
          <w:szCs w:val="39"/>
          <w:color w:val="55565A"/>
        </w:rPr>
        <w:t>Unaudited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THOMSON REUTERS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CONSOLIDATED INCOME STATEMENT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880" w:type="dxa"/>
            <w:vAlign w:val="bottom"/>
            <w:gridSpan w:val="2"/>
          </w:tcPr>
          <w:p>
            <w:pPr>
              <w:jc w:val="right"/>
              <w:ind w:right="389"/>
              <w:spacing w:after="0"/>
              <w:rPr>
                <w:sz w:val="20"/>
                <w:szCs w:val="20"/>
                <w:color w:val="auto"/>
              </w:rPr>
            </w:pPr>
            <w:r>
              <w:rPr>
                <w:rFonts w:ascii="Arial" w:cs="Arial" w:eastAsia="Arial" w:hAnsi="Arial"/>
                <w:sz w:val="14"/>
                <w:szCs w:val="14"/>
                <w:b w:val="1"/>
                <w:bCs w:val="1"/>
                <w:color w:val="55565A"/>
              </w:rPr>
              <w:t>Three months ended March 31,</w:t>
            </w:r>
          </w:p>
        </w:tc>
      </w:tr>
      <w:tr>
        <w:trPr>
          <w:trHeight w:val="235"/>
        </w:trPr>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color w:val="55565A"/>
                <w:w w:val="98"/>
              </w:rPr>
              <w:t>   (millions of U.S. dollars, except per share amounts)</w:t>
            </w:r>
          </w:p>
        </w:tc>
        <w:tc>
          <w:tcPr>
            <w:tcW w:w="1960" w:type="dxa"/>
            <w:vAlign w:val="bottom"/>
            <w:tcBorders>
              <w:bottom w:val="single" w:sz="8" w:color="55565A"/>
            </w:tcBorders>
          </w:tcPr>
          <w:p>
            <w:pPr>
              <w:spacing w:after="0"/>
              <w:rPr>
                <w:sz w:val="20"/>
                <w:szCs w:val="20"/>
                <w:color w:val="auto"/>
              </w:rPr>
            </w:pPr>
          </w:p>
        </w:tc>
        <w:tc>
          <w:tcPr>
            <w:tcW w:w="2260" w:type="dxa"/>
            <w:vAlign w:val="bottom"/>
            <w:tcBorders>
              <w:bottom w:val="single" w:sz="8" w:color="55565A"/>
            </w:tcBorders>
          </w:tcPr>
          <w:p>
            <w:pPr>
              <w:ind w:left="1560"/>
              <w:spacing w:after="0"/>
              <w:rPr>
                <w:sz w:val="20"/>
                <w:szCs w:val="20"/>
                <w:color w:val="auto"/>
              </w:rPr>
            </w:pPr>
            <w:r>
              <w:rPr>
                <w:rFonts w:ascii="Arial" w:cs="Arial" w:eastAsia="Arial" w:hAnsi="Arial"/>
                <w:sz w:val="14"/>
                <w:szCs w:val="14"/>
                <w:color w:val="55565A"/>
              </w:rPr>
              <w:t>Notes</w:t>
            </w:r>
          </w:p>
        </w:tc>
        <w:tc>
          <w:tcPr>
            <w:tcW w:w="1600" w:type="dxa"/>
            <w:vAlign w:val="bottom"/>
            <w:tcBorders>
              <w:bottom w:val="single" w:sz="8" w:color="55565A"/>
            </w:tcBorders>
          </w:tcPr>
          <w:p>
            <w:pPr>
              <w:jc w:val="right"/>
              <w:ind w:right="469"/>
              <w:spacing w:after="0"/>
              <w:rPr>
                <w:sz w:val="20"/>
                <w:szCs w:val="20"/>
                <w:color w:val="auto"/>
              </w:rPr>
            </w:pPr>
            <w:r>
              <w:rPr>
                <w:rFonts w:ascii="Arial" w:cs="Arial" w:eastAsia="Arial" w:hAnsi="Arial"/>
                <w:sz w:val="14"/>
                <w:szCs w:val="14"/>
                <w:color w:val="55565A"/>
              </w:rPr>
              <w:t>2024</w:t>
            </w:r>
          </w:p>
        </w:tc>
        <w:tc>
          <w:tcPr>
            <w:tcW w:w="1280" w:type="dxa"/>
            <w:vAlign w:val="bottom"/>
            <w:tcBorders>
              <w:bottom w:val="single" w:sz="8" w:color="55565A"/>
            </w:tcBorders>
          </w:tcPr>
          <w:p>
            <w:pPr>
              <w:jc w:val="right"/>
              <w:ind w:right="209"/>
              <w:spacing w:after="0"/>
              <w:rPr>
                <w:sz w:val="20"/>
                <w:szCs w:val="20"/>
                <w:color w:val="auto"/>
              </w:rPr>
            </w:pPr>
            <w:r>
              <w:rPr>
                <w:rFonts w:ascii="Arial" w:cs="Arial" w:eastAsia="Arial" w:hAnsi="Arial"/>
                <w:sz w:val="14"/>
                <w:szCs w:val="14"/>
                <w:color w:val="55565A"/>
              </w:rPr>
              <w:t>2023</w:t>
            </w:r>
          </w:p>
        </w:tc>
      </w:tr>
      <w:tr>
        <w:trPr>
          <w:trHeight w:val="227"/>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55565A"/>
              </w:rPr>
              <w:t>CONTINUING OPERATIONS</w:t>
            </w:r>
          </w:p>
        </w:tc>
        <w:tc>
          <w:tcPr>
            <w:tcW w:w="2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80"/>
        </w:trPr>
        <w:tc>
          <w:tcPr>
            <w:tcW w:w="5780" w:type="dxa"/>
            <w:vAlign w:val="bottom"/>
            <w:gridSpan w:val="2"/>
          </w:tcPr>
          <w:p>
            <w:pPr>
              <w:ind w:left="120"/>
              <w:spacing w:after="0"/>
              <w:rPr>
                <w:sz w:val="20"/>
                <w:szCs w:val="20"/>
                <w:color w:val="auto"/>
              </w:rPr>
            </w:pPr>
            <w:r>
              <w:rPr>
                <w:rFonts w:ascii="Arial" w:cs="Arial" w:eastAsia="Arial" w:hAnsi="Arial"/>
                <w:sz w:val="14"/>
                <w:szCs w:val="14"/>
                <w:color w:val="55565A"/>
              </w:rPr>
              <w:t>Revenues</w:t>
            </w:r>
          </w:p>
        </w:tc>
        <w:tc>
          <w:tcPr>
            <w:tcW w:w="2260" w:type="dxa"/>
            <w:vAlign w:val="bottom"/>
          </w:tcPr>
          <w:p>
            <w:pPr>
              <w:jc w:val="center"/>
              <w:ind w:left="1229"/>
              <w:spacing w:after="0"/>
              <w:rPr>
                <w:sz w:val="20"/>
                <w:szCs w:val="20"/>
                <w:color w:val="auto"/>
              </w:rPr>
            </w:pPr>
            <w:r>
              <w:rPr>
                <w:rFonts w:ascii="Arial" w:cs="Arial" w:eastAsia="Arial" w:hAnsi="Arial"/>
                <w:sz w:val="14"/>
                <w:szCs w:val="14"/>
                <w:color w:val="55565A"/>
              </w:rPr>
              <w:t>2</w:t>
            </w:r>
          </w:p>
        </w:tc>
        <w:tc>
          <w:tcPr>
            <w:tcW w:w="1600" w:type="dxa"/>
            <w:vAlign w:val="bottom"/>
          </w:tcPr>
          <w:p>
            <w:pPr>
              <w:jc w:val="right"/>
              <w:ind w:right="469"/>
              <w:spacing w:after="0"/>
              <w:rPr>
                <w:sz w:val="20"/>
                <w:szCs w:val="20"/>
                <w:color w:val="auto"/>
              </w:rPr>
            </w:pPr>
            <w:r>
              <w:rPr>
                <w:rFonts w:ascii="Arial" w:cs="Arial" w:eastAsia="Arial" w:hAnsi="Arial"/>
                <w:sz w:val="14"/>
                <w:szCs w:val="14"/>
                <w:b w:val="1"/>
                <w:bCs w:val="1"/>
                <w:color w:val="55565A"/>
              </w:rPr>
              <w:t>1,885</w:t>
            </w:r>
          </w:p>
        </w:tc>
        <w:tc>
          <w:tcPr>
            <w:tcW w:w="1280" w:type="dxa"/>
            <w:vAlign w:val="bottom"/>
          </w:tcPr>
          <w:p>
            <w:pPr>
              <w:jc w:val="right"/>
              <w:ind w:right="209"/>
              <w:spacing w:after="0"/>
              <w:rPr>
                <w:sz w:val="20"/>
                <w:szCs w:val="20"/>
                <w:color w:val="auto"/>
              </w:rPr>
            </w:pPr>
            <w:r>
              <w:rPr>
                <w:rFonts w:ascii="Arial" w:cs="Arial" w:eastAsia="Arial" w:hAnsi="Arial"/>
                <w:sz w:val="14"/>
                <w:szCs w:val="14"/>
                <w:color w:val="55565A"/>
              </w:rPr>
              <w:t>1,738</w:t>
            </w:r>
          </w:p>
        </w:tc>
      </w:tr>
      <w:tr>
        <w:trPr>
          <w:trHeight w:val="228"/>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55565A"/>
              </w:rPr>
              <w:t>Operating expenses</w:t>
            </w:r>
          </w:p>
        </w:tc>
        <w:tc>
          <w:tcPr>
            <w:tcW w:w="2260" w:type="dxa"/>
            <w:vAlign w:val="bottom"/>
            <w:shd w:val="clear" w:color="auto" w:fill="CCEEFF"/>
          </w:tcPr>
          <w:p>
            <w:pPr>
              <w:jc w:val="center"/>
              <w:ind w:left="1229"/>
              <w:spacing w:after="0"/>
              <w:rPr>
                <w:sz w:val="20"/>
                <w:szCs w:val="20"/>
                <w:color w:val="auto"/>
              </w:rPr>
            </w:pPr>
            <w:r>
              <w:rPr>
                <w:rFonts w:ascii="Arial" w:cs="Arial" w:eastAsia="Arial" w:hAnsi="Arial"/>
                <w:sz w:val="14"/>
                <w:szCs w:val="14"/>
                <w:color w:val="55565A"/>
              </w:rPr>
              <w:t>5</w:t>
            </w:r>
          </w:p>
        </w:tc>
        <w:tc>
          <w:tcPr>
            <w:tcW w:w="160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(1,081)</w:t>
            </w:r>
          </w:p>
        </w:tc>
        <w:tc>
          <w:tcPr>
            <w:tcW w:w="12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(1,074)</w:t>
            </w:r>
          </w:p>
        </w:tc>
      </w:tr>
      <w:tr>
        <w:trPr>
          <w:trHeight w:val="280"/>
        </w:trPr>
        <w:tc>
          <w:tcPr>
            <w:tcW w:w="5780" w:type="dxa"/>
            <w:vAlign w:val="bottom"/>
            <w:gridSpan w:val="2"/>
          </w:tcPr>
          <w:p>
            <w:pPr>
              <w:ind w:left="120"/>
              <w:spacing w:after="0"/>
              <w:rPr>
                <w:sz w:val="20"/>
                <w:szCs w:val="20"/>
                <w:color w:val="auto"/>
              </w:rPr>
            </w:pPr>
            <w:r>
              <w:rPr>
                <w:rFonts w:ascii="Arial" w:cs="Arial" w:eastAsia="Arial" w:hAnsi="Arial"/>
                <w:sz w:val="14"/>
                <w:szCs w:val="14"/>
                <w:color w:val="55565A"/>
              </w:rPr>
              <w:t>Depreciation</w:t>
            </w:r>
          </w:p>
        </w:tc>
        <w:tc>
          <w:tcPr>
            <w:tcW w:w="2260" w:type="dxa"/>
            <w:vAlign w:val="bottom"/>
          </w:tcPr>
          <w:p>
            <w:pPr>
              <w:spacing w:after="0"/>
              <w:rPr>
                <w:sz w:val="24"/>
                <w:szCs w:val="24"/>
                <w:color w:val="auto"/>
              </w:rPr>
            </w:pPr>
          </w:p>
        </w:tc>
        <w:tc>
          <w:tcPr>
            <w:tcW w:w="1600" w:type="dxa"/>
            <w:vAlign w:val="bottom"/>
          </w:tcPr>
          <w:p>
            <w:pPr>
              <w:jc w:val="right"/>
              <w:ind w:right="469"/>
              <w:spacing w:after="0"/>
              <w:rPr>
                <w:sz w:val="20"/>
                <w:szCs w:val="20"/>
                <w:color w:val="auto"/>
              </w:rPr>
            </w:pPr>
            <w:r>
              <w:rPr>
                <w:rFonts w:ascii="Arial" w:cs="Arial" w:eastAsia="Arial" w:hAnsi="Arial"/>
                <w:sz w:val="14"/>
                <w:szCs w:val="14"/>
                <w:b w:val="1"/>
                <w:bCs w:val="1"/>
                <w:color w:val="55565A"/>
              </w:rPr>
              <w:t>(28)</w:t>
            </w:r>
          </w:p>
        </w:tc>
        <w:tc>
          <w:tcPr>
            <w:tcW w:w="1280" w:type="dxa"/>
            <w:vAlign w:val="bottom"/>
          </w:tcPr>
          <w:p>
            <w:pPr>
              <w:jc w:val="right"/>
              <w:ind w:right="209"/>
              <w:spacing w:after="0"/>
              <w:rPr>
                <w:sz w:val="20"/>
                <w:szCs w:val="20"/>
                <w:color w:val="auto"/>
              </w:rPr>
            </w:pPr>
            <w:r>
              <w:rPr>
                <w:rFonts w:ascii="Arial" w:cs="Arial" w:eastAsia="Arial" w:hAnsi="Arial"/>
                <w:sz w:val="14"/>
                <w:szCs w:val="14"/>
                <w:color w:val="55565A"/>
              </w:rPr>
              <w:t>(30)</w:t>
            </w:r>
          </w:p>
        </w:tc>
      </w:tr>
      <w:tr>
        <w:trPr>
          <w:trHeight w:val="228"/>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55565A"/>
              </w:rPr>
              <w:t>Amortization of computer software</w:t>
            </w:r>
          </w:p>
        </w:tc>
        <w:tc>
          <w:tcPr>
            <w:tcW w:w="2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(153)</w:t>
            </w:r>
          </w:p>
        </w:tc>
        <w:tc>
          <w:tcPr>
            <w:tcW w:w="12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(118)</w:t>
            </w:r>
          </w:p>
        </w:tc>
      </w:tr>
      <w:tr>
        <w:trPr>
          <w:trHeight w:val="280"/>
        </w:trPr>
        <w:tc>
          <w:tcPr>
            <w:tcW w:w="5780" w:type="dxa"/>
            <w:vAlign w:val="bottom"/>
            <w:gridSpan w:val="2"/>
          </w:tcPr>
          <w:p>
            <w:pPr>
              <w:ind w:left="120"/>
              <w:spacing w:after="0"/>
              <w:rPr>
                <w:sz w:val="20"/>
                <w:szCs w:val="20"/>
                <w:color w:val="auto"/>
              </w:rPr>
            </w:pPr>
            <w:r>
              <w:rPr>
                <w:rFonts w:ascii="Arial" w:cs="Arial" w:eastAsia="Arial" w:hAnsi="Arial"/>
                <w:sz w:val="14"/>
                <w:szCs w:val="14"/>
                <w:color w:val="55565A"/>
              </w:rPr>
              <w:t>Amortization of other identifiable intangible assets</w:t>
            </w:r>
          </w:p>
        </w:tc>
        <w:tc>
          <w:tcPr>
            <w:tcW w:w="2260" w:type="dxa"/>
            <w:vAlign w:val="bottom"/>
          </w:tcPr>
          <w:p>
            <w:pPr>
              <w:spacing w:after="0"/>
              <w:rPr>
                <w:sz w:val="24"/>
                <w:szCs w:val="24"/>
                <w:color w:val="auto"/>
              </w:rPr>
            </w:pPr>
          </w:p>
        </w:tc>
        <w:tc>
          <w:tcPr>
            <w:tcW w:w="1600" w:type="dxa"/>
            <w:vAlign w:val="bottom"/>
          </w:tcPr>
          <w:p>
            <w:pPr>
              <w:jc w:val="right"/>
              <w:ind w:right="469"/>
              <w:spacing w:after="0"/>
              <w:rPr>
                <w:sz w:val="20"/>
                <w:szCs w:val="20"/>
                <w:color w:val="auto"/>
              </w:rPr>
            </w:pPr>
            <w:r>
              <w:rPr>
                <w:rFonts w:ascii="Arial" w:cs="Arial" w:eastAsia="Arial" w:hAnsi="Arial"/>
                <w:sz w:val="14"/>
                <w:szCs w:val="14"/>
                <w:b w:val="1"/>
                <w:bCs w:val="1"/>
                <w:color w:val="55565A"/>
              </w:rPr>
              <w:t>(25)</w:t>
            </w:r>
          </w:p>
        </w:tc>
        <w:tc>
          <w:tcPr>
            <w:tcW w:w="1280" w:type="dxa"/>
            <w:vAlign w:val="bottom"/>
          </w:tcPr>
          <w:p>
            <w:pPr>
              <w:jc w:val="right"/>
              <w:ind w:right="209"/>
              <w:spacing w:after="0"/>
              <w:rPr>
                <w:sz w:val="20"/>
                <w:szCs w:val="20"/>
                <w:color w:val="auto"/>
              </w:rPr>
            </w:pPr>
            <w:r>
              <w:rPr>
                <w:rFonts w:ascii="Arial" w:cs="Arial" w:eastAsia="Arial" w:hAnsi="Arial"/>
                <w:sz w:val="14"/>
                <w:szCs w:val="14"/>
                <w:color w:val="55565A"/>
              </w:rPr>
              <w:t>(25)</w:t>
            </w:r>
          </w:p>
        </w:tc>
      </w:tr>
      <w:tr>
        <w:trPr>
          <w:trHeight w:val="228"/>
        </w:trPr>
        <w:tc>
          <w:tcPr>
            <w:tcW w:w="5780" w:type="dxa"/>
            <w:vAlign w:val="bottom"/>
            <w:tcBorders>
              <w:bottom w:val="single" w:sz="8" w:color="88888B"/>
            </w:tcBorders>
            <w:gridSpan w:val="2"/>
            <w:shd w:val="clear" w:color="auto" w:fill="CCEEFF"/>
          </w:tcPr>
          <w:p>
            <w:pPr>
              <w:ind w:left="120"/>
              <w:spacing w:after="0"/>
              <w:rPr>
                <w:sz w:val="20"/>
                <w:szCs w:val="20"/>
                <w:color w:val="auto"/>
              </w:rPr>
            </w:pPr>
            <w:r>
              <w:rPr>
                <w:rFonts w:ascii="Arial" w:cs="Arial" w:eastAsia="Arial" w:hAnsi="Arial"/>
                <w:sz w:val="14"/>
                <w:szCs w:val="14"/>
                <w:color w:val="55565A"/>
              </w:rPr>
              <w:t>Other operating (losses) gains, net</w:t>
            </w:r>
          </w:p>
        </w:tc>
        <w:tc>
          <w:tcPr>
            <w:tcW w:w="2260" w:type="dxa"/>
            <w:vAlign w:val="bottom"/>
            <w:tcBorders>
              <w:bottom w:val="single" w:sz="8" w:color="88888B"/>
            </w:tcBorders>
            <w:shd w:val="clear" w:color="auto" w:fill="CCEEFF"/>
          </w:tcPr>
          <w:p>
            <w:pPr>
              <w:jc w:val="center"/>
              <w:ind w:left="1229"/>
              <w:spacing w:after="0"/>
              <w:rPr>
                <w:sz w:val="20"/>
                <w:szCs w:val="20"/>
                <w:color w:val="auto"/>
              </w:rPr>
            </w:pPr>
            <w:r>
              <w:rPr>
                <w:rFonts w:ascii="Arial" w:cs="Arial" w:eastAsia="Arial" w:hAnsi="Arial"/>
                <w:sz w:val="14"/>
                <w:szCs w:val="14"/>
                <w:color w:val="55565A"/>
              </w:rPr>
              <w:t>6</w:t>
            </w:r>
          </w:p>
        </w:tc>
        <w:tc>
          <w:tcPr>
            <w:tcW w:w="1600" w:type="dxa"/>
            <w:vAlign w:val="bottom"/>
            <w:tcBorders>
              <w:bottom w:val="single" w:sz="8" w:color="88888B"/>
            </w:tcBorders>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(41)</w:t>
            </w:r>
          </w:p>
        </w:tc>
        <w:tc>
          <w:tcPr>
            <w:tcW w:w="1280" w:type="dxa"/>
            <w:vAlign w:val="bottom"/>
            <w:tcBorders>
              <w:bottom w:val="single" w:sz="8" w:color="88888B"/>
            </w:tcBorders>
            <w:shd w:val="clear" w:color="auto" w:fill="CCEEFF"/>
          </w:tcPr>
          <w:p>
            <w:pPr>
              <w:jc w:val="right"/>
              <w:ind w:right="209"/>
              <w:spacing w:after="0"/>
              <w:rPr>
                <w:sz w:val="20"/>
                <w:szCs w:val="20"/>
                <w:color w:val="auto"/>
              </w:rPr>
            </w:pPr>
            <w:r>
              <w:rPr>
                <w:rFonts w:ascii="Arial" w:cs="Arial" w:eastAsia="Arial" w:hAnsi="Arial"/>
                <w:sz w:val="14"/>
                <w:szCs w:val="14"/>
                <w:color w:val="55565A"/>
              </w:rPr>
              <w:t>17</w:t>
            </w:r>
          </w:p>
        </w:tc>
      </w:tr>
      <w:tr>
        <w:trPr>
          <w:trHeight w:val="260"/>
        </w:trPr>
        <w:tc>
          <w:tcPr>
            <w:tcW w:w="5780" w:type="dxa"/>
            <w:vAlign w:val="bottom"/>
            <w:gridSpan w:val="2"/>
          </w:tcPr>
          <w:p>
            <w:pPr>
              <w:ind w:left="120"/>
              <w:spacing w:after="0"/>
              <w:rPr>
                <w:sz w:val="20"/>
                <w:szCs w:val="20"/>
                <w:color w:val="auto"/>
              </w:rPr>
            </w:pPr>
            <w:r>
              <w:rPr>
                <w:rFonts w:ascii="Arial" w:cs="Arial" w:eastAsia="Arial" w:hAnsi="Arial"/>
                <w:sz w:val="14"/>
                <w:szCs w:val="14"/>
                <w:color w:val="55565A"/>
              </w:rPr>
              <w:t>Operating profit</w:t>
            </w:r>
          </w:p>
        </w:tc>
        <w:tc>
          <w:tcPr>
            <w:tcW w:w="2260" w:type="dxa"/>
            <w:vAlign w:val="bottom"/>
          </w:tcPr>
          <w:p>
            <w:pPr>
              <w:spacing w:after="0"/>
              <w:rPr>
                <w:sz w:val="22"/>
                <w:szCs w:val="22"/>
                <w:color w:val="auto"/>
              </w:rPr>
            </w:pPr>
          </w:p>
        </w:tc>
        <w:tc>
          <w:tcPr>
            <w:tcW w:w="1600" w:type="dxa"/>
            <w:vAlign w:val="bottom"/>
          </w:tcPr>
          <w:p>
            <w:pPr>
              <w:jc w:val="right"/>
              <w:ind w:right="469"/>
              <w:spacing w:after="0"/>
              <w:rPr>
                <w:sz w:val="20"/>
                <w:szCs w:val="20"/>
                <w:color w:val="auto"/>
              </w:rPr>
            </w:pPr>
            <w:r>
              <w:rPr>
                <w:rFonts w:ascii="Arial" w:cs="Arial" w:eastAsia="Arial" w:hAnsi="Arial"/>
                <w:sz w:val="14"/>
                <w:szCs w:val="14"/>
                <w:b w:val="1"/>
                <w:bCs w:val="1"/>
                <w:color w:val="55565A"/>
              </w:rPr>
              <w:t>557</w:t>
            </w:r>
          </w:p>
        </w:tc>
        <w:tc>
          <w:tcPr>
            <w:tcW w:w="1280" w:type="dxa"/>
            <w:vAlign w:val="bottom"/>
          </w:tcPr>
          <w:p>
            <w:pPr>
              <w:jc w:val="right"/>
              <w:ind w:right="209"/>
              <w:spacing w:after="0"/>
              <w:rPr>
                <w:sz w:val="20"/>
                <w:szCs w:val="20"/>
                <w:color w:val="auto"/>
              </w:rPr>
            </w:pPr>
            <w:r>
              <w:rPr>
                <w:rFonts w:ascii="Arial" w:cs="Arial" w:eastAsia="Arial" w:hAnsi="Arial"/>
                <w:sz w:val="14"/>
                <w:szCs w:val="14"/>
                <w:color w:val="55565A"/>
              </w:rPr>
              <w:t>508</w:t>
            </w:r>
          </w:p>
        </w:tc>
      </w:tr>
      <w:tr>
        <w:trPr>
          <w:trHeight w:val="208"/>
        </w:trPr>
        <w:tc>
          <w:tcPr>
            <w:tcW w:w="5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55565A"/>
              </w:rPr>
              <w:t>Finance costs, net:</w:t>
            </w:r>
          </w:p>
        </w:tc>
        <w:tc>
          <w:tcPr>
            <w:tcW w:w="22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80"/>
        </w:trPr>
        <w:tc>
          <w:tcPr>
            <w:tcW w:w="5780" w:type="dxa"/>
            <w:vAlign w:val="bottom"/>
            <w:gridSpan w:val="2"/>
          </w:tcPr>
          <w:p>
            <w:pPr>
              <w:ind w:left="260"/>
              <w:spacing w:after="0"/>
              <w:rPr>
                <w:sz w:val="20"/>
                <w:szCs w:val="20"/>
                <w:color w:val="auto"/>
              </w:rPr>
            </w:pPr>
            <w:r>
              <w:rPr>
                <w:rFonts w:ascii="Arial" w:cs="Arial" w:eastAsia="Arial" w:hAnsi="Arial"/>
                <w:sz w:val="14"/>
                <w:szCs w:val="14"/>
                <w:color w:val="55565A"/>
              </w:rPr>
              <w:t>Net interest expense</w:t>
            </w:r>
          </w:p>
        </w:tc>
        <w:tc>
          <w:tcPr>
            <w:tcW w:w="2260" w:type="dxa"/>
            <w:vAlign w:val="bottom"/>
          </w:tcPr>
          <w:p>
            <w:pPr>
              <w:jc w:val="center"/>
              <w:ind w:left="1229"/>
              <w:spacing w:after="0"/>
              <w:rPr>
                <w:sz w:val="20"/>
                <w:szCs w:val="20"/>
                <w:color w:val="auto"/>
              </w:rPr>
            </w:pPr>
            <w:r>
              <w:rPr>
                <w:rFonts w:ascii="Arial" w:cs="Arial" w:eastAsia="Arial" w:hAnsi="Arial"/>
                <w:sz w:val="14"/>
                <w:szCs w:val="14"/>
                <w:color w:val="55565A"/>
              </w:rPr>
              <w:t>7</w:t>
            </w:r>
          </w:p>
        </w:tc>
        <w:tc>
          <w:tcPr>
            <w:tcW w:w="1600" w:type="dxa"/>
            <w:vAlign w:val="bottom"/>
          </w:tcPr>
          <w:p>
            <w:pPr>
              <w:jc w:val="right"/>
              <w:ind w:right="469"/>
              <w:spacing w:after="0"/>
              <w:rPr>
                <w:sz w:val="20"/>
                <w:szCs w:val="20"/>
                <w:color w:val="auto"/>
              </w:rPr>
            </w:pPr>
            <w:r>
              <w:rPr>
                <w:rFonts w:ascii="Arial" w:cs="Arial" w:eastAsia="Arial" w:hAnsi="Arial"/>
                <w:sz w:val="14"/>
                <w:szCs w:val="14"/>
                <w:b w:val="1"/>
                <w:bCs w:val="1"/>
                <w:color w:val="55565A"/>
              </w:rPr>
              <w:t>(40)</w:t>
            </w:r>
          </w:p>
        </w:tc>
        <w:tc>
          <w:tcPr>
            <w:tcW w:w="1280" w:type="dxa"/>
            <w:vAlign w:val="bottom"/>
          </w:tcPr>
          <w:p>
            <w:pPr>
              <w:jc w:val="right"/>
              <w:ind w:right="209"/>
              <w:spacing w:after="0"/>
              <w:rPr>
                <w:sz w:val="20"/>
                <w:szCs w:val="20"/>
                <w:color w:val="auto"/>
              </w:rPr>
            </w:pPr>
            <w:r>
              <w:rPr>
                <w:rFonts w:ascii="Arial" w:cs="Arial" w:eastAsia="Arial" w:hAnsi="Arial"/>
                <w:sz w:val="14"/>
                <w:szCs w:val="14"/>
                <w:color w:val="55565A"/>
              </w:rPr>
              <w:t>(55)</w:t>
            </w:r>
          </w:p>
        </w:tc>
      </w:tr>
      <w:tr>
        <w:trPr>
          <w:trHeight w:val="228"/>
        </w:trPr>
        <w:tc>
          <w:tcPr>
            <w:tcW w:w="5780" w:type="dxa"/>
            <w:vAlign w:val="bottom"/>
            <w:tcBorders>
              <w:bottom w:val="single" w:sz="8" w:color="88888B"/>
            </w:tcBorders>
            <w:gridSpan w:val="2"/>
            <w:shd w:val="clear" w:color="auto" w:fill="CCEEFF"/>
          </w:tcPr>
          <w:p>
            <w:pPr>
              <w:ind w:left="260"/>
              <w:spacing w:after="0"/>
              <w:rPr>
                <w:sz w:val="20"/>
                <w:szCs w:val="20"/>
                <w:color w:val="auto"/>
              </w:rPr>
            </w:pPr>
            <w:r>
              <w:rPr>
                <w:rFonts w:ascii="Arial" w:cs="Arial" w:eastAsia="Arial" w:hAnsi="Arial"/>
                <w:sz w:val="14"/>
                <w:szCs w:val="14"/>
                <w:color w:val="55565A"/>
              </w:rPr>
              <w:t>Other finance income (costs)</w:t>
            </w:r>
          </w:p>
        </w:tc>
        <w:tc>
          <w:tcPr>
            <w:tcW w:w="2260" w:type="dxa"/>
            <w:vAlign w:val="bottom"/>
            <w:tcBorders>
              <w:bottom w:val="single" w:sz="8" w:color="88888B"/>
            </w:tcBorders>
            <w:shd w:val="clear" w:color="auto" w:fill="CCEEFF"/>
          </w:tcPr>
          <w:p>
            <w:pPr>
              <w:jc w:val="center"/>
              <w:ind w:left="1229"/>
              <w:spacing w:after="0"/>
              <w:rPr>
                <w:sz w:val="20"/>
                <w:szCs w:val="20"/>
                <w:color w:val="auto"/>
              </w:rPr>
            </w:pPr>
            <w:r>
              <w:rPr>
                <w:rFonts w:ascii="Arial" w:cs="Arial" w:eastAsia="Arial" w:hAnsi="Arial"/>
                <w:sz w:val="14"/>
                <w:szCs w:val="14"/>
                <w:color w:val="55565A"/>
              </w:rPr>
              <w:t>7</w:t>
            </w:r>
          </w:p>
        </w:tc>
        <w:tc>
          <w:tcPr>
            <w:tcW w:w="1600" w:type="dxa"/>
            <w:vAlign w:val="bottom"/>
            <w:tcBorders>
              <w:bottom w:val="single" w:sz="8" w:color="88888B"/>
            </w:tcBorders>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22</w:t>
            </w:r>
          </w:p>
        </w:tc>
        <w:tc>
          <w:tcPr>
            <w:tcW w:w="1280" w:type="dxa"/>
            <w:vAlign w:val="bottom"/>
            <w:tcBorders>
              <w:bottom w:val="single" w:sz="8" w:color="88888B"/>
            </w:tcBorders>
            <w:shd w:val="clear" w:color="auto" w:fill="CCEEFF"/>
          </w:tcPr>
          <w:p>
            <w:pPr>
              <w:jc w:val="right"/>
              <w:ind w:right="209"/>
              <w:spacing w:after="0"/>
              <w:rPr>
                <w:sz w:val="20"/>
                <w:szCs w:val="20"/>
                <w:color w:val="auto"/>
              </w:rPr>
            </w:pPr>
            <w:r>
              <w:rPr>
                <w:rFonts w:ascii="Arial" w:cs="Arial" w:eastAsia="Arial" w:hAnsi="Arial"/>
                <w:sz w:val="14"/>
                <w:szCs w:val="14"/>
                <w:color w:val="55565A"/>
              </w:rPr>
              <w:t>(90)</w:t>
            </w:r>
          </w:p>
        </w:tc>
      </w:tr>
      <w:tr>
        <w:trPr>
          <w:trHeight w:val="260"/>
        </w:trPr>
        <w:tc>
          <w:tcPr>
            <w:tcW w:w="5780" w:type="dxa"/>
            <w:vAlign w:val="bottom"/>
            <w:gridSpan w:val="2"/>
          </w:tcPr>
          <w:p>
            <w:pPr>
              <w:ind w:left="120"/>
              <w:spacing w:after="0"/>
              <w:rPr>
                <w:sz w:val="20"/>
                <w:szCs w:val="20"/>
                <w:color w:val="auto"/>
              </w:rPr>
            </w:pPr>
            <w:r>
              <w:rPr>
                <w:rFonts w:ascii="Arial" w:cs="Arial" w:eastAsia="Arial" w:hAnsi="Arial"/>
                <w:sz w:val="14"/>
                <w:szCs w:val="14"/>
                <w:color w:val="55565A"/>
              </w:rPr>
              <w:t>Income before tax and equity method investments</w:t>
            </w:r>
          </w:p>
        </w:tc>
        <w:tc>
          <w:tcPr>
            <w:tcW w:w="2260" w:type="dxa"/>
            <w:vAlign w:val="bottom"/>
          </w:tcPr>
          <w:p>
            <w:pPr>
              <w:spacing w:after="0"/>
              <w:rPr>
                <w:sz w:val="22"/>
                <w:szCs w:val="22"/>
                <w:color w:val="auto"/>
              </w:rPr>
            </w:pPr>
          </w:p>
        </w:tc>
        <w:tc>
          <w:tcPr>
            <w:tcW w:w="1600" w:type="dxa"/>
            <w:vAlign w:val="bottom"/>
          </w:tcPr>
          <w:p>
            <w:pPr>
              <w:jc w:val="right"/>
              <w:ind w:right="469"/>
              <w:spacing w:after="0"/>
              <w:rPr>
                <w:sz w:val="20"/>
                <w:szCs w:val="20"/>
                <w:color w:val="auto"/>
              </w:rPr>
            </w:pPr>
            <w:r>
              <w:rPr>
                <w:rFonts w:ascii="Arial" w:cs="Arial" w:eastAsia="Arial" w:hAnsi="Arial"/>
                <w:sz w:val="14"/>
                <w:szCs w:val="14"/>
                <w:b w:val="1"/>
                <w:bCs w:val="1"/>
                <w:color w:val="55565A"/>
              </w:rPr>
              <w:t>539</w:t>
            </w:r>
          </w:p>
        </w:tc>
        <w:tc>
          <w:tcPr>
            <w:tcW w:w="1280" w:type="dxa"/>
            <w:vAlign w:val="bottom"/>
          </w:tcPr>
          <w:p>
            <w:pPr>
              <w:jc w:val="right"/>
              <w:ind w:right="209"/>
              <w:spacing w:after="0"/>
              <w:rPr>
                <w:sz w:val="20"/>
                <w:szCs w:val="20"/>
                <w:color w:val="auto"/>
              </w:rPr>
            </w:pPr>
            <w:r>
              <w:rPr>
                <w:rFonts w:ascii="Arial" w:cs="Arial" w:eastAsia="Arial" w:hAnsi="Arial"/>
                <w:sz w:val="14"/>
                <w:szCs w:val="14"/>
                <w:color w:val="55565A"/>
              </w:rPr>
              <w:t>363</w:t>
            </w:r>
          </w:p>
        </w:tc>
      </w:tr>
      <w:tr>
        <w:trPr>
          <w:trHeight w:val="228"/>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55565A"/>
              </w:rPr>
              <w:t>Share of post-tax (losses) earnings in equity method investments</w:t>
            </w:r>
          </w:p>
        </w:tc>
        <w:tc>
          <w:tcPr>
            <w:tcW w:w="2260" w:type="dxa"/>
            <w:vAlign w:val="bottom"/>
            <w:shd w:val="clear" w:color="auto" w:fill="CCEEFF"/>
          </w:tcPr>
          <w:p>
            <w:pPr>
              <w:jc w:val="center"/>
              <w:ind w:left="1229"/>
              <w:spacing w:after="0"/>
              <w:rPr>
                <w:sz w:val="20"/>
                <w:szCs w:val="20"/>
                <w:color w:val="auto"/>
              </w:rPr>
            </w:pPr>
            <w:r>
              <w:rPr>
                <w:rFonts w:ascii="Arial" w:cs="Arial" w:eastAsia="Arial" w:hAnsi="Arial"/>
                <w:sz w:val="14"/>
                <w:szCs w:val="14"/>
                <w:color w:val="55565A"/>
              </w:rPr>
              <w:t>8</w:t>
            </w:r>
          </w:p>
        </w:tc>
        <w:tc>
          <w:tcPr>
            <w:tcW w:w="160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(8)</w:t>
            </w:r>
          </w:p>
        </w:tc>
        <w:tc>
          <w:tcPr>
            <w:tcW w:w="12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570</w:t>
            </w:r>
          </w:p>
        </w:tc>
      </w:tr>
      <w:tr>
        <w:trPr>
          <w:trHeight w:val="261"/>
        </w:trPr>
        <w:tc>
          <w:tcPr>
            <w:tcW w:w="5780" w:type="dxa"/>
            <w:vAlign w:val="bottom"/>
            <w:tcBorders>
              <w:bottom w:val="single" w:sz="8" w:color="88888B"/>
            </w:tcBorders>
            <w:gridSpan w:val="2"/>
          </w:tcPr>
          <w:p>
            <w:pPr>
              <w:ind w:left="120"/>
              <w:spacing w:after="0"/>
              <w:rPr>
                <w:sz w:val="20"/>
                <w:szCs w:val="20"/>
                <w:color w:val="auto"/>
              </w:rPr>
            </w:pPr>
            <w:r>
              <w:rPr>
                <w:rFonts w:ascii="Arial" w:cs="Arial" w:eastAsia="Arial" w:hAnsi="Arial"/>
                <w:sz w:val="14"/>
                <w:szCs w:val="14"/>
                <w:color w:val="55565A"/>
              </w:rPr>
              <w:t>Tax expense</w:t>
            </w:r>
          </w:p>
        </w:tc>
        <w:tc>
          <w:tcPr>
            <w:tcW w:w="2260" w:type="dxa"/>
            <w:vAlign w:val="bottom"/>
            <w:tcBorders>
              <w:bottom w:val="single" w:sz="8" w:color="88888B"/>
            </w:tcBorders>
          </w:tcPr>
          <w:p>
            <w:pPr>
              <w:jc w:val="center"/>
              <w:ind w:left="1229"/>
              <w:spacing w:after="0"/>
              <w:rPr>
                <w:sz w:val="20"/>
                <w:szCs w:val="20"/>
                <w:color w:val="auto"/>
              </w:rPr>
            </w:pPr>
            <w:r>
              <w:rPr>
                <w:rFonts w:ascii="Arial" w:cs="Arial" w:eastAsia="Arial" w:hAnsi="Arial"/>
                <w:sz w:val="14"/>
                <w:szCs w:val="14"/>
                <w:color w:val="55565A"/>
              </w:rPr>
              <w:t>9</w:t>
            </w:r>
          </w:p>
        </w:tc>
        <w:tc>
          <w:tcPr>
            <w:tcW w:w="1600" w:type="dxa"/>
            <w:vAlign w:val="bottom"/>
            <w:tcBorders>
              <w:bottom w:val="single" w:sz="8" w:color="88888B"/>
            </w:tcBorders>
          </w:tcPr>
          <w:p>
            <w:pPr>
              <w:jc w:val="right"/>
              <w:ind w:right="469"/>
              <w:spacing w:after="0"/>
              <w:rPr>
                <w:sz w:val="20"/>
                <w:szCs w:val="20"/>
                <w:color w:val="auto"/>
              </w:rPr>
            </w:pPr>
            <w:r>
              <w:rPr>
                <w:rFonts w:ascii="Arial" w:cs="Arial" w:eastAsia="Arial" w:hAnsi="Arial"/>
                <w:sz w:val="14"/>
                <w:szCs w:val="14"/>
                <w:b w:val="1"/>
                <w:bCs w:val="1"/>
                <w:color w:val="55565A"/>
              </w:rPr>
              <w:t>(67)</w:t>
            </w:r>
          </w:p>
        </w:tc>
        <w:tc>
          <w:tcPr>
            <w:tcW w:w="1280" w:type="dxa"/>
            <w:vAlign w:val="bottom"/>
            <w:tcBorders>
              <w:bottom w:val="single" w:sz="8" w:color="88888B"/>
            </w:tcBorders>
          </w:tcPr>
          <w:p>
            <w:pPr>
              <w:jc w:val="right"/>
              <w:ind w:right="209"/>
              <w:spacing w:after="0"/>
              <w:rPr>
                <w:sz w:val="20"/>
                <w:szCs w:val="20"/>
                <w:color w:val="auto"/>
              </w:rPr>
            </w:pPr>
            <w:r>
              <w:rPr>
                <w:rFonts w:ascii="Arial" w:cs="Arial" w:eastAsia="Arial" w:hAnsi="Arial"/>
                <w:sz w:val="14"/>
                <w:szCs w:val="14"/>
                <w:color w:val="55565A"/>
              </w:rPr>
              <w:t>(196)</w:t>
            </w:r>
          </w:p>
        </w:tc>
      </w:tr>
      <w:tr>
        <w:trPr>
          <w:trHeight w:val="227"/>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55565A"/>
              </w:rPr>
              <w:t>Earnings from continuing operations</w:t>
            </w:r>
          </w:p>
        </w:tc>
        <w:tc>
          <w:tcPr>
            <w:tcW w:w="2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464</w:t>
            </w:r>
          </w:p>
        </w:tc>
        <w:tc>
          <w:tcPr>
            <w:tcW w:w="12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737</w:t>
            </w:r>
          </w:p>
        </w:tc>
      </w:tr>
      <w:tr>
        <w:trPr>
          <w:trHeight w:val="261"/>
        </w:trPr>
        <w:tc>
          <w:tcPr>
            <w:tcW w:w="5780" w:type="dxa"/>
            <w:vAlign w:val="bottom"/>
            <w:tcBorders>
              <w:bottom w:val="single" w:sz="8" w:color="88888B"/>
            </w:tcBorders>
            <w:gridSpan w:val="2"/>
          </w:tcPr>
          <w:p>
            <w:pPr>
              <w:ind w:left="120"/>
              <w:spacing w:after="0"/>
              <w:rPr>
                <w:sz w:val="20"/>
                <w:szCs w:val="20"/>
                <w:color w:val="auto"/>
              </w:rPr>
            </w:pPr>
            <w:r>
              <w:rPr>
                <w:rFonts w:ascii="Arial" w:cs="Arial" w:eastAsia="Arial" w:hAnsi="Arial"/>
                <w:sz w:val="14"/>
                <w:szCs w:val="14"/>
                <w:color w:val="55565A"/>
              </w:rPr>
              <w:t>Earnings from discontinued operations, net of tax</w:t>
            </w:r>
          </w:p>
        </w:tc>
        <w:tc>
          <w:tcPr>
            <w:tcW w:w="2260" w:type="dxa"/>
            <w:vAlign w:val="bottom"/>
            <w:tcBorders>
              <w:bottom w:val="single" w:sz="8" w:color="88888B"/>
            </w:tcBorders>
          </w:tcPr>
          <w:p>
            <w:pPr>
              <w:spacing w:after="0"/>
              <w:rPr>
                <w:sz w:val="22"/>
                <w:szCs w:val="22"/>
                <w:color w:val="auto"/>
              </w:rPr>
            </w:pPr>
          </w:p>
        </w:tc>
        <w:tc>
          <w:tcPr>
            <w:tcW w:w="1600" w:type="dxa"/>
            <w:vAlign w:val="bottom"/>
            <w:tcBorders>
              <w:bottom w:val="single" w:sz="8" w:color="88888B"/>
            </w:tcBorders>
          </w:tcPr>
          <w:p>
            <w:pPr>
              <w:jc w:val="right"/>
              <w:ind w:right="469"/>
              <w:spacing w:after="0"/>
              <w:rPr>
                <w:sz w:val="20"/>
                <w:szCs w:val="20"/>
                <w:color w:val="auto"/>
              </w:rPr>
            </w:pPr>
            <w:r>
              <w:rPr>
                <w:rFonts w:ascii="Arial" w:cs="Arial" w:eastAsia="Arial" w:hAnsi="Arial"/>
                <w:sz w:val="14"/>
                <w:szCs w:val="14"/>
                <w:b w:val="1"/>
                <w:bCs w:val="1"/>
                <w:color w:val="55565A"/>
              </w:rPr>
              <w:t>14</w:t>
            </w:r>
          </w:p>
        </w:tc>
        <w:tc>
          <w:tcPr>
            <w:tcW w:w="1280" w:type="dxa"/>
            <w:vAlign w:val="bottom"/>
            <w:tcBorders>
              <w:bottom w:val="single" w:sz="8" w:color="88888B"/>
            </w:tcBorders>
          </w:tcPr>
          <w:p>
            <w:pPr>
              <w:jc w:val="right"/>
              <w:ind w:right="209"/>
              <w:spacing w:after="0"/>
              <w:rPr>
                <w:sz w:val="20"/>
                <w:szCs w:val="20"/>
                <w:color w:val="auto"/>
              </w:rPr>
            </w:pPr>
            <w:r>
              <w:rPr>
                <w:rFonts w:ascii="Arial" w:cs="Arial" w:eastAsia="Arial" w:hAnsi="Arial"/>
                <w:sz w:val="14"/>
                <w:szCs w:val="14"/>
                <w:color w:val="55565A"/>
              </w:rPr>
              <w:t>19</w:t>
            </w:r>
          </w:p>
        </w:tc>
      </w:tr>
      <w:tr>
        <w:trPr>
          <w:trHeight w:val="227"/>
        </w:trPr>
        <w:tc>
          <w:tcPr>
            <w:tcW w:w="5780" w:type="dxa"/>
            <w:vAlign w:val="bottom"/>
            <w:tcBorders>
              <w:bottom w:val="single" w:sz="8" w:color="88888B"/>
            </w:tcBorders>
            <w:gridSpan w:val="2"/>
            <w:shd w:val="clear" w:color="auto" w:fill="CCEEFF"/>
          </w:tcPr>
          <w:p>
            <w:pPr>
              <w:ind w:left="120"/>
              <w:spacing w:after="0"/>
              <w:rPr>
                <w:sz w:val="20"/>
                <w:szCs w:val="20"/>
                <w:color w:val="auto"/>
              </w:rPr>
            </w:pPr>
            <w:r>
              <w:rPr>
                <w:rFonts w:ascii="Arial" w:cs="Arial" w:eastAsia="Arial" w:hAnsi="Arial"/>
                <w:sz w:val="14"/>
                <w:szCs w:val="14"/>
                <w:color w:val="55565A"/>
              </w:rPr>
              <w:t>Net earnings</w:t>
            </w:r>
          </w:p>
        </w:tc>
        <w:tc>
          <w:tcPr>
            <w:tcW w:w="2260" w:type="dxa"/>
            <w:vAlign w:val="bottom"/>
            <w:tcBorders>
              <w:bottom w:val="single" w:sz="8" w:color="88888B"/>
            </w:tcBorders>
            <w:shd w:val="clear" w:color="auto" w:fill="CCEEFF"/>
          </w:tcPr>
          <w:p>
            <w:pPr>
              <w:spacing w:after="0"/>
              <w:rPr>
                <w:sz w:val="19"/>
                <w:szCs w:val="19"/>
                <w:color w:val="auto"/>
              </w:rPr>
            </w:pPr>
          </w:p>
        </w:tc>
        <w:tc>
          <w:tcPr>
            <w:tcW w:w="1600" w:type="dxa"/>
            <w:vAlign w:val="bottom"/>
            <w:tcBorders>
              <w:bottom w:val="single" w:sz="8" w:color="88888B"/>
            </w:tcBorders>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478</w:t>
            </w:r>
          </w:p>
        </w:tc>
        <w:tc>
          <w:tcPr>
            <w:tcW w:w="1280" w:type="dxa"/>
            <w:vAlign w:val="bottom"/>
            <w:tcBorders>
              <w:bottom w:val="single" w:sz="8" w:color="88888B"/>
            </w:tcBorders>
            <w:shd w:val="clear" w:color="auto" w:fill="CCEEFF"/>
          </w:tcPr>
          <w:p>
            <w:pPr>
              <w:jc w:val="right"/>
              <w:ind w:right="209"/>
              <w:spacing w:after="0"/>
              <w:rPr>
                <w:sz w:val="20"/>
                <w:szCs w:val="20"/>
                <w:color w:val="auto"/>
              </w:rPr>
            </w:pPr>
            <w:r>
              <w:rPr>
                <w:rFonts w:ascii="Arial" w:cs="Arial" w:eastAsia="Arial" w:hAnsi="Arial"/>
                <w:sz w:val="14"/>
                <w:szCs w:val="14"/>
                <w:color w:val="55565A"/>
              </w:rPr>
              <w:t>756</w:t>
            </w:r>
          </w:p>
        </w:tc>
      </w:tr>
      <w:tr>
        <w:trPr>
          <w:trHeight w:val="213"/>
        </w:trPr>
        <w:tc>
          <w:tcPr>
            <w:tcW w:w="5780" w:type="dxa"/>
            <w:vAlign w:val="bottom"/>
            <w:gridSpan w:val="2"/>
          </w:tcPr>
          <w:p>
            <w:pPr>
              <w:ind w:left="120"/>
              <w:spacing w:after="0"/>
              <w:rPr>
                <w:sz w:val="20"/>
                <w:szCs w:val="20"/>
                <w:color w:val="auto"/>
              </w:rPr>
            </w:pPr>
            <w:r>
              <w:rPr>
                <w:rFonts w:ascii="Arial" w:cs="Arial" w:eastAsia="Arial" w:hAnsi="Arial"/>
                <w:sz w:val="14"/>
                <w:szCs w:val="14"/>
                <w:color w:val="55565A"/>
              </w:rPr>
              <w:t>Earnings (loss) attributable to:</w:t>
            </w: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8"/>
        </w:trPr>
        <w:tc>
          <w:tcPr>
            <w:tcW w:w="38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27"/>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55565A"/>
              </w:rPr>
              <w:t>Common shareholders</w:t>
            </w:r>
          </w:p>
        </w:tc>
        <w:tc>
          <w:tcPr>
            <w:tcW w:w="2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481</w:t>
            </w:r>
          </w:p>
        </w:tc>
        <w:tc>
          <w:tcPr>
            <w:tcW w:w="12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756</w:t>
            </w:r>
          </w:p>
        </w:tc>
      </w:tr>
      <w:tr>
        <w:trPr>
          <w:trHeight w:val="280"/>
        </w:trPr>
        <w:tc>
          <w:tcPr>
            <w:tcW w:w="5780" w:type="dxa"/>
            <w:vAlign w:val="bottom"/>
            <w:gridSpan w:val="2"/>
          </w:tcPr>
          <w:p>
            <w:pPr>
              <w:ind w:left="120"/>
              <w:spacing w:after="0"/>
              <w:rPr>
                <w:sz w:val="20"/>
                <w:szCs w:val="20"/>
                <w:color w:val="auto"/>
              </w:rPr>
            </w:pPr>
            <w:r>
              <w:rPr>
                <w:rFonts w:ascii="Arial" w:cs="Arial" w:eastAsia="Arial" w:hAnsi="Arial"/>
                <w:sz w:val="14"/>
                <w:szCs w:val="14"/>
                <w:color w:val="55565A"/>
              </w:rPr>
              <w:t>Non-controlling interests</w:t>
            </w:r>
          </w:p>
        </w:tc>
        <w:tc>
          <w:tcPr>
            <w:tcW w:w="2260" w:type="dxa"/>
            <w:vAlign w:val="bottom"/>
          </w:tcPr>
          <w:p>
            <w:pPr>
              <w:spacing w:after="0"/>
              <w:rPr>
                <w:sz w:val="24"/>
                <w:szCs w:val="24"/>
                <w:color w:val="auto"/>
              </w:rPr>
            </w:pPr>
          </w:p>
        </w:tc>
        <w:tc>
          <w:tcPr>
            <w:tcW w:w="1600" w:type="dxa"/>
            <w:vAlign w:val="bottom"/>
          </w:tcPr>
          <w:p>
            <w:pPr>
              <w:jc w:val="right"/>
              <w:ind w:right="469"/>
              <w:spacing w:after="0"/>
              <w:rPr>
                <w:sz w:val="20"/>
                <w:szCs w:val="20"/>
                <w:color w:val="auto"/>
              </w:rPr>
            </w:pPr>
            <w:r>
              <w:rPr>
                <w:rFonts w:ascii="Arial" w:cs="Arial" w:eastAsia="Arial" w:hAnsi="Arial"/>
                <w:sz w:val="14"/>
                <w:szCs w:val="14"/>
                <w:b w:val="1"/>
                <w:bCs w:val="1"/>
                <w:color w:val="55565A"/>
              </w:rPr>
              <w:t>(3)</w:t>
            </w:r>
          </w:p>
        </w:tc>
        <w:tc>
          <w:tcPr>
            <w:tcW w:w="1280" w:type="dxa"/>
            <w:vAlign w:val="bottom"/>
          </w:tcPr>
          <w:p>
            <w:pPr>
              <w:jc w:val="right"/>
              <w:ind w:right="209"/>
              <w:spacing w:after="0"/>
              <w:rPr>
                <w:sz w:val="20"/>
                <w:szCs w:val="20"/>
                <w:color w:val="auto"/>
              </w:rPr>
            </w:pPr>
            <w:r>
              <w:rPr>
                <w:rFonts w:ascii="Arial" w:cs="Arial" w:eastAsia="Arial" w:hAnsi="Arial"/>
                <w:sz w:val="14"/>
                <w:szCs w:val="14"/>
                <w:color w:val="55565A"/>
              </w:rPr>
              <w:t>—</w:t>
            </w:r>
          </w:p>
        </w:tc>
      </w:tr>
      <w:tr>
        <w:trPr>
          <w:trHeight w:val="228"/>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55565A"/>
              </w:rPr>
              <w:t>Earnings per share:</w:t>
            </w:r>
          </w:p>
        </w:tc>
        <w:tc>
          <w:tcPr>
            <w:tcW w:w="2260" w:type="dxa"/>
            <w:vAlign w:val="bottom"/>
            <w:shd w:val="clear" w:color="auto" w:fill="CCEEFF"/>
          </w:tcPr>
          <w:p>
            <w:pPr>
              <w:jc w:val="center"/>
              <w:ind w:left="1229"/>
              <w:spacing w:after="0"/>
              <w:rPr>
                <w:sz w:val="20"/>
                <w:szCs w:val="20"/>
                <w:color w:val="auto"/>
              </w:rPr>
            </w:pPr>
            <w:r>
              <w:rPr>
                <w:rFonts w:ascii="Arial" w:cs="Arial" w:eastAsia="Arial" w:hAnsi="Arial"/>
                <w:sz w:val="14"/>
                <w:szCs w:val="14"/>
                <w:color w:val="55565A"/>
              </w:rPr>
              <w:t>10</w:t>
            </w:r>
          </w:p>
        </w:tc>
        <w:tc>
          <w:tcPr>
            <w:tcW w:w="1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3"/>
        </w:trPr>
        <w:tc>
          <w:tcPr>
            <w:tcW w:w="5780" w:type="dxa"/>
            <w:vAlign w:val="bottom"/>
            <w:gridSpan w:val="2"/>
          </w:tcPr>
          <w:p>
            <w:pPr>
              <w:ind w:left="120"/>
              <w:spacing w:after="0"/>
              <w:rPr>
                <w:sz w:val="20"/>
                <w:szCs w:val="20"/>
                <w:color w:val="auto"/>
              </w:rPr>
            </w:pPr>
            <w:r>
              <w:rPr>
                <w:rFonts w:ascii="Arial" w:cs="Arial" w:eastAsia="Arial" w:hAnsi="Arial"/>
                <w:sz w:val="14"/>
                <w:szCs w:val="14"/>
                <w:color w:val="55565A"/>
              </w:rPr>
              <w:t>Basic earnings per share:</w:t>
            </w:r>
          </w:p>
        </w:tc>
        <w:tc>
          <w:tcPr>
            <w:tcW w:w="2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8"/>
        </w:trPr>
        <w:tc>
          <w:tcPr>
            <w:tcW w:w="38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27"/>
        </w:trPr>
        <w:tc>
          <w:tcPr>
            <w:tcW w:w="5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55565A"/>
              </w:rPr>
              <w:t>From continuing operations</w:t>
            </w:r>
          </w:p>
        </w:tc>
        <w:tc>
          <w:tcPr>
            <w:tcW w:w="2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$1.03</w:t>
            </w:r>
          </w:p>
        </w:tc>
        <w:tc>
          <w:tcPr>
            <w:tcW w:w="12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$1.56</w:t>
            </w:r>
          </w:p>
        </w:tc>
      </w:tr>
      <w:tr>
        <w:trPr>
          <w:trHeight w:val="261"/>
        </w:trPr>
        <w:tc>
          <w:tcPr>
            <w:tcW w:w="5780" w:type="dxa"/>
            <w:vAlign w:val="bottom"/>
            <w:tcBorders>
              <w:bottom w:val="single" w:sz="8" w:color="88888B"/>
            </w:tcBorders>
            <w:gridSpan w:val="2"/>
          </w:tcPr>
          <w:p>
            <w:pPr>
              <w:ind w:left="260"/>
              <w:spacing w:after="0"/>
              <w:rPr>
                <w:sz w:val="20"/>
                <w:szCs w:val="20"/>
                <w:color w:val="auto"/>
              </w:rPr>
            </w:pPr>
            <w:r>
              <w:rPr>
                <w:rFonts w:ascii="Arial" w:cs="Arial" w:eastAsia="Arial" w:hAnsi="Arial"/>
                <w:sz w:val="14"/>
                <w:szCs w:val="14"/>
                <w:color w:val="55565A"/>
              </w:rPr>
              <w:t>From discontinued operations</w:t>
            </w:r>
          </w:p>
        </w:tc>
        <w:tc>
          <w:tcPr>
            <w:tcW w:w="2260" w:type="dxa"/>
            <w:vAlign w:val="bottom"/>
            <w:tcBorders>
              <w:bottom w:val="single" w:sz="8" w:color="88888B"/>
            </w:tcBorders>
          </w:tcPr>
          <w:p>
            <w:pPr>
              <w:spacing w:after="0"/>
              <w:rPr>
                <w:sz w:val="22"/>
                <w:szCs w:val="22"/>
                <w:color w:val="auto"/>
              </w:rPr>
            </w:pPr>
          </w:p>
        </w:tc>
        <w:tc>
          <w:tcPr>
            <w:tcW w:w="1600" w:type="dxa"/>
            <w:vAlign w:val="bottom"/>
            <w:tcBorders>
              <w:bottom w:val="single" w:sz="8" w:color="88888B"/>
            </w:tcBorders>
          </w:tcPr>
          <w:p>
            <w:pPr>
              <w:jc w:val="right"/>
              <w:ind w:right="469"/>
              <w:spacing w:after="0"/>
              <w:rPr>
                <w:sz w:val="20"/>
                <w:szCs w:val="20"/>
                <w:color w:val="auto"/>
              </w:rPr>
            </w:pPr>
            <w:r>
              <w:rPr>
                <w:rFonts w:ascii="Arial" w:cs="Arial" w:eastAsia="Arial" w:hAnsi="Arial"/>
                <w:sz w:val="14"/>
                <w:szCs w:val="14"/>
                <w:b w:val="1"/>
                <w:bCs w:val="1"/>
                <w:color w:val="55565A"/>
              </w:rPr>
              <w:t>0.03</w:t>
            </w:r>
          </w:p>
        </w:tc>
        <w:tc>
          <w:tcPr>
            <w:tcW w:w="1280" w:type="dxa"/>
            <w:vAlign w:val="bottom"/>
            <w:tcBorders>
              <w:bottom w:val="single" w:sz="8" w:color="88888B"/>
            </w:tcBorders>
          </w:tcPr>
          <w:p>
            <w:pPr>
              <w:jc w:val="right"/>
              <w:ind w:right="209"/>
              <w:spacing w:after="0"/>
              <w:rPr>
                <w:sz w:val="20"/>
                <w:szCs w:val="20"/>
                <w:color w:val="auto"/>
              </w:rPr>
            </w:pPr>
            <w:r>
              <w:rPr>
                <w:rFonts w:ascii="Arial" w:cs="Arial" w:eastAsia="Arial" w:hAnsi="Arial"/>
                <w:sz w:val="14"/>
                <w:szCs w:val="14"/>
                <w:color w:val="55565A"/>
              </w:rPr>
              <w:t>0.04</w:t>
            </w:r>
          </w:p>
        </w:tc>
      </w:tr>
      <w:tr>
        <w:trPr>
          <w:trHeight w:val="227"/>
        </w:trPr>
        <w:tc>
          <w:tcPr>
            <w:tcW w:w="5780" w:type="dxa"/>
            <w:vAlign w:val="bottom"/>
            <w:tcBorders>
              <w:bottom w:val="single" w:sz="8" w:color="88888B"/>
            </w:tcBorders>
            <w:gridSpan w:val="2"/>
            <w:shd w:val="clear" w:color="auto" w:fill="CCEEFF"/>
          </w:tcPr>
          <w:p>
            <w:pPr>
              <w:ind w:left="120"/>
              <w:spacing w:after="0"/>
              <w:rPr>
                <w:sz w:val="20"/>
                <w:szCs w:val="20"/>
                <w:color w:val="auto"/>
              </w:rPr>
            </w:pPr>
            <w:r>
              <w:rPr>
                <w:rFonts w:ascii="Arial" w:cs="Arial" w:eastAsia="Arial" w:hAnsi="Arial"/>
                <w:sz w:val="14"/>
                <w:szCs w:val="14"/>
                <w:color w:val="55565A"/>
              </w:rPr>
              <w:t>Basic earnings per share</w:t>
            </w:r>
          </w:p>
        </w:tc>
        <w:tc>
          <w:tcPr>
            <w:tcW w:w="2260" w:type="dxa"/>
            <w:vAlign w:val="bottom"/>
            <w:tcBorders>
              <w:bottom w:val="single" w:sz="8" w:color="88888B"/>
            </w:tcBorders>
            <w:shd w:val="clear" w:color="auto" w:fill="CCEEFF"/>
          </w:tcPr>
          <w:p>
            <w:pPr>
              <w:spacing w:after="0"/>
              <w:rPr>
                <w:sz w:val="19"/>
                <w:szCs w:val="19"/>
                <w:color w:val="auto"/>
              </w:rPr>
            </w:pPr>
          </w:p>
        </w:tc>
        <w:tc>
          <w:tcPr>
            <w:tcW w:w="1600" w:type="dxa"/>
            <w:vAlign w:val="bottom"/>
            <w:tcBorders>
              <w:bottom w:val="single" w:sz="8" w:color="88888B"/>
            </w:tcBorders>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$1.06</w:t>
            </w:r>
          </w:p>
        </w:tc>
        <w:tc>
          <w:tcPr>
            <w:tcW w:w="1280" w:type="dxa"/>
            <w:vAlign w:val="bottom"/>
            <w:tcBorders>
              <w:bottom w:val="single" w:sz="8" w:color="88888B"/>
            </w:tcBorders>
            <w:shd w:val="clear" w:color="auto" w:fill="CCEEFF"/>
          </w:tcPr>
          <w:p>
            <w:pPr>
              <w:jc w:val="right"/>
              <w:ind w:right="209"/>
              <w:spacing w:after="0"/>
              <w:rPr>
                <w:sz w:val="20"/>
                <w:szCs w:val="20"/>
                <w:color w:val="auto"/>
              </w:rPr>
            </w:pPr>
            <w:r>
              <w:rPr>
                <w:rFonts w:ascii="Arial" w:cs="Arial" w:eastAsia="Arial" w:hAnsi="Arial"/>
                <w:sz w:val="14"/>
                <w:szCs w:val="14"/>
                <w:color w:val="55565A"/>
              </w:rPr>
              <w:t>$1.60</w:t>
            </w:r>
          </w:p>
        </w:tc>
      </w:tr>
      <w:tr>
        <w:trPr>
          <w:trHeight w:val="213"/>
        </w:trPr>
        <w:tc>
          <w:tcPr>
            <w:tcW w:w="5780" w:type="dxa"/>
            <w:vAlign w:val="bottom"/>
            <w:gridSpan w:val="2"/>
          </w:tcPr>
          <w:p>
            <w:pPr>
              <w:ind w:left="120"/>
              <w:spacing w:after="0"/>
              <w:rPr>
                <w:sz w:val="20"/>
                <w:szCs w:val="20"/>
                <w:color w:val="auto"/>
              </w:rPr>
            </w:pPr>
            <w:r>
              <w:rPr>
                <w:rFonts w:ascii="Arial" w:cs="Arial" w:eastAsia="Arial" w:hAnsi="Arial"/>
                <w:sz w:val="14"/>
                <w:szCs w:val="14"/>
                <w:color w:val="55565A"/>
              </w:rPr>
              <w:t>Diluted earnings per share:</w:t>
            </w: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8"/>
        </w:trPr>
        <w:tc>
          <w:tcPr>
            <w:tcW w:w="38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27"/>
        </w:trPr>
        <w:tc>
          <w:tcPr>
            <w:tcW w:w="5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55565A"/>
              </w:rPr>
              <w:t>From continuing operations</w:t>
            </w:r>
          </w:p>
        </w:tc>
        <w:tc>
          <w:tcPr>
            <w:tcW w:w="2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$1.03</w:t>
            </w:r>
          </w:p>
        </w:tc>
        <w:tc>
          <w:tcPr>
            <w:tcW w:w="12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$1.55</w:t>
            </w:r>
          </w:p>
        </w:tc>
      </w:tr>
      <w:tr>
        <w:trPr>
          <w:trHeight w:val="261"/>
        </w:trPr>
        <w:tc>
          <w:tcPr>
            <w:tcW w:w="5780" w:type="dxa"/>
            <w:vAlign w:val="bottom"/>
            <w:tcBorders>
              <w:bottom w:val="single" w:sz="8" w:color="88888B"/>
            </w:tcBorders>
            <w:gridSpan w:val="2"/>
          </w:tcPr>
          <w:p>
            <w:pPr>
              <w:ind w:left="260"/>
              <w:spacing w:after="0"/>
              <w:rPr>
                <w:sz w:val="20"/>
                <w:szCs w:val="20"/>
                <w:color w:val="auto"/>
              </w:rPr>
            </w:pPr>
            <w:r>
              <w:rPr>
                <w:rFonts w:ascii="Arial" w:cs="Arial" w:eastAsia="Arial" w:hAnsi="Arial"/>
                <w:sz w:val="14"/>
                <w:szCs w:val="14"/>
                <w:color w:val="55565A"/>
              </w:rPr>
              <w:t>From discontinued operations</w:t>
            </w:r>
          </w:p>
        </w:tc>
        <w:tc>
          <w:tcPr>
            <w:tcW w:w="2260" w:type="dxa"/>
            <w:vAlign w:val="bottom"/>
            <w:tcBorders>
              <w:bottom w:val="single" w:sz="8" w:color="88888B"/>
            </w:tcBorders>
          </w:tcPr>
          <w:p>
            <w:pPr>
              <w:spacing w:after="0"/>
              <w:rPr>
                <w:sz w:val="22"/>
                <w:szCs w:val="22"/>
                <w:color w:val="auto"/>
              </w:rPr>
            </w:pPr>
          </w:p>
        </w:tc>
        <w:tc>
          <w:tcPr>
            <w:tcW w:w="1600" w:type="dxa"/>
            <w:vAlign w:val="bottom"/>
            <w:tcBorders>
              <w:bottom w:val="single" w:sz="8" w:color="88888B"/>
            </w:tcBorders>
          </w:tcPr>
          <w:p>
            <w:pPr>
              <w:jc w:val="right"/>
              <w:ind w:right="469"/>
              <w:spacing w:after="0"/>
              <w:rPr>
                <w:sz w:val="20"/>
                <w:szCs w:val="20"/>
                <w:color w:val="auto"/>
              </w:rPr>
            </w:pPr>
            <w:r>
              <w:rPr>
                <w:rFonts w:ascii="Arial" w:cs="Arial" w:eastAsia="Arial" w:hAnsi="Arial"/>
                <w:sz w:val="14"/>
                <w:szCs w:val="14"/>
                <w:b w:val="1"/>
                <w:bCs w:val="1"/>
                <w:color w:val="55565A"/>
              </w:rPr>
              <w:t>0.03</w:t>
            </w:r>
          </w:p>
        </w:tc>
        <w:tc>
          <w:tcPr>
            <w:tcW w:w="1280" w:type="dxa"/>
            <w:vAlign w:val="bottom"/>
            <w:tcBorders>
              <w:bottom w:val="single" w:sz="8" w:color="88888B"/>
            </w:tcBorders>
          </w:tcPr>
          <w:p>
            <w:pPr>
              <w:jc w:val="right"/>
              <w:ind w:right="209"/>
              <w:spacing w:after="0"/>
              <w:rPr>
                <w:sz w:val="20"/>
                <w:szCs w:val="20"/>
                <w:color w:val="auto"/>
              </w:rPr>
            </w:pPr>
            <w:r>
              <w:rPr>
                <w:rFonts w:ascii="Arial" w:cs="Arial" w:eastAsia="Arial" w:hAnsi="Arial"/>
                <w:sz w:val="14"/>
                <w:szCs w:val="14"/>
                <w:color w:val="55565A"/>
              </w:rPr>
              <w:t>0.04</w:t>
            </w:r>
          </w:p>
        </w:tc>
      </w:tr>
      <w:tr>
        <w:trPr>
          <w:trHeight w:val="227"/>
        </w:trPr>
        <w:tc>
          <w:tcPr>
            <w:tcW w:w="5780" w:type="dxa"/>
            <w:vAlign w:val="bottom"/>
            <w:tcBorders>
              <w:bottom w:val="single" w:sz="8" w:color="88888B"/>
            </w:tcBorders>
            <w:gridSpan w:val="2"/>
            <w:shd w:val="clear" w:color="auto" w:fill="CCEEFF"/>
          </w:tcPr>
          <w:p>
            <w:pPr>
              <w:ind w:left="120"/>
              <w:spacing w:after="0"/>
              <w:rPr>
                <w:sz w:val="20"/>
                <w:szCs w:val="20"/>
                <w:color w:val="auto"/>
              </w:rPr>
            </w:pPr>
            <w:r>
              <w:rPr>
                <w:rFonts w:ascii="Arial" w:cs="Arial" w:eastAsia="Arial" w:hAnsi="Arial"/>
                <w:sz w:val="14"/>
                <w:szCs w:val="14"/>
                <w:color w:val="55565A"/>
              </w:rPr>
              <w:t>Diluted earnings per share</w:t>
            </w:r>
          </w:p>
        </w:tc>
        <w:tc>
          <w:tcPr>
            <w:tcW w:w="2260" w:type="dxa"/>
            <w:vAlign w:val="bottom"/>
            <w:tcBorders>
              <w:bottom w:val="single" w:sz="8" w:color="88888B"/>
            </w:tcBorders>
            <w:shd w:val="clear" w:color="auto" w:fill="CCEEFF"/>
          </w:tcPr>
          <w:p>
            <w:pPr>
              <w:spacing w:after="0"/>
              <w:rPr>
                <w:sz w:val="19"/>
                <w:szCs w:val="19"/>
                <w:color w:val="auto"/>
              </w:rPr>
            </w:pPr>
          </w:p>
        </w:tc>
        <w:tc>
          <w:tcPr>
            <w:tcW w:w="1600" w:type="dxa"/>
            <w:vAlign w:val="bottom"/>
            <w:tcBorders>
              <w:bottom w:val="single" w:sz="8" w:color="88888B"/>
            </w:tcBorders>
            <w:shd w:val="clear" w:color="auto" w:fill="CCEEFF"/>
          </w:tcPr>
          <w:p>
            <w:pPr>
              <w:jc w:val="right"/>
              <w:ind w:right="469"/>
              <w:spacing w:after="0"/>
              <w:rPr>
                <w:sz w:val="20"/>
                <w:szCs w:val="20"/>
                <w:color w:val="auto"/>
              </w:rPr>
            </w:pPr>
            <w:r>
              <w:rPr>
                <w:rFonts w:ascii="Arial" w:cs="Arial" w:eastAsia="Arial" w:hAnsi="Arial"/>
                <w:sz w:val="14"/>
                <w:szCs w:val="14"/>
                <w:b w:val="1"/>
                <w:bCs w:val="1"/>
                <w:color w:val="55565A"/>
              </w:rPr>
              <w:t>$1.06</w:t>
            </w:r>
          </w:p>
        </w:tc>
        <w:tc>
          <w:tcPr>
            <w:tcW w:w="1280" w:type="dxa"/>
            <w:vAlign w:val="bottom"/>
            <w:tcBorders>
              <w:bottom w:val="single" w:sz="8" w:color="88888B"/>
            </w:tcBorders>
            <w:shd w:val="clear" w:color="auto" w:fill="CCEEFF"/>
          </w:tcPr>
          <w:p>
            <w:pPr>
              <w:jc w:val="right"/>
              <w:ind w:right="209"/>
              <w:spacing w:after="0"/>
              <w:rPr>
                <w:sz w:val="20"/>
                <w:szCs w:val="20"/>
                <w:color w:val="auto"/>
              </w:rPr>
            </w:pPr>
            <w:r>
              <w:rPr>
                <w:rFonts w:ascii="Arial" w:cs="Arial" w:eastAsia="Arial" w:hAnsi="Arial"/>
                <w:sz w:val="14"/>
                <w:szCs w:val="14"/>
                <w:color w:val="55565A"/>
              </w:rPr>
              <w:t>$1.59</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55565A"/>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55565A"/>
        </w:rPr>
        <w:t>Page 38</w:t>
      </w:r>
    </w:p>
    <w:p>
      <w:pPr>
        <w:sectPr>
          <w:pgSz w:w="11900" w:h="16838" w:orient="portrait"/>
          <w:cols w:equalWidth="0" w:num="1">
            <w:col w:w="10920"/>
          </w:cols>
          <w:pgMar w:left="480" w:top="122" w:right="49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THOMSON REUTERS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CONSOLIDATED STATEMENT OF COMPREHENSIVE INCOME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940" w:type="dxa"/>
            <w:vAlign w:val="bottom"/>
            <w:gridSpan w:val="2"/>
          </w:tcPr>
          <w:p>
            <w:pPr>
              <w:jc w:val="right"/>
              <w:ind w:right="389"/>
              <w:spacing w:after="0"/>
              <w:rPr>
                <w:sz w:val="20"/>
                <w:szCs w:val="20"/>
                <w:color w:val="auto"/>
              </w:rPr>
            </w:pPr>
            <w:r>
              <w:rPr>
                <w:rFonts w:ascii="Arial" w:cs="Arial" w:eastAsia="Arial" w:hAnsi="Arial"/>
                <w:sz w:val="14"/>
                <w:szCs w:val="14"/>
                <w:b w:val="1"/>
                <w:bCs w:val="1"/>
                <w:color w:val="55565A"/>
              </w:rPr>
              <w:t>Three months ended March 31,</w:t>
            </w:r>
          </w:p>
        </w:tc>
      </w:tr>
      <w:tr>
        <w:trPr>
          <w:trHeight w:val="281"/>
        </w:trPr>
        <w:tc>
          <w:tcPr>
            <w:tcW w:w="6040" w:type="dxa"/>
            <w:vAlign w:val="bottom"/>
          </w:tcPr>
          <w:p>
            <w:pPr>
              <w:spacing w:after="0"/>
              <w:rPr>
                <w:sz w:val="20"/>
                <w:szCs w:val="20"/>
                <w:color w:val="auto"/>
              </w:rPr>
            </w:pPr>
            <w:r>
              <w:rPr>
                <w:rFonts w:ascii="Arial" w:cs="Arial" w:eastAsia="Arial" w:hAnsi="Arial"/>
                <w:sz w:val="14"/>
                <w:szCs w:val="14"/>
                <w:color w:val="55565A"/>
              </w:rPr>
              <w:t>   (millions of U.S. dollars)</w:t>
            </w:r>
          </w:p>
        </w:tc>
        <w:tc>
          <w:tcPr>
            <w:tcW w:w="1940" w:type="dxa"/>
            <w:vAlign w:val="bottom"/>
          </w:tcPr>
          <w:p>
            <w:pPr>
              <w:ind w:left="1160"/>
              <w:spacing w:after="0"/>
              <w:rPr>
                <w:sz w:val="20"/>
                <w:szCs w:val="20"/>
                <w:color w:val="auto"/>
              </w:rPr>
            </w:pPr>
            <w:r>
              <w:rPr>
                <w:rFonts w:ascii="Arial" w:cs="Arial" w:eastAsia="Arial" w:hAnsi="Arial"/>
                <w:sz w:val="14"/>
                <w:szCs w:val="14"/>
                <w:b w:val="1"/>
                <w:bCs w:val="1"/>
                <w:color w:val="55565A"/>
              </w:rPr>
              <w:t>Notes</w:t>
            </w:r>
          </w:p>
        </w:tc>
        <w:tc>
          <w:tcPr>
            <w:tcW w:w="1700" w:type="dxa"/>
            <w:vAlign w:val="bottom"/>
          </w:tcPr>
          <w:p>
            <w:pPr>
              <w:jc w:val="right"/>
              <w:ind w:right="569"/>
              <w:spacing w:after="0"/>
              <w:rPr>
                <w:sz w:val="20"/>
                <w:szCs w:val="20"/>
                <w:color w:val="auto"/>
              </w:rPr>
            </w:pPr>
            <w:r>
              <w:rPr>
                <w:rFonts w:ascii="Arial" w:cs="Arial" w:eastAsia="Arial" w:hAnsi="Arial"/>
                <w:sz w:val="14"/>
                <w:szCs w:val="14"/>
                <w:b w:val="1"/>
                <w:bCs w:val="1"/>
                <w:color w:val="55565A"/>
              </w:rPr>
              <w:t>2024</w:t>
            </w:r>
          </w:p>
        </w:tc>
        <w:tc>
          <w:tcPr>
            <w:tcW w:w="1240" w:type="dxa"/>
            <w:vAlign w:val="bottom"/>
          </w:tcPr>
          <w:p>
            <w:pPr>
              <w:jc w:val="right"/>
              <w:ind w:right="209"/>
              <w:spacing w:after="0"/>
              <w:rPr>
                <w:sz w:val="20"/>
                <w:szCs w:val="20"/>
                <w:color w:val="auto"/>
              </w:rPr>
            </w:pPr>
            <w:r>
              <w:rPr>
                <w:rFonts w:ascii="Arial" w:cs="Arial" w:eastAsia="Arial" w:hAnsi="Arial"/>
                <w:sz w:val="14"/>
                <w:szCs w:val="14"/>
                <w:color w:val="55565A"/>
              </w:rPr>
              <w:t>2023</w:t>
            </w:r>
          </w:p>
        </w:tc>
      </w:tr>
      <w:tr>
        <w:trPr>
          <w:trHeight w:val="48"/>
        </w:trPr>
        <w:tc>
          <w:tcPr>
            <w:tcW w:w="6040" w:type="dxa"/>
            <w:vAlign w:val="bottom"/>
            <w:tcBorders>
              <w:bottom w:val="single" w:sz="8" w:color="88888B"/>
            </w:tcBorders>
          </w:tcPr>
          <w:p>
            <w:pPr>
              <w:spacing w:after="0"/>
              <w:rPr>
                <w:sz w:val="4"/>
                <w:szCs w:val="4"/>
                <w:color w:val="auto"/>
              </w:rPr>
            </w:pPr>
          </w:p>
        </w:tc>
        <w:tc>
          <w:tcPr>
            <w:tcW w:w="1940" w:type="dxa"/>
            <w:vAlign w:val="bottom"/>
            <w:tcBorders>
              <w:bottom w:val="single" w:sz="8" w:color="88888B"/>
            </w:tcBorders>
          </w:tcPr>
          <w:p>
            <w:pPr>
              <w:spacing w:after="0"/>
              <w:rPr>
                <w:sz w:val="4"/>
                <w:szCs w:val="4"/>
                <w:color w:val="auto"/>
              </w:rPr>
            </w:pPr>
          </w:p>
        </w:tc>
        <w:tc>
          <w:tcPr>
            <w:tcW w:w="1700" w:type="dxa"/>
            <w:vAlign w:val="bottom"/>
            <w:tcBorders>
              <w:bottom w:val="single" w:sz="8" w:color="88888B"/>
            </w:tcBorders>
          </w:tcPr>
          <w:p>
            <w:pPr>
              <w:spacing w:after="0"/>
              <w:rPr>
                <w:sz w:val="4"/>
                <w:szCs w:val="4"/>
                <w:color w:val="auto"/>
              </w:rPr>
            </w:pPr>
          </w:p>
        </w:tc>
        <w:tc>
          <w:tcPr>
            <w:tcW w:w="1240" w:type="dxa"/>
            <w:vAlign w:val="bottom"/>
            <w:tcBorders>
              <w:bottom w:val="single" w:sz="8" w:color="88888B"/>
            </w:tcBorders>
          </w:tcPr>
          <w:p>
            <w:pPr>
              <w:spacing w:after="0"/>
              <w:rPr>
                <w:sz w:val="4"/>
                <w:szCs w:val="4"/>
                <w:color w:val="auto"/>
              </w:rPr>
            </w:pPr>
          </w:p>
        </w:tc>
      </w:tr>
      <w:tr>
        <w:trPr>
          <w:trHeight w:val="221"/>
        </w:trPr>
        <w:tc>
          <w:tcPr>
            <w:tcW w:w="6040" w:type="dxa"/>
            <w:vAlign w:val="bottom"/>
            <w:tcBorders>
              <w:bottom w:val="single" w:sz="8" w:color="88888B"/>
            </w:tcBorders>
            <w:shd w:val="clear" w:color="auto" w:fill="CCEEFF"/>
          </w:tcPr>
          <w:p>
            <w:pPr>
              <w:ind w:left="120"/>
              <w:spacing w:after="0"/>
              <w:rPr>
                <w:sz w:val="20"/>
                <w:szCs w:val="20"/>
                <w:color w:val="auto"/>
              </w:rPr>
            </w:pPr>
            <w:r>
              <w:rPr>
                <w:rFonts w:ascii="Arial" w:cs="Arial" w:eastAsia="Arial" w:hAnsi="Arial"/>
                <w:sz w:val="14"/>
                <w:szCs w:val="14"/>
                <w:color w:val="55565A"/>
              </w:rPr>
              <w:t>Net earnings</w:t>
            </w:r>
          </w:p>
        </w:tc>
        <w:tc>
          <w:tcPr>
            <w:tcW w:w="1940" w:type="dxa"/>
            <w:vAlign w:val="bottom"/>
            <w:tcBorders>
              <w:bottom w:val="single" w:sz="8" w:color="88888B"/>
            </w:tcBorders>
            <w:shd w:val="clear" w:color="auto" w:fill="CCEEFF"/>
          </w:tcPr>
          <w:p>
            <w:pPr>
              <w:spacing w:after="0"/>
              <w:rPr>
                <w:sz w:val="19"/>
                <w:szCs w:val="19"/>
                <w:color w:val="auto"/>
              </w:rPr>
            </w:pPr>
          </w:p>
        </w:tc>
        <w:tc>
          <w:tcPr>
            <w:tcW w:w="1700" w:type="dxa"/>
            <w:vAlign w:val="bottom"/>
            <w:tcBorders>
              <w:bottom w:val="single" w:sz="8" w:color="88888B"/>
            </w:tcBorders>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478</w:t>
            </w:r>
          </w:p>
        </w:tc>
        <w:tc>
          <w:tcPr>
            <w:tcW w:w="1240" w:type="dxa"/>
            <w:vAlign w:val="bottom"/>
            <w:tcBorders>
              <w:bottom w:val="single" w:sz="8" w:color="88888B"/>
            </w:tcBorders>
            <w:shd w:val="clear" w:color="auto" w:fill="CCEEFF"/>
          </w:tcPr>
          <w:p>
            <w:pPr>
              <w:jc w:val="right"/>
              <w:ind w:right="209"/>
              <w:spacing w:after="0"/>
              <w:rPr>
                <w:sz w:val="20"/>
                <w:szCs w:val="20"/>
                <w:color w:val="auto"/>
              </w:rPr>
            </w:pPr>
            <w:r>
              <w:rPr>
                <w:rFonts w:ascii="Arial" w:cs="Arial" w:eastAsia="Arial" w:hAnsi="Arial"/>
                <w:sz w:val="14"/>
                <w:szCs w:val="14"/>
                <w:color w:val="55565A"/>
              </w:rPr>
              <w:t>756</w:t>
            </w:r>
          </w:p>
        </w:tc>
      </w:tr>
      <w:tr>
        <w:trPr>
          <w:trHeight w:val="220"/>
        </w:trPr>
        <w:tc>
          <w:tcPr>
            <w:tcW w:w="6040" w:type="dxa"/>
            <w:vAlign w:val="bottom"/>
          </w:tcPr>
          <w:p>
            <w:pPr>
              <w:ind w:left="120"/>
              <w:spacing w:after="0"/>
              <w:rPr>
                <w:sz w:val="20"/>
                <w:szCs w:val="20"/>
                <w:color w:val="auto"/>
              </w:rPr>
            </w:pPr>
            <w:r>
              <w:rPr>
                <w:rFonts w:ascii="Arial" w:cs="Arial" w:eastAsia="Arial" w:hAnsi="Arial"/>
                <w:sz w:val="14"/>
                <w:szCs w:val="14"/>
                <w:color w:val="55565A"/>
              </w:rPr>
              <w:t>Other comprehensive (loss) income:</w:t>
            </w:r>
          </w:p>
        </w:tc>
        <w:tc>
          <w:tcPr>
            <w:tcW w:w="1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8"/>
        </w:trPr>
        <w:tc>
          <w:tcPr>
            <w:tcW w:w="60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07"/>
        </w:trPr>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55565A"/>
              </w:rPr>
              <w:t>Items that have been or may be subsequently reclassified to net earnings:</w:t>
            </w:r>
          </w:p>
        </w:tc>
        <w:tc>
          <w:tcPr>
            <w:tcW w:w="19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39"/>
        </w:trPr>
        <w:tc>
          <w:tcPr>
            <w:tcW w:w="6040" w:type="dxa"/>
            <w:vAlign w:val="bottom"/>
          </w:tcPr>
          <w:p>
            <w:pPr>
              <w:ind w:left="260"/>
              <w:spacing w:after="0"/>
              <w:rPr>
                <w:sz w:val="20"/>
                <w:szCs w:val="20"/>
                <w:color w:val="auto"/>
              </w:rPr>
            </w:pPr>
            <w:r>
              <w:rPr>
                <w:rFonts w:ascii="Arial" w:cs="Arial" w:eastAsia="Arial" w:hAnsi="Arial"/>
                <w:sz w:val="14"/>
                <w:szCs w:val="14"/>
                <w:color w:val="55565A"/>
              </w:rPr>
              <w:t>Cash flow hedges adjustments to net earnings</w:t>
            </w:r>
          </w:p>
        </w:tc>
        <w:tc>
          <w:tcPr>
            <w:tcW w:w="1940" w:type="dxa"/>
            <w:vAlign w:val="bottom"/>
          </w:tcPr>
          <w:p>
            <w:pPr>
              <w:jc w:val="right"/>
              <w:ind w:right="449"/>
              <w:spacing w:after="0"/>
              <w:rPr>
                <w:sz w:val="20"/>
                <w:szCs w:val="20"/>
                <w:color w:val="auto"/>
              </w:rPr>
            </w:pPr>
            <w:r>
              <w:rPr>
                <w:rFonts w:ascii="Arial" w:cs="Arial" w:eastAsia="Arial" w:hAnsi="Arial"/>
                <w:sz w:val="14"/>
                <w:szCs w:val="14"/>
                <w:color w:val="55565A"/>
              </w:rPr>
              <w:t>7</w:t>
            </w:r>
          </w:p>
        </w:tc>
        <w:tc>
          <w:tcPr>
            <w:tcW w:w="1700" w:type="dxa"/>
            <w:vAlign w:val="bottom"/>
          </w:tcPr>
          <w:p>
            <w:pPr>
              <w:jc w:val="right"/>
              <w:ind w:right="569"/>
              <w:spacing w:after="0"/>
              <w:rPr>
                <w:sz w:val="20"/>
                <w:szCs w:val="20"/>
                <w:color w:val="auto"/>
              </w:rPr>
            </w:pPr>
            <w:r>
              <w:rPr>
                <w:rFonts w:ascii="Arial" w:cs="Arial" w:eastAsia="Arial" w:hAnsi="Arial"/>
                <w:sz w:val="14"/>
                <w:szCs w:val="14"/>
                <w:b w:val="1"/>
                <w:bCs w:val="1"/>
                <w:color w:val="55565A"/>
              </w:rPr>
              <w:t>30</w:t>
            </w:r>
          </w:p>
        </w:tc>
        <w:tc>
          <w:tcPr>
            <w:tcW w:w="1240" w:type="dxa"/>
            <w:vAlign w:val="bottom"/>
          </w:tcPr>
          <w:p>
            <w:pPr>
              <w:jc w:val="right"/>
              <w:ind w:right="209"/>
              <w:spacing w:after="0"/>
              <w:rPr>
                <w:sz w:val="20"/>
                <w:szCs w:val="20"/>
                <w:color w:val="auto"/>
              </w:rPr>
            </w:pPr>
            <w:r>
              <w:rPr>
                <w:rFonts w:ascii="Arial" w:cs="Arial" w:eastAsia="Arial" w:hAnsi="Arial"/>
                <w:sz w:val="14"/>
                <w:szCs w:val="14"/>
                <w:color w:val="55565A"/>
              </w:rPr>
              <w:t>(2)</w:t>
            </w:r>
          </w:p>
        </w:tc>
      </w:tr>
      <w:tr>
        <w:trPr>
          <w:trHeight w:val="42"/>
        </w:trPr>
        <w:tc>
          <w:tcPr>
            <w:tcW w:w="60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27"/>
        </w:trPr>
        <w:tc>
          <w:tcPr>
            <w:tcW w:w="6040" w:type="dxa"/>
            <w:vAlign w:val="bottom"/>
            <w:shd w:val="clear" w:color="auto" w:fill="CCEEFF"/>
          </w:tcPr>
          <w:p>
            <w:pPr>
              <w:ind w:left="260"/>
              <w:spacing w:after="0"/>
              <w:rPr>
                <w:sz w:val="20"/>
                <w:szCs w:val="20"/>
                <w:color w:val="auto"/>
              </w:rPr>
            </w:pPr>
            <w:r>
              <w:rPr>
                <w:rFonts w:ascii="Arial" w:cs="Arial" w:eastAsia="Arial" w:hAnsi="Arial"/>
                <w:sz w:val="14"/>
                <w:szCs w:val="14"/>
                <w:color w:val="55565A"/>
              </w:rPr>
              <w:t>Cash flow hedges adjustments to equity</w:t>
            </w:r>
          </w:p>
        </w:tc>
        <w:tc>
          <w:tcPr>
            <w:tcW w:w="19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(21)</w:t>
            </w:r>
          </w:p>
        </w:tc>
        <w:tc>
          <w:tcPr>
            <w:tcW w:w="12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w:t>
            </w:r>
          </w:p>
        </w:tc>
      </w:tr>
      <w:tr>
        <w:trPr>
          <w:trHeight w:val="254"/>
        </w:trPr>
        <w:tc>
          <w:tcPr>
            <w:tcW w:w="6040" w:type="dxa"/>
            <w:vAlign w:val="bottom"/>
            <w:tcBorders>
              <w:bottom w:val="single" w:sz="8" w:color="88888B"/>
            </w:tcBorders>
          </w:tcPr>
          <w:p>
            <w:pPr>
              <w:ind w:left="260"/>
              <w:spacing w:after="0"/>
              <w:rPr>
                <w:sz w:val="20"/>
                <w:szCs w:val="20"/>
                <w:color w:val="auto"/>
              </w:rPr>
            </w:pPr>
            <w:r>
              <w:rPr>
                <w:rFonts w:ascii="Arial" w:cs="Arial" w:eastAsia="Arial" w:hAnsi="Arial"/>
                <w:sz w:val="14"/>
                <w:szCs w:val="14"/>
                <w:color w:val="55565A"/>
              </w:rPr>
              <w:t>Foreign currency translation adjustments to equity</w:t>
            </w:r>
          </w:p>
        </w:tc>
        <w:tc>
          <w:tcPr>
            <w:tcW w:w="1940" w:type="dxa"/>
            <w:vAlign w:val="bottom"/>
            <w:tcBorders>
              <w:bottom w:val="single" w:sz="8" w:color="88888B"/>
            </w:tcBorders>
          </w:tcPr>
          <w:p>
            <w:pPr>
              <w:spacing w:after="0"/>
              <w:rPr>
                <w:sz w:val="22"/>
                <w:szCs w:val="22"/>
                <w:color w:val="auto"/>
              </w:rPr>
            </w:pPr>
          </w:p>
        </w:tc>
        <w:tc>
          <w:tcPr>
            <w:tcW w:w="1700" w:type="dxa"/>
            <w:vAlign w:val="bottom"/>
            <w:tcBorders>
              <w:bottom w:val="single" w:sz="8" w:color="88888B"/>
            </w:tcBorders>
          </w:tcPr>
          <w:p>
            <w:pPr>
              <w:jc w:val="right"/>
              <w:ind w:right="569"/>
              <w:spacing w:after="0"/>
              <w:rPr>
                <w:sz w:val="20"/>
                <w:szCs w:val="20"/>
                <w:color w:val="auto"/>
              </w:rPr>
            </w:pPr>
            <w:r>
              <w:rPr>
                <w:rFonts w:ascii="Arial" w:cs="Arial" w:eastAsia="Arial" w:hAnsi="Arial"/>
                <w:sz w:val="14"/>
                <w:szCs w:val="14"/>
                <w:b w:val="1"/>
                <w:bCs w:val="1"/>
                <w:color w:val="55565A"/>
              </w:rPr>
              <w:t>(71)</w:t>
            </w:r>
          </w:p>
        </w:tc>
        <w:tc>
          <w:tcPr>
            <w:tcW w:w="1240" w:type="dxa"/>
            <w:vAlign w:val="bottom"/>
            <w:tcBorders>
              <w:bottom w:val="single" w:sz="8" w:color="88888B"/>
            </w:tcBorders>
          </w:tcPr>
          <w:p>
            <w:pPr>
              <w:jc w:val="right"/>
              <w:ind w:right="209"/>
              <w:spacing w:after="0"/>
              <w:rPr>
                <w:sz w:val="20"/>
                <w:szCs w:val="20"/>
                <w:color w:val="auto"/>
              </w:rPr>
            </w:pPr>
            <w:r>
              <w:rPr>
                <w:rFonts w:ascii="Arial" w:cs="Arial" w:eastAsia="Arial" w:hAnsi="Arial"/>
                <w:sz w:val="14"/>
                <w:szCs w:val="14"/>
                <w:color w:val="55565A"/>
              </w:rPr>
              <w:t>69</w:t>
            </w:r>
          </w:p>
        </w:tc>
      </w:tr>
      <w:tr>
        <w:trPr>
          <w:trHeight w:val="227"/>
        </w:trPr>
        <w:tc>
          <w:tcPr>
            <w:tcW w:w="6040" w:type="dxa"/>
            <w:vAlign w:val="bottom"/>
            <w:tcBorders>
              <w:bottom w:val="single" w:sz="8" w:color="88888B"/>
            </w:tcBorders>
            <w:shd w:val="clear" w:color="auto" w:fill="CCEEFF"/>
          </w:tcPr>
          <w:p>
            <w:pPr>
              <w:spacing w:after="0"/>
              <w:rPr>
                <w:sz w:val="19"/>
                <w:szCs w:val="19"/>
                <w:color w:val="auto"/>
              </w:rPr>
            </w:pPr>
          </w:p>
        </w:tc>
        <w:tc>
          <w:tcPr>
            <w:tcW w:w="1940" w:type="dxa"/>
            <w:vAlign w:val="bottom"/>
            <w:tcBorders>
              <w:bottom w:val="single" w:sz="8" w:color="88888B"/>
            </w:tcBorders>
            <w:shd w:val="clear" w:color="auto" w:fill="CCEEFF"/>
          </w:tcPr>
          <w:p>
            <w:pPr>
              <w:spacing w:after="0"/>
              <w:rPr>
                <w:sz w:val="19"/>
                <w:szCs w:val="19"/>
                <w:color w:val="auto"/>
              </w:rPr>
            </w:pPr>
          </w:p>
        </w:tc>
        <w:tc>
          <w:tcPr>
            <w:tcW w:w="1700" w:type="dxa"/>
            <w:vAlign w:val="bottom"/>
            <w:tcBorders>
              <w:bottom w:val="single" w:sz="8" w:color="88888B"/>
            </w:tcBorders>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(62)</w:t>
            </w:r>
          </w:p>
        </w:tc>
        <w:tc>
          <w:tcPr>
            <w:tcW w:w="1240" w:type="dxa"/>
            <w:vAlign w:val="bottom"/>
            <w:tcBorders>
              <w:bottom w:val="single" w:sz="8" w:color="88888B"/>
            </w:tcBorders>
            <w:shd w:val="clear" w:color="auto" w:fill="CCEEFF"/>
          </w:tcPr>
          <w:p>
            <w:pPr>
              <w:jc w:val="right"/>
              <w:ind w:right="209"/>
              <w:spacing w:after="0"/>
              <w:rPr>
                <w:sz w:val="20"/>
                <w:szCs w:val="20"/>
                <w:color w:val="auto"/>
              </w:rPr>
            </w:pPr>
            <w:r>
              <w:rPr>
                <w:rFonts w:ascii="Arial" w:cs="Arial" w:eastAsia="Arial" w:hAnsi="Arial"/>
                <w:sz w:val="14"/>
                <w:szCs w:val="14"/>
                <w:color w:val="55565A"/>
              </w:rPr>
              <w:t>66</w:t>
            </w:r>
          </w:p>
        </w:tc>
      </w:tr>
      <w:tr>
        <w:trPr>
          <w:trHeight w:val="220"/>
        </w:trPr>
        <w:tc>
          <w:tcPr>
            <w:tcW w:w="6040" w:type="dxa"/>
            <w:vAlign w:val="bottom"/>
          </w:tcPr>
          <w:p>
            <w:pPr>
              <w:ind w:left="120"/>
              <w:spacing w:after="0"/>
              <w:rPr>
                <w:sz w:val="20"/>
                <w:szCs w:val="20"/>
                <w:color w:val="auto"/>
              </w:rPr>
            </w:pPr>
            <w:r>
              <w:rPr>
                <w:rFonts w:ascii="Arial" w:cs="Arial" w:eastAsia="Arial" w:hAnsi="Arial"/>
                <w:sz w:val="14"/>
                <w:szCs w:val="14"/>
                <w:color w:val="55565A"/>
              </w:rPr>
              <w:t>Items that will not be reclassified to net earnings:</w:t>
            </w:r>
          </w:p>
        </w:tc>
        <w:tc>
          <w:tcPr>
            <w:tcW w:w="1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8"/>
        </w:trPr>
        <w:tc>
          <w:tcPr>
            <w:tcW w:w="60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7"/>
        </w:trPr>
        <w:tc>
          <w:tcPr>
            <w:tcW w:w="6040" w:type="dxa"/>
            <w:vAlign w:val="bottom"/>
            <w:shd w:val="clear" w:color="auto" w:fill="CCEEFF"/>
          </w:tcPr>
          <w:p>
            <w:pPr>
              <w:ind w:left="260"/>
              <w:spacing w:after="0"/>
              <w:rPr>
                <w:sz w:val="20"/>
                <w:szCs w:val="20"/>
                <w:color w:val="auto"/>
              </w:rPr>
            </w:pPr>
            <w:r>
              <w:rPr>
                <w:rFonts w:ascii="Arial" w:cs="Arial" w:eastAsia="Arial" w:hAnsi="Arial"/>
                <w:sz w:val="14"/>
                <w:szCs w:val="14"/>
                <w:color w:val="55565A"/>
              </w:rPr>
              <w:t>Fair value adjustments on financial assets</w:t>
            </w:r>
          </w:p>
        </w:tc>
        <w:tc>
          <w:tcPr>
            <w:tcW w:w="194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11</w:t>
            </w:r>
          </w:p>
        </w:tc>
        <w:tc>
          <w:tcPr>
            <w:tcW w:w="170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1</w:t>
            </w:r>
          </w:p>
        </w:tc>
        <w:tc>
          <w:tcPr>
            <w:tcW w:w="12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(1)</w:t>
            </w:r>
          </w:p>
        </w:tc>
      </w:tr>
      <w:tr>
        <w:trPr>
          <w:trHeight w:val="239"/>
        </w:trPr>
        <w:tc>
          <w:tcPr>
            <w:tcW w:w="6040" w:type="dxa"/>
            <w:vAlign w:val="bottom"/>
          </w:tcPr>
          <w:p>
            <w:pPr>
              <w:ind w:left="260"/>
              <w:spacing w:after="0"/>
              <w:rPr>
                <w:sz w:val="20"/>
                <w:szCs w:val="20"/>
                <w:color w:val="auto"/>
              </w:rPr>
            </w:pPr>
            <w:r>
              <w:rPr>
                <w:rFonts w:ascii="Arial" w:cs="Arial" w:eastAsia="Arial" w:hAnsi="Arial"/>
                <w:sz w:val="14"/>
                <w:szCs w:val="14"/>
                <w:color w:val="55565A"/>
              </w:rPr>
              <w:t>Remeasurement on defined benefit pension plans</w:t>
            </w:r>
          </w:p>
        </w:tc>
        <w:tc>
          <w:tcPr>
            <w:tcW w:w="1940" w:type="dxa"/>
            <w:vAlign w:val="bottom"/>
          </w:tcPr>
          <w:p>
            <w:pPr>
              <w:spacing w:after="0"/>
              <w:rPr>
                <w:sz w:val="20"/>
                <w:szCs w:val="20"/>
                <w:color w:val="auto"/>
              </w:rPr>
            </w:pPr>
          </w:p>
        </w:tc>
        <w:tc>
          <w:tcPr>
            <w:tcW w:w="1700" w:type="dxa"/>
            <w:vAlign w:val="bottom"/>
          </w:tcPr>
          <w:p>
            <w:pPr>
              <w:jc w:val="right"/>
              <w:ind w:right="569"/>
              <w:spacing w:after="0"/>
              <w:rPr>
                <w:sz w:val="20"/>
                <w:szCs w:val="20"/>
                <w:color w:val="auto"/>
              </w:rPr>
            </w:pPr>
            <w:r>
              <w:rPr>
                <w:rFonts w:ascii="Arial" w:cs="Arial" w:eastAsia="Arial" w:hAnsi="Arial"/>
                <w:sz w:val="14"/>
                <w:szCs w:val="14"/>
                <w:b w:val="1"/>
                <w:bCs w:val="1"/>
                <w:color w:val="55565A"/>
              </w:rPr>
              <w:t>17</w:t>
            </w:r>
          </w:p>
        </w:tc>
        <w:tc>
          <w:tcPr>
            <w:tcW w:w="1240" w:type="dxa"/>
            <w:vAlign w:val="bottom"/>
          </w:tcPr>
          <w:p>
            <w:pPr>
              <w:jc w:val="right"/>
              <w:ind w:right="209"/>
              <w:spacing w:after="0"/>
              <w:rPr>
                <w:sz w:val="20"/>
                <w:szCs w:val="20"/>
                <w:color w:val="auto"/>
              </w:rPr>
            </w:pPr>
            <w:r>
              <w:rPr>
                <w:rFonts w:ascii="Arial" w:cs="Arial" w:eastAsia="Arial" w:hAnsi="Arial"/>
                <w:sz w:val="14"/>
                <w:szCs w:val="14"/>
                <w:color w:val="55565A"/>
              </w:rPr>
              <w:t>5</w:t>
            </w:r>
          </w:p>
        </w:tc>
      </w:tr>
      <w:tr>
        <w:trPr>
          <w:trHeight w:val="42"/>
        </w:trPr>
        <w:tc>
          <w:tcPr>
            <w:tcW w:w="60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21"/>
        </w:trPr>
        <w:tc>
          <w:tcPr>
            <w:tcW w:w="6040" w:type="dxa"/>
            <w:vAlign w:val="bottom"/>
            <w:tcBorders>
              <w:bottom w:val="single" w:sz="8" w:color="88888B"/>
            </w:tcBorders>
            <w:shd w:val="clear" w:color="auto" w:fill="CCEEFF"/>
          </w:tcPr>
          <w:p>
            <w:pPr>
              <w:ind w:left="260"/>
              <w:spacing w:after="0"/>
              <w:rPr>
                <w:sz w:val="20"/>
                <w:szCs w:val="20"/>
                <w:color w:val="auto"/>
              </w:rPr>
            </w:pPr>
            <w:r>
              <w:rPr>
                <w:rFonts w:ascii="Arial" w:cs="Arial" w:eastAsia="Arial" w:hAnsi="Arial"/>
                <w:sz w:val="14"/>
                <w:szCs w:val="14"/>
                <w:color w:val="55565A"/>
              </w:rPr>
              <w:t>Related tax expense on remeasurement on defined benefit pension plans</w:t>
            </w:r>
          </w:p>
        </w:tc>
        <w:tc>
          <w:tcPr>
            <w:tcW w:w="1940" w:type="dxa"/>
            <w:vAlign w:val="bottom"/>
            <w:tcBorders>
              <w:bottom w:val="single" w:sz="8" w:color="88888B"/>
            </w:tcBorders>
            <w:shd w:val="clear" w:color="auto" w:fill="CCEEFF"/>
          </w:tcPr>
          <w:p>
            <w:pPr>
              <w:spacing w:after="0"/>
              <w:rPr>
                <w:sz w:val="19"/>
                <w:szCs w:val="19"/>
                <w:color w:val="auto"/>
              </w:rPr>
            </w:pPr>
          </w:p>
        </w:tc>
        <w:tc>
          <w:tcPr>
            <w:tcW w:w="1700" w:type="dxa"/>
            <w:vAlign w:val="bottom"/>
            <w:tcBorders>
              <w:bottom w:val="single" w:sz="8" w:color="88888B"/>
            </w:tcBorders>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(4)</w:t>
            </w:r>
          </w:p>
        </w:tc>
        <w:tc>
          <w:tcPr>
            <w:tcW w:w="1240" w:type="dxa"/>
            <w:vAlign w:val="bottom"/>
            <w:tcBorders>
              <w:bottom w:val="single" w:sz="8" w:color="88888B"/>
            </w:tcBorders>
            <w:shd w:val="clear" w:color="auto" w:fill="CCEEFF"/>
          </w:tcPr>
          <w:p>
            <w:pPr>
              <w:jc w:val="right"/>
              <w:ind w:right="209"/>
              <w:spacing w:after="0"/>
              <w:rPr>
                <w:sz w:val="20"/>
                <w:szCs w:val="20"/>
                <w:color w:val="auto"/>
              </w:rPr>
            </w:pPr>
            <w:r>
              <w:rPr>
                <w:rFonts w:ascii="Arial" w:cs="Arial" w:eastAsia="Arial" w:hAnsi="Arial"/>
                <w:sz w:val="14"/>
                <w:szCs w:val="14"/>
                <w:color w:val="55565A"/>
              </w:rPr>
              <w:t>(1)</w:t>
            </w:r>
          </w:p>
        </w:tc>
      </w:tr>
      <w:tr>
        <w:trPr>
          <w:trHeight w:val="241"/>
        </w:trPr>
        <w:tc>
          <w:tcPr>
            <w:tcW w:w="6040" w:type="dxa"/>
            <w:vAlign w:val="bottom"/>
            <w:tcBorders>
              <w:bottom w:val="single" w:sz="8" w:color="88888B"/>
            </w:tcBorders>
          </w:tcPr>
          <w:p>
            <w:pPr>
              <w:spacing w:after="0"/>
              <w:rPr>
                <w:sz w:val="20"/>
                <w:szCs w:val="20"/>
                <w:color w:val="auto"/>
              </w:rPr>
            </w:pPr>
          </w:p>
        </w:tc>
        <w:tc>
          <w:tcPr>
            <w:tcW w:w="1940" w:type="dxa"/>
            <w:vAlign w:val="bottom"/>
            <w:tcBorders>
              <w:bottom w:val="single" w:sz="8" w:color="88888B"/>
            </w:tcBorders>
          </w:tcPr>
          <w:p>
            <w:pPr>
              <w:spacing w:after="0"/>
              <w:rPr>
                <w:sz w:val="20"/>
                <w:szCs w:val="20"/>
                <w:color w:val="auto"/>
              </w:rPr>
            </w:pPr>
          </w:p>
        </w:tc>
        <w:tc>
          <w:tcPr>
            <w:tcW w:w="1700" w:type="dxa"/>
            <w:vAlign w:val="bottom"/>
            <w:tcBorders>
              <w:bottom w:val="single" w:sz="8" w:color="88888B"/>
            </w:tcBorders>
          </w:tcPr>
          <w:p>
            <w:pPr>
              <w:jc w:val="right"/>
              <w:ind w:right="569"/>
              <w:spacing w:after="0"/>
              <w:rPr>
                <w:sz w:val="20"/>
                <w:szCs w:val="20"/>
                <w:color w:val="auto"/>
              </w:rPr>
            </w:pPr>
            <w:r>
              <w:rPr>
                <w:rFonts w:ascii="Arial" w:cs="Arial" w:eastAsia="Arial" w:hAnsi="Arial"/>
                <w:sz w:val="14"/>
                <w:szCs w:val="14"/>
                <w:b w:val="1"/>
                <w:bCs w:val="1"/>
                <w:color w:val="55565A"/>
              </w:rPr>
              <w:t>14</w:t>
            </w:r>
          </w:p>
        </w:tc>
        <w:tc>
          <w:tcPr>
            <w:tcW w:w="1240" w:type="dxa"/>
            <w:vAlign w:val="bottom"/>
            <w:tcBorders>
              <w:bottom w:val="single" w:sz="8" w:color="88888B"/>
            </w:tcBorders>
          </w:tcPr>
          <w:p>
            <w:pPr>
              <w:jc w:val="right"/>
              <w:ind w:right="209"/>
              <w:spacing w:after="0"/>
              <w:rPr>
                <w:sz w:val="20"/>
                <w:szCs w:val="20"/>
                <w:color w:val="auto"/>
              </w:rPr>
            </w:pPr>
            <w:r>
              <w:rPr>
                <w:rFonts w:ascii="Arial" w:cs="Arial" w:eastAsia="Arial" w:hAnsi="Arial"/>
                <w:sz w:val="14"/>
                <w:szCs w:val="14"/>
                <w:color w:val="55565A"/>
              </w:rPr>
              <w:t>3</w:t>
            </w:r>
          </w:p>
        </w:tc>
      </w:tr>
      <w:tr>
        <w:trPr>
          <w:trHeight w:val="227"/>
        </w:trPr>
        <w:tc>
          <w:tcPr>
            <w:tcW w:w="6040" w:type="dxa"/>
            <w:vAlign w:val="bottom"/>
            <w:tcBorders>
              <w:bottom w:val="single" w:sz="8" w:color="88888B"/>
            </w:tcBorders>
            <w:shd w:val="clear" w:color="auto" w:fill="CCEEFF"/>
          </w:tcPr>
          <w:p>
            <w:pPr>
              <w:ind w:left="120"/>
              <w:spacing w:after="0"/>
              <w:rPr>
                <w:sz w:val="20"/>
                <w:szCs w:val="20"/>
                <w:color w:val="auto"/>
              </w:rPr>
            </w:pPr>
            <w:r>
              <w:rPr>
                <w:rFonts w:ascii="Arial" w:cs="Arial" w:eastAsia="Arial" w:hAnsi="Arial"/>
                <w:sz w:val="14"/>
                <w:szCs w:val="14"/>
                <w:color w:val="55565A"/>
              </w:rPr>
              <w:t>Other comprehensive (loss) income</w:t>
            </w:r>
          </w:p>
        </w:tc>
        <w:tc>
          <w:tcPr>
            <w:tcW w:w="1940" w:type="dxa"/>
            <w:vAlign w:val="bottom"/>
            <w:tcBorders>
              <w:bottom w:val="single" w:sz="8" w:color="88888B"/>
            </w:tcBorders>
            <w:shd w:val="clear" w:color="auto" w:fill="CCEEFF"/>
          </w:tcPr>
          <w:p>
            <w:pPr>
              <w:spacing w:after="0"/>
              <w:rPr>
                <w:sz w:val="19"/>
                <w:szCs w:val="19"/>
                <w:color w:val="auto"/>
              </w:rPr>
            </w:pPr>
          </w:p>
        </w:tc>
        <w:tc>
          <w:tcPr>
            <w:tcW w:w="1700" w:type="dxa"/>
            <w:vAlign w:val="bottom"/>
            <w:tcBorders>
              <w:bottom w:val="single" w:sz="8" w:color="88888B"/>
            </w:tcBorders>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(48)</w:t>
            </w:r>
          </w:p>
        </w:tc>
        <w:tc>
          <w:tcPr>
            <w:tcW w:w="1240" w:type="dxa"/>
            <w:vAlign w:val="bottom"/>
            <w:tcBorders>
              <w:bottom w:val="single" w:sz="8" w:color="88888B"/>
            </w:tcBorders>
            <w:shd w:val="clear" w:color="auto" w:fill="CCEEFF"/>
          </w:tcPr>
          <w:p>
            <w:pPr>
              <w:jc w:val="right"/>
              <w:ind w:right="209"/>
              <w:spacing w:after="0"/>
              <w:rPr>
                <w:sz w:val="20"/>
                <w:szCs w:val="20"/>
                <w:color w:val="auto"/>
              </w:rPr>
            </w:pPr>
            <w:r>
              <w:rPr>
                <w:rFonts w:ascii="Arial" w:cs="Arial" w:eastAsia="Arial" w:hAnsi="Arial"/>
                <w:sz w:val="14"/>
                <w:szCs w:val="14"/>
                <w:color w:val="55565A"/>
              </w:rPr>
              <w:t>69</w:t>
            </w:r>
          </w:p>
        </w:tc>
      </w:tr>
      <w:tr>
        <w:trPr>
          <w:trHeight w:val="241"/>
        </w:trPr>
        <w:tc>
          <w:tcPr>
            <w:tcW w:w="6040" w:type="dxa"/>
            <w:vAlign w:val="bottom"/>
            <w:tcBorders>
              <w:bottom w:val="single" w:sz="8" w:color="88888B"/>
            </w:tcBorders>
          </w:tcPr>
          <w:p>
            <w:pPr>
              <w:ind w:left="120"/>
              <w:spacing w:after="0"/>
              <w:rPr>
                <w:sz w:val="20"/>
                <w:szCs w:val="20"/>
                <w:color w:val="auto"/>
              </w:rPr>
            </w:pPr>
            <w:r>
              <w:rPr>
                <w:rFonts w:ascii="Arial" w:cs="Arial" w:eastAsia="Arial" w:hAnsi="Arial"/>
                <w:sz w:val="14"/>
                <w:szCs w:val="14"/>
                <w:color w:val="55565A"/>
              </w:rPr>
              <w:t>Total comprehensive income</w:t>
            </w:r>
          </w:p>
        </w:tc>
        <w:tc>
          <w:tcPr>
            <w:tcW w:w="1940" w:type="dxa"/>
            <w:vAlign w:val="bottom"/>
            <w:tcBorders>
              <w:bottom w:val="single" w:sz="8" w:color="88888B"/>
            </w:tcBorders>
          </w:tcPr>
          <w:p>
            <w:pPr>
              <w:spacing w:after="0"/>
              <w:rPr>
                <w:sz w:val="20"/>
                <w:szCs w:val="20"/>
                <w:color w:val="auto"/>
              </w:rPr>
            </w:pPr>
          </w:p>
        </w:tc>
        <w:tc>
          <w:tcPr>
            <w:tcW w:w="1700" w:type="dxa"/>
            <w:vAlign w:val="bottom"/>
            <w:tcBorders>
              <w:bottom w:val="single" w:sz="8" w:color="88888B"/>
            </w:tcBorders>
          </w:tcPr>
          <w:p>
            <w:pPr>
              <w:jc w:val="right"/>
              <w:ind w:right="569"/>
              <w:spacing w:after="0"/>
              <w:rPr>
                <w:sz w:val="20"/>
                <w:szCs w:val="20"/>
                <w:color w:val="auto"/>
              </w:rPr>
            </w:pPr>
            <w:r>
              <w:rPr>
                <w:rFonts w:ascii="Arial" w:cs="Arial" w:eastAsia="Arial" w:hAnsi="Arial"/>
                <w:sz w:val="14"/>
                <w:szCs w:val="14"/>
                <w:b w:val="1"/>
                <w:bCs w:val="1"/>
                <w:color w:val="55565A"/>
              </w:rPr>
              <w:t>430</w:t>
            </w:r>
          </w:p>
        </w:tc>
        <w:tc>
          <w:tcPr>
            <w:tcW w:w="1240" w:type="dxa"/>
            <w:vAlign w:val="bottom"/>
            <w:tcBorders>
              <w:bottom w:val="single" w:sz="8" w:color="88888B"/>
            </w:tcBorders>
          </w:tcPr>
          <w:p>
            <w:pPr>
              <w:jc w:val="right"/>
              <w:ind w:right="209"/>
              <w:spacing w:after="0"/>
              <w:rPr>
                <w:sz w:val="20"/>
                <w:szCs w:val="20"/>
                <w:color w:val="auto"/>
              </w:rPr>
            </w:pPr>
            <w:r>
              <w:rPr>
                <w:rFonts w:ascii="Arial" w:cs="Arial" w:eastAsia="Arial" w:hAnsi="Arial"/>
                <w:sz w:val="14"/>
                <w:szCs w:val="14"/>
                <w:color w:val="55565A"/>
              </w:rPr>
              <w:t>825</w:t>
            </w:r>
          </w:p>
        </w:tc>
      </w:tr>
      <w:tr>
        <w:trPr>
          <w:trHeight w:val="214"/>
        </w:trPr>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55565A"/>
              </w:rPr>
              <w:t>Comprehensive income (loss) for the period attributable to:</w:t>
            </w:r>
          </w:p>
        </w:tc>
        <w:tc>
          <w:tcPr>
            <w:tcW w:w="19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33"/>
        </w:trPr>
        <w:tc>
          <w:tcPr>
            <w:tcW w:w="6040" w:type="dxa"/>
            <w:vAlign w:val="bottom"/>
          </w:tcPr>
          <w:p>
            <w:pPr>
              <w:ind w:left="120"/>
              <w:spacing w:after="0"/>
              <w:rPr>
                <w:sz w:val="20"/>
                <w:szCs w:val="20"/>
                <w:color w:val="auto"/>
              </w:rPr>
            </w:pPr>
            <w:r>
              <w:rPr>
                <w:rFonts w:ascii="Arial" w:cs="Arial" w:eastAsia="Arial" w:hAnsi="Arial"/>
                <w:sz w:val="14"/>
                <w:szCs w:val="14"/>
                <w:color w:val="55565A"/>
              </w:rPr>
              <w:t>Common shareholders:</w:t>
            </w:r>
          </w:p>
        </w:tc>
        <w:tc>
          <w:tcPr>
            <w:tcW w:w="1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8"/>
        </w:trPr>
        <w:tc>
          <w:tcPr>
            <w:tcW w:w="60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7"/>
        </w:trPr>
        <w:tc>
          <w:tcPr>
            <w:tcW w:w="6040" w:type="dxa"/>
            <w:vAlign w:val="bottom"/>
            <w:shd w:val="clear" w:color="auto" w:fill="CCEEFF"/>
          </w:tcPr>
          <w:p>
            <w:pPr>
              <w:ind w:left="400"/>
              <w:spacing w:after="0"/>
              <w:rPr>
                <w:sz w:val="20"/>
                <w:szCs w:val="20"/>
                <w:color w:val="auto"/>
              </w:rPr>
            </w:pPr>
            <w:r>
              <w:rPr>
                <w:rFonts w:ascii="Arial" w:cs="Arial" w:eastAsia="Arial" w:hAnsi="Arial"/>
                <w:sz w:val="14"/>
                <w:szCs w:val="14"/>
                <w:color w:val="55565A"/>
              </w:rPr>
              <w:t>Continuing operations</w:t>
            </w:r>
          </w:p>
        </w:tc>
        <w:tc>
          <w:tcPr>
            <w:tcW w:w="19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424</w:t>
            </w:r>
          </w:p>
        </w:tc>
        <w:tc>
          <w:tcPr>
            <w:tcW w:w="12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5565A"/>
              </w:rPr>
              <w:t>806</w:t>
            </w:r>
          </w:p>
        </w:tc>
      </w:tr>
      <w:tr>
        <w:trPr>
          <w:trHeight w:val="239"/>
        </w:trPr>
        <w:tc>
          <w:tcPr>
            <w:tcW w:w="6040" w:type="dxa"/>
            <w:vAlign w:val="bottom"/>
          </w:tcPr>
          <w:p>
            <w:pPr>
              <w:ind w:left="400"/>
              <w:spacing w:after="0"/>
              <w:rPr>
                <w:sz w:val="20"/>
                <w:szCs w:val="20"/>
                <w:color w:val="auto"/>
              </w:rPr>
            </w:pPr>
            <w:r>
              <w:rPr>
                <w:rFonts w:ascii="Arial" w:cs="Arial" w:eastAsia="Arial" w:hAnsi="Arial"/>
                <w:sz w:val="14"/>
                <w:szCs w:val="14"/>
                <w:color w:val="55565A"/>
              </w:rPr>
              <w:t>Discontinued operations</w:t>
            </w:r>
          </w:p>
        </w:tc>
        <w:tc>
          <w:tcPr>
            <w:tcW w:w="1940" w:type="dxa"/>
            <w:vAlign w:val="bottom"/>
          </w:tcPr>
          <w:p>
            <w:pPr>
              <w:spacing w:after="0"/>
              <w:rPr>
                <w:sz w:val="20"/>
                <w:szCs w:val="20"/>
                <w:color w:val="auto"/>
              </w:rPr>
            </w:pPr>
          </w:p>
        </w:tc>
        <w:tc>
          <w:tcPr>
            <w:tcW w:w="1700" w:type="dxa"/>
            <w:vAlign w:val="bottom"/>
          </w:tcPr>
          <w:p>
            <w:pPr>
              <w:jc w:val="right"/>
              <w:ind w:right="569"/>
              <w:spacing w:after="0"/>
              <w:rPr>
                <w:sz w:val="20"/>
                <w:szCs w:val="20"/>
                <w:color w:val="auto"/>
              </w:rPr>
            </w:pPr>
            <w:r>
              <w:rPr>
                <w:rFonts w:ascii="Arial" w:cs="Arial" w:eastAsia="Arial" w:hAnsi="Arial"/>
                <w:sz w:val="14"/>
                <w:szCs w:val="14"/>
                <w:b w:val="1"/>
                <w:bCs w:val="1"/>
                <w:color w:val="55565A"/>
              </w:rPr>
              <w:t>14</w:t>
            </w:r>
          </w:p>
        </w:tc>
        <w:tc>
          <w:tcPr>
            <w:tcW w:w="1240" w:type="dxa"/>
            <w:vAlign w:val="bottom"/>
          </w:tcPr>
          <w:p>
            <w:pPr>
              <w:jc w:val="right"/>
              <w:ind w:right="209"/>
              <w:spacing w:after="0"/>
              <w:rPr>
                <w:sz w:val="20"/>
                <w:szCs w:val="20"/>
                <w:color w:val="auto"/>
              </w:rPr>
            </w:pPr>
            <w:r>
              <w:rPr>
                <w:rFonts w:ascii="Arial" w:cs="Arial" w:eastAsia="Arial" w:hAnsi="Arial"/>
                <w:sz w:val="14"/>
                <w:szCs w:val="14"/>
                <w:color w:val="55565A"/>
              </w:rPr>
              <w:t>19</w:t>
            </w:r>
          </w:p>
        </w:tc>
      </w:tr>
      <w:tr>
        <w:trPr>
          <w:trHeight w:val="42"/>
        </w:trPr>
        <w:tc>
          <w:tcPr>
            <w:tcW w:w="60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21"/>
        </w:trPr>
        <w:tc>
          <w:tcPr>
            <w:tcW w:w="6040" w:type="dxa"/>
            <w:vAlign w:val="bottom"/>
            <w:tcBorders>
              <w:bottom w:val="single" w:sz="8" w:color="88888B"/>
            </w:tcBorders>
            <w:shd w:val="clear" w:color="auto" w:fill="CCEEFF"/>
          </w:tcPr>
          <w:p>
            <w:pPr>
              <w:ind w:left="120"/>
              <w:spacing w:after="0"/>
              <w:rPr>
                <w:sz w:val="20"/>
                <w:szCs w:val="20"/>
                <w:color w:val="auto"/>
              </w:rPr>
            </w:pPr>
            <w:r>
              <w:rPr>
                <w:rFonts w:ascii="Arial" w:cs="Arial" w:eastAsia="Arial" w:hAnsi="Arial"/>
                <w:sz w:val="14"/>
                <w:szCs w:val="14"/>
                <w:color w:val="55565A"/>
              </w:rPr>
              <w:t>Non-controlling interests</w:t>
            </w:r>
          </w:p>
        </w:tc>
        <w:tc>
          <w:tcPr>
            <w:tcW w:w="1940" w:type="dxa"/>
            <w:vAlign w:val="bottom"/>
            <w:tcBorders>
              <w:bottom w:val="single" w:sz="8" w:color="88888B"/>
            </w:tcBorders>
            <w:shd w:val="clear" w:color="auto" w:fill="CCEEFF"/>
          </w:tcPr>
          <w:p>
            <w:pPr>
              <w:spacing w:after="0"/>
              <w:rPr>
                <w:sz w:val="19"/>
                <w:szCs w:val="19"/>
                <w:color w:val="auto"/>
              </w:rPr>
            </w:pPr>
          </w:p>
        </w:tc>
        <w:tc>
          <w:tcPr>
            <w:tcW w:w="1700" w:type="dxa"/>
            <w:vAlign w:val="bottom"/>
            <w:tcBorders>
              <w:bottom w:val="single" w:sz="8" w:color="88888B"/>
            </w:tcBorders>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(8)</w:t>
            </w:r>
          </w:p>
        </w:tc>
        <w:tc>
          <w:tcPr>
            <w:tcW w:w="1240" w:type="dxa"/>
            <w:vAlign w:val="bottom"/>
            <w:tcBorders>
              <w:bottom w:val="single" w:sz="8" w:color="88888B"/>
            </w:tcBorders>
            <w:shd w:val="clear" w:color="auto" w:fill="CCEEFF"/>
          </w:tcPr>
          <w:p>
            <w:pPr>
              <w:jc w:val="right"/>
              <w:ind w:right="209"/>
              <w:spacing w:after="0"/>
              <w:rPr>
                <w:sz w:val="20"/>
                <w:szCs w:val="20"/>
                <w:color w:val="auto"/>
              </w:rPr>
            </w:pPr>
            <w:r>
              <w:rPr>
                <w:rFonts w:ascii="Arial" w:cs="Arial" w:eastAsia="Arial" w:hAnsi="Arial"/>
                <w:sz w:val="14"/>
                <w:szCs w:val="14"/>
                <w:color w:val="55565A"/>
              </w:rPr>
              <w:t>—</w:t>
            </w:r>
          </w:p>
        </w:tc>
      </w:tr>
      <w:tr>
        <w:trPr>
          <w:trHeight w:val="234"/>
        </w:trPr>
        <w:tc>
          <w:tcPr>
            <w:tcW w:w="6040" w:type="dxa"/>
            <w:vAlign w:val="bottom"/>
            <w:tcBorders>
              <w:bottom w:val="single" w:sz="8" w:color="88888B"/>
            </w:tcBorders>
          </w:tcPr>
          <w:p>
            <w:pPr>
              <w:ind w:left="120"/>
              <w:spacing w:after="0"/>
              <w:rPr>
                <w:sz w:val="20"/>
                <w:szCs w:val="20"/>
                <w:color w:val="auto"/>
              </w:rPr>
            </w:pPr>
            <w:r>
              <w:rPr>
                <w:rFonts w:ascii="Arial" w:cs="Arial" w:eastAsia="Arial" w:hAnsi="Arial"/>
                <w:sz w:val="14"/>
                <w:szCs w:val="14"/>
                <w:color w:val="55565A"/>
              </w:rPr>
              <w:t>Total comprehensive income</w:t>
            </w:r>
          </w:p>
        </w:tc>
        <w:tc>
          <w:tcPr>
            <w:tcW w:w="1940" w:type="dxa"/>
            <w:vAlign w:val="bottom"/>
            <w:tcBorders>
              <w:bottom w:val="single" w:sz="8" w:color="88888B"/>
            </w:tcBorders>
          </w:tcPr>
          <w:p>
            <w:pPr>
              <w:spacing w:after="0"/>
              <w:rPr>
                <w:sz w:val="20"/>
                <w:szCs w:val="20"/>
                <w:color w:val="auto"/>
              </w:rPr>
            </w:pPr>
          </w:p>
        </w:tc>
        <w:tc>
          <w:tcPr>
            <w:tcW w:w="1700" w:type="dxa"/>
            <w:vAlign w:val="bottom"/>
            <w:tcBorders>
              <w:bottom w:val="single" w:sz="8" w:color="88888B"/>
            </w:tcBorders>
          </w:tcPr>
          <w:p>
            <w:pPr>
              <w:jc w:val="right"/>
              <w:ind w:right="569"/>
              <w:spacing w:after="0"/>
              <w:rPr>
                <w:sz w:val="20"/>
                <w:szCs w:val="20"/>
                <w:color w:val="auto"/>
              </w:rPr>
            </w:pPr>
            <w:r>
              <w:rPr>
                <w:rFonts w:ascii="Arial" w:cs="Arial" w:eastAsia="Arial" w:hAnsi="Arial"/>
                <w:sz w:val="14"/>
                <w:szCs w:val="14"/>
                <w:b w:val="1"/>
                <w:bCs w:val="1"/>
                <w:color w:val="55565A"/>
              </w:rPr>
              <w:t>430</w:t>
            </w:r>
          </w:p>
        </w:tc>
        <w:tc>
          <w:tcPr>
            <w:tcW w:w="1240" w:type="dxa"/>
            <w:vAlign w:val="bottom"/>
            <w:tcBorders>
              <w:bottom w:val="single" w:sz="8" w:color="88888B"/>
            </w:tcBorders>
          </w:tcPr>
          <w:p>
            <w:pPr>
              <w:jc w:val="right"/>
              <w:ind w:right="209"/>
              <w:spacing w:after="0"/>
              <w:rPr>
                <w:sz w:val="20"/>
                <w:szCs w:val="20"/>
                <w:color w:val="auto"/>
              </w:rPr>
            </w:pPr>
            <w:r>
              <w:rPr>
                <w:rFonts w:ascii="Arial" w:cs="Arial" w:eastAsia="Arial" w:hAnsi="Arial"/>
                <w:sz w:val="14"/>
                <w:szCs w:val="14"/>
                <w:color w:val="55565A"/>
              </w:rPr>
              <w:t>825</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55565A"/>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39</w:t>
      </w:r>
    </w:p>
    <w:p>
      <w:pPr>
        <w:sectPr>
          <w:pgSz w:w="11900" w:h="16838" w:orient="portrait"/>
          <w:cols w:equalWidth="0" w:num="1">
            <w:col w:w="10920"/>
          </w:cols>
          <w:pgMar w:left="480" w:top="1440" w:right="49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THOMSON REUTERS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CONSOLIDATED STATEMENT OF FINANCIAL POSITION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69297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55565A"/>
              </w:rPr>
              <w:t>March 31,</w:t>
            </w:r>
          </w:p>
        </w:tc>
        <w:tc>
          <w:tcPr>
            <w:tcW w:w="1520" w:type="dxa"/>
            <w:vAlign w:val="bottom"/>
          </w:tcPr>
          <w:p>
            <w:pPr>
              <w:jc w:val="right"/>
              <w:ind w:right="229"/>
              <w:spacing w:after="0"/>
              <w:rPr>
                <w:sz w:val="20"/>
                <w:szCs w:val="20"/>
                <w:color w:val="auto"/>
              </w:rPr>
            </w:pPr>
            <w:r>
              <w:rPr>
                <w:rFonts w:ascii="Arial" w:cs="Arial" w:eastAsia="Arial" w:hAnsi="Arial"/>
                <w:sz w:val="14"/>
                <w:szCs w:val="14"/>
                <w:color w:val="55565A"/>
              </w:rPr>
              <w:t>December 31,</w:t>
            </w:r>
          </w:p>
        </w:tc>
      </w:tr>
      <w:tr>
        <w:trPr>
          <w:trHeight w:val="281"/>
        </w:trPr>
        <w:tc>
          <w:tcPr>
            <w:tcW w:w="5260" w:type="dxa"/>
            <w:vAlign w:val="bottom"/>
          </w:tcPr>
          <w:p>
            <w:pPr>
              <w:spacing w:after="0"/>
              <w:rPr>
                <w:sz w:val="20"/>
                <w:szCs w:val="20"/>
                <w:color w:val="auto"/>
              </w:rPr>
            </w:pPr>
            <w:r>
              <w:rPr>
                <w:rFonts w:ascii="Arial" w:cs="Arial" w:eastAsia="Arial" w:hAnsi="Arial"/>
                <w:sz w:val="14"/>
                <w:szCs w:val="14"/>
                <w:color w:val="55565A"/>
              </w:rPr>
              <w:t>   (millions of U.S. dollars)</w:t>
            </w:r>
          </w:p>
        </w:tc>
        <w:tc>
          <w:tcPr>
            <w:tcW w:w="3000" w:type="dxa"/>
            <w:vAlign w:val="bottom"/>
          </w:tcPr>
          <w:p>
            <w:pPr>
              <w:ind w:left="2440"/>
              <w:spacing w:after="0"/>
              <w:rPr>
                <w:sz w:val="20"/>
                <w:szCs w:val="20"/>
                <w:color w:val="auto"/>
              </w:rPr>
            </w:pPr>
            <w:r>
              <w:rPr>
                <w:rFonts w:ascii="Arial" w:cs="Arial" w:eastAsia="Arial" w:hAnsi="Arial"/>
                <w:sz w:val="14"/>
                <w:szCs w:val="14"/>
                <w:b w:val="1"/>
                <w:bCs w:val="1"/>
                <w:color w:val="55565A"/>
              </w:rPr>
              <w:t>Notes</w:t>
            </w: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55565A"/>
              </w:rPr>
              <w:t>2024</w:t>
            </w:r>
          </w:p>
        </w:tc>
        <w:tc>
          <w:tcPr>
            <w:tcW w:w="1520" w:type="dxa"/>
            <w:vAlign w:val="bottom"/>
          </w:tcPr>
          <w:p>
            <w:pPr>
              <w:jc w:val="right"/>
              <w:ind w:right="229"/>
              <w:spacing w:after="0"/>
              <w:rPr>
                <w:sz w:val="20"/>
                <w:szCs w:val="20"/>
                <w:color w:val="auto"/>
              </w:rPr>
            </w:pPr>
            <w:r>
              <w:rPr>
                <w:rFonts w:ascii="Arial" w:cs="Arial" w:eastAsia="Arial" w:hAnsi="Arial"/>
                <w:sz w:val="14"/>
                <w:szCs w:val="14"/>
                <w:color w:val="55565A"/>
              </w:rPr>
              <w:t>2023</w:t>
            </w:r>
          </w:p>
        </w:tc>
      </w:tr>
      <w:tr>
        <w:trPr>
          <w:trHeight w:val="48"/>
        </w:trPr>
        <w:tc>
          <w:tcPr>
            <w:tcW w:w="5260" w:type="dxa"/>
            <w:vAlign w:val="bottom"/>
            <w:tcBorders>
              <w:bottom w:val="single" w:sz="8" w:color="88888B"/>
            </w:tcBorders>
          </w:tcPr>
          <w:p>
            <w:pPr>
              <w:spacing w:after="0"/>
              <w:rPr>
                <w:sz w:val="4"/>
                <w:szCs w:val="4"/>
                <w:color w:val="auto"/>
              </w:rPr>
            </w:pPr>
          </w:p>
        </w:tc>
        <w:tc>
          <w:tcPr>
            <w:tcW w:w="3000" w:type="dxa"/>
            <w:vAlign w:val="bottom"/>
            <w:tcBorders>
              <w:bottom w:val="single" w:sz="8" w:color="88888B"/>
            </w:tcBorders>
          </w:tcPr>
          <w:p>
            <w:pPr>
              <w:spacing w:after="0"/>
              <w:rPr>
                <w:sz w:val="4"/>
                <w:szCs w:val="4"/>
                <w:color w:val="auto"/>
              </w:rPr>
            </w:pPr>
          </w:p>
        </w:tc>
        <w:tc>
          <w:tcPr>
            <w:tcW w:w="1140" w:type="dxa"/>
            <w:vAlign w:val="bottom"/>
            <w:tcBorders>
              <w:bottom w:val="single" w:sz="8" w:color="88888B"/>
            </w:tcBorders>
          </w:tcPr>
          <w:p>
            <w:pPr>
              <w:spacing w:after="0"/>
              <w:rPr>
                <w:sz w:val="4"/>
                <w:szCs w:val="4"/>
                <w:color w:val="auto"/>
              </w:rPr>
            </w:pPr>
          </w:p>
        </w:tc>
        <w:tc>
          <w:tcPr>
            <w:tcW w:w="1520" w:type="dxa"/>
            <w:vAlign w:val="bottom"/>
            <w:tcBorders>
              <w:bottom w:val="single" w:sz="8" w:color="88888B"/>
            </w:tcBorders>
          </w:tcPr>
          <w:p>
            <w:pPr>
              <w:spacing w:after="0"/>
              <w:rPr>
                <w:sz w:val="4"/>
                <w:szCs w:val="4"/>
                <w:color w:val="auto"/>
              </w:rPr>
            </w:pPr>
          </w:p>
        </w:tc>
      </w:tr>
      <w:tr>
        <w:trPr>
          <w:trHeight w:val="227"/>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55565A"/>
              </w:rPr>
              <w:t>Cash and cash equivalents</w:t>
            </w:r>
          </w:p>
        </w:tc>
        <w:tc>
          <w:tcPr>
            <w:tcW w:w="3000" w:type="dxa"/>
            <w:vAlign w:val="bottom"/>
            <w:shd w:val="clear" w:color="auto" w:fill="CCEEFF"/>
          </w:tcPr>
          <w:p>
            <w:pPr>
              <w:jc w:val="center"/>
              <w:ind w:left="2209"/>
              <w:spacing w:after="0"/>
              <w:rPr>
                <w:sz w:val="20"/>
                <w:szCs w:val="20"/>
                <w:color w:val="auto"/>
              </w:rPr>
            </w:pPr>
            <w:r>
              <w:rPr>
                <w:rFonts w:ascii="Arial" w:cs="Arial" w:eastAsia="Arial" w:hAnsi="Arial"/>
                <w:sz w:val="14"/>
                <w:szCs w:val="14"/>
                <w:color w:val="55565A"/>
              </w:rPr>
              <w:t>11</w:t>
            </w:r>
          </w:p>
        </w:tc>
        <w:tc>
          <w:tcPr>
            <w:tcW w:w="11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1,901</w:t>
            </w:r>
          </w:p>
        </w:tc>
        <w:tc>
          <w:tcPr>
            <w:tcW w:w="15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1,298</w:t>
            </w:r>
          </w:p>
        </w:tc>
      </w:tr>
      <w:tr>
        <w:trPr>
          <w:trHeight w:val="239"/>
        </w:trPr>
        <w:tc>
          <w:tcPr>
            <w:tcW w:w="5260" w:type="dxa"/>
            <w:vAlign w:val="bottom"/>
          </w:tcPr>
          <w:p>
            <w:pPr>
              <w:ind w:left="120"/>
              <w:spacing w:after="0"/>
              <w:rPr>
                <w:sz w:val="20"/>
                <w:szCs w:val="20"/>
                <w:color w:val="auto"/>
              </w:rPr>
            </w:pPr>
            <w:r>
              <w:rPr>
                <w:rFonts w:ascii="Arial" w:cs="Arial" w:eastAsia="Arial" w:hAnsi="Arial"/>
                <w:sz w:val="14"/>
                <w:szCs w:val="14"/>
                <w:color w:val="55565A"/>
              </w:rPr>
              <w:t>Trade and other receivables</w:t>
            </w:r>
          </w:p>
        </w:tc>
        <w:tc>
          <w:tcPr>
            <w:tcW w:w="3000" w:type="dxa"/>
            <w:vAlign w:val="bottom"/>
          </w:tcPr>
          <w:p>
            <w:pPr>
              <w:spacing w:after="0"/>
              <w:rPr>
                <w:sz w:val="20"/>
                <w:szCs w:val="20"/>
                <w:color w:val="auto"/>
              </w:rPr>
            </w:pP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55565A"/>
              </w:rPr>
              <w:t>1,040</w:t>
            </w:r>
          </w:p>
        </w:tc>
        <w:tc>
          <w:tcPr>
            <w:tcW w:w="1520" w:type="dxa"/>
            <w:vAlign w:val="bottom"/>
          </w:tcPr>
          <w:p>
            <w:pPr>
              <w:jc w:val="right"/>
              <w:ind w:right="229"/>
              <w:spacing w:after="0"/>
              <w:rPr>
                <w:sz w:val="20"/>
                <w:szCs w:val="20"/>
                <w:color w:val="auto"/>
              </w:rPr>
            </w:pPr>
            <w:r>
              <w:rPr>
                <w:rFonts w:ascii="Arial" w:cs="Arial" w:eastAsia="Arial" w:hAnsi="Arial"/>
                <w:sz w:val="14"/>
                <w:szCs w:val="14"/>
                <w:color w:val="55565A"/>
              </w:rPr>
              <w:t>1,122</w:t>
            </w:r>
          </w:p>
        </w:tc>
      </w:tr>
      <w:tr>
        <w:trPr>
          <w:trHeight w:val="42"/>
        </w:trPr>
        <w:tc>
          <w:tcPr>
            <w:tcW w:w="52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7"/>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55565A"/>
              </w:rPr>
              <w:t>Other financial assets</w:t>
            </w:r>
          </w:p>
        </w:tc>
        <w:tc>
          <w:tcPr>
            <w:tcW w:w="3000" w:type="dxa"/>
            <w:vAlign w:val="bottom"/>
            <w:shd w:val="clear" w:color="auto" w:fill="CCEEFF"/>
          </w:tcPr>
          <w:p>
            <w:pPr>
              <w:jc w:val="center"/>
              <w:ind w:left="2209"/>
              <w:spacing w:after="0"/>
              <w:rPr>
                <w:sz w:val="20"/>
                <w:szCs w:val="20"/>
                <w:color w:val="auto"/>
              </w:rPr>
            </w:pPr>
            <w:r>
              <w:rPr>
                <w:rFonts w:ascii="Arial" w:cs="Arial" w:eastAsia="Arial" w:hAnsi="Arial"/>
                <w:sz w:val="14"/>
                <w:szCs w:val="14"/>
                <w:color w:val="55565A"/>
              </w:rPr>
              <w:t>11</w:t>
            </w:r>
          </w:p>
        </w:tc>
        <w:tc>
          <w:tcPr>
            <w:tcW w:w="11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18</w:t>
            </w:r>
          </w:p>
        </w:tc>
        <w:tc>
          <w:tcPr>
            <w:tcW w:w="15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66</w:t>
            </w:r>
          </w:p>
        </w:tc>
      </w:tr>
      <w:tr>
        <w:trPr>
          <w:trHeight w:val="254"/>
        </w:trPr>
        <w:tc>
          <w:tcPr>
            <w:tcW w:w="5260" w:type="dxa"/>
            <w:vAlign w:val="bottom"/>
            <w:tcBorders>
              <w:bottom w:val="single" w:sz="8" w:color="88888B"/>
            </w:tcBorders>
          </w:tcPr>
          <w:p>
            <w:pPr>
              <w:ind w:left="120"/>
              <w:spacing w:after="0"/>
              <w:rPr>
                <w:sz w:val="20"/>
                <w:szCs w:val="20"/>
                <w:color w:val="auto"/>
              </w:rPr>
            </w:pPr>
            <w:r>
              <w:rPr>
                <w:rFonts w:ascii="Arial" w:cs="Arial" w:eastAsia="Arial" w:hAnsi="Arial"/>
                <w:sz w:val="14"/>
                <w:szCs w:val="14"/>
                <w:color w:val="55565A"/>
              </w:rPr>
              <w:t>Prepaid expenses and other current assets</w:t>
            </w:r>
          </w:p>
        </w:tc>
        <w:tc>
          <w:tcPr>
            <w:tcW w:w="3000" w:type="dxa"/>
            <w:vAlign w:val="bottom"/>
            <w:tcBorders>
              <w:bottom w:val="single" w:sz="8" w:color="88888B"/>
            </w:tcBorders>
          </w:tcPr>
          <w:p>
            <w:pPr>
              <w:spacing w:after="0"/>
              <w:rPr>
                <w:sz w:val="22"/>
                <w:szCs w:val="22"/>
                <w:color w:val="auto"/>
              </w:rPr>
            </w:pPr>
          </w:p>
        </w:tc>
        <w:tc>
          <w:tcPr>
            <w:tcW w:w="114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464</w:t>
            </w:r>
          </w:p>
        </w:tc>
        <w:tc>
          <w:tcPr>
            <w:tcW w:w="152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435</w:t>
            </w:r>
          </w:p>
        </w:tc>
      </w:tr>
      <w:tr>
        <w:trPr>
          <w:trHeight w:val="234"/>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55565A"/>
              </w:rPr>
              <w:t>Current assets</w:t>
            </w:r>
          </w:p>
        </w:tc>
        <w:tc>
          <w:tcPr>
            <w:tcW w:w="30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3,423</w:t>
            </w:r>
          </w:p>
        </w:tc>
        <w:tc>
          <w:tcPr>
            <w:tcW w:w="15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2,921</w:t>
            </w:r>
          </w:p>
        </w:tc>
      </w:tr>
      <w:tr>
        <w:trPr>
          <w:trHeight w:val="239"/>
        </w:trPr>
        <w:tc>
          <w:tcPr>
            <w:tcW w:w="5260" w:type="dxa"/>
            <w:vAlign w:val="bottom"/>
          </w:tcPr>
          <w:p>
            <w:pPr>
              <w:ind w:left="120"/>
              <w:spacing w:after="0"/>
              <w:rPr>
                <w:sz w:val="20"/>
                <w:szCs w:val="20"/>
                <w:color w:val="auto"/>
              </w:rPr>
            </w:pPr>
            <w:r>
              <w:rPr>
                <w:rFonts w:ascii="Arial" w:cs="Arial" w:eastAsia="Arial" w:hAnsi="Arial"/>
                <w:sz w:val="14"/>
                <w:szCs w:val="14"/>
                <w:color w:val="55565A"/>
              </w:rPr>
              <w:t>Property and equipment, net</w:t>
            </w:r>
          </w:p>
        </w:tc>
        <w:tc>
          <w:tcPr>
            <w:tcW w:w="3000" w:type="dxa"/>
            <w:vAlign w:val="bottom"/>
          </w:tcPr>
          <w:p>
            <w:pPr>
              <w:spacing w:after="0"/>
              <w:rPr>
                <w:sz w:val="20"/>
                <w:szCs w:val="20"/>
                <w:color w:val="auto"/>
              </w:rPr>
            </w:pP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55565A"/>
              </w:rPr>
              <w:t>451</w:t>
            </w:r>
          </w:p>
        </w:tc>
        <w:tc>
          <w:tcPr>
            <w:tcW w:w="1520" w:type="dxa"/>
            <w:vAlign w:val="bottom"/>
          </w:tcPr>
          <w:p>
            <w:pPr>
              <w:jc w:val="right"/>
              <w:ind w:right="229"/>
              <w:spacing w:after="0"/>
              <w:rPr>
                <w:sz w:val="20"/>
                <w:szCs w:val="20"/>
                <w:color w:val="auto"/>
              </w:rPr>
            </w:pPr>
            <w:r>
              <w:rPr>
                <w:rFonts w:ascii="Arial" w:cs="Arial" w:eastAsia="Arial" w:hAnsi="Arial"/>
                <w:sz w:val="14"/>
                <w:szCs w:val="14"/>
                <w:color w:val="55565A"/>
              </w:rPr>
              <w:t>447</w:t>
            </w:r>
          </w:p>
        </w:tc>
      </w:tr>
      <w:tr>
        <w:trPr>
          <w:trHeight w:val="42"/>
        </w:trPr>
        <w:tc>
          <w:tcPr>
            <w:tcW w:w="52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7"/>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55565A"/>
              </w:rPr>
              <w:t>Computer software, net</w:t>
            </w:r>
          </w:p>
        </w:tc>
        <w:tc>
          <w:tcPr>
            <w:tcW w:w="3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1,500</w:t>
            </w:r>
          </w:p>
        </w:tc>
        <w:tc>
          <w:tcPr>
            <w:tcW w:w="15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1,236</w:t>
            </w:r>
          </w:p>
        </w:tc>
      </w:tr>
      <w:tr>
        <w:trPr>
          <w:trHeight w:val="239"/>
        </w:trPr>
        <w:tc>
          <w:tcPr>
            <w:tcW w:w="5260" w:type="dxa"/>
            <w:vAlign w:val="bottom"/>
          </w:tcPr>
          <w:p>
            <w:pPr>
              <w:ind w:left="120"/>
              <w:spacing w:after="0"/>
              <w:rPr>
                <w:sz w:val="20"/>
                <w:szCs w:val="20"/>
                <w:color w:val="auto"/>
              </w:rPr>
            </w:pPr>
            <w:r>
              <w:rPr>
                <w:rFonts w:ascii="Arial" w:cs="Arial" w:eastAsia="Arial" w:hAnsi="Arial"/>
                <w:sz w:val="14"/>
                <w:szCs w:val="14"/>
                <w:color w:val="55565A"/>
              </w:rPr>
              <w:t>Other identifiable intangible assets, net</w:t>
            </w:r>
          </w:p>
        </w:tc>
        <w:tc>
          <w:tcPr>
            <w:tcW w:w="3000" w:type="dxa"/>
            <w:vAlign w:val="bottom"/>
          </w:tcPr>
          <w:p>
            <w:pPr>
              <w:spacing w:after="0"/>
              <w:rPr>
                <w:sz w:val="20"/>
                <w:szCs w:val="20"/>
                <w:color w:val="auto"/>
              </w:rPr>
            </w:pP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55565A"/>
              </w:rPr>
              <w:t>3,199</w:t>
            </w:r>
          </w:p>
        </w:tc>
        <w:tc>
          <w:tcPr>
            <w:tcW w:w="1520" w:type="dxa"/>
            <w:vAlign w:val="bottom"/>
          </w:tcPr>
          <w:p>
            <w:pPr>
              <w:jc w:val="right"/>
              <w:ind w:right="229"/>
              <w:spacing w:after="0"/>
              <w:rPr>
                <w:sz w:val="20"/>
                <w:szCs w:val="20"/>
                <w:color w:val="auto"/>
              </w:rPr>
            </w:pPr>
            <w:r>
              <w:rPr>
                <w:rFonts w:ascii="Arial" w:cs="Arial" w:eastAsia="Arial" w:hAnsi="Arial"/>
                <w:sz w:val="14"/>
                <w:szCs w:val="14"/>
                <w:color w:val="55565A"/>
              </w:rPr>
              <w:t>3,165</w:t>
            </w:r>
          </w:p>
        </w:tc>
      </w:tr>
      <w:tr>
        <w:trPr>
          <w:trHeight w:val="42"/>
        </w:trPr>
        <w:tc>
          <w:tcPr>
            <w:tcW w:w="52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7"/>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55565A"/>
              </w:rPr>
              <w:t>Goodwill</w:t>
            </w:r>
          </w:p>
        </w:tc>
        <w:tc>
          <w:tcPr>
            <w:tcW w:w="3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7,285</w:t>
            </w:r>
          </w:p>
        </w:tc>
        <w:tc>
          <w:tcPr>
            <w:tcW w:w="15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6,719</w:t>
            </w:r>
          </w:p>
        </w:tc>
      </w:tr>
      <w:tr>
        <w:trPr>
          <w:trHeight w:val="239"/>
        </w:trPr>
        <w:tc>
          <w:tcPr>
            <w:tcW w:w="5260" w:type="dxa"/>
            <w:vAlign w:val="bottom"/>
          </w:tcPr>
          <w:p>
            <w:pPr>
              <w:ind w:left="120"/>
              <w:spacing w:after="0"/>
              <w:rPr>
                <w:sz w:val="20"/>
                <w:szCs w:val="20"/>
                <w:color w:val="auto"/>
              </w:rPr>
            </w:pPr>
            <w:r>
              <w:rPr>
                <w:rFonts w:ascii="Arial" w:cs="Arial" w:eastAsia="Arial" w:hAnsi="Arial"/>
                <w:sz w:val="14"/>
                <w:szCs w:val="14"/>
                <w:color w:val="55565A"/>
              </w:rPr>
              <w:t>Equity method investments</w:t>
            </w:r>
          </w:p>
        </w:tc>
        <w:tc>
          <w:tcPr>
            <w:tcW w:w="3000" w:type="dxa"/>
            <w:vAlign w:val="bottom"/>
          </w:tcPr>
          <w:p>
            <w:pPr>
              <w:jc w:val="center"/>
              <w:ind w:left="2209"/>
              <w:spacing w:after="0"/>
              <w:rPr>
                <w:sz w:val="20"/>
                <w:szCs w:val="20"/>
                <w:color w:val="auto"/>
              </w:rPr>
            </w:pPr>
            <w:r>
              <w:rPr>
                <w:rFonts w:ascii="Arial" w:cs="Arial" w:eastAsia="Arial" w:hAnsi="Arial"/>
                <w:sz w:val="14"/>
                <w:szCs w:val="14"/>
                <w:color w:val="55565A"/>
              </w:rPr>
              <w:t>8</w:t>
            </w: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55565A"/>
              </w:rPr>
              <w:t>836</w:t>
            </w:r>
          </w:p>
        </w:tc>
        <w:tc>
          <w:tcPr>
            <w:tcW w:w="1520" w:type="dxa"/>
            <w:vAlign w:val="bottom"/>
          </w:tcPr>
          <w:p>
            <w:pPr>
              <w:jc w:val="right"/>
              <w:ind w:right="229"/>
              <w:spacing w:after="0"/>
              <w:rPr>
                <w:sz w:val="20"/>
                <w:szCs w:val="20"/>
                <w:color w:val="auto"/>
              </w:rPr>
            </w:pPr>
            <w:r>
              <w:rPr>
                <w:rFonts w:ascii="Arial" w:cs="Arial" w:eastAsia="Arial" w:hAnsi="Arial"/>
                <w:sz w:val="14"/>
                <w:szCs w:val="14"/>
                <w:color w:val="55565A"/>
              </w:rPr>
              <w:t>2,030</w:t>
            </w:r>
          </w:p>
        </w:tc>
      </w:tr>
      <w:tr>
        <w:trPr>
          <w:trHeight w:val="42"/>
        </w:trPr>
        <w:tc>
          <w:tcPr>
            <w:tcW w:w="52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7"/>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55565A"/>
              </w:rPr>
              <w:t>Other financial assets</w:t>
            </w:r>
          </w:p>
        </w:tc>
        <w:tc>
          <w:tcPr>
            <w:tcW w:w="3000" w:type="dxa"/>
            <w:vAlign w:val="bottom"/>
            <w:shd w:val="clear" w:color="auto" w:fill="CCEEFF"/>
          </w:tcPr>
          <w:p>
            <w:pPr>
              <w:jc w:val="center"/>
              <w:ind w:left="2209"/>
              <w:spacing w:after="0"/>
              <w:rPr>
                <w:sz w:val="20"/>
                <w:szCs w:val="20"/>
                <w:color w:val="auto"/>
              </w:rPr>
            </w:pPr>
            <w:r>
              <w:rPr>
                <w:rFonts w:ascii="Arial" w:cs="Arial" w:eastAsia="Arial" w:hAnsi="Arial"/>
                <w:sz w:val="14"/>
                <w:szCs w:val="14"/>
                <w:color w:val="55565A"/>
              </w:rPr>
              <w:t>11</w:t>
            </w:r>
          </w:p>
        </w:tc>
        <w:tc>
          <w:tcPr>
            <w:tcW w:w="11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426</w:t>
            </w:r>
          </w:p>
        </w:tc>
        <w:tc>
          <w:tcPr>
            <w:tcW w:w="15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444</w:t>
            </w:r>
          </w:p>
        </w:tc>
      </w:tr>
      <w:tr>
        <w:trPr>
          <w:trHeight w:val="239"/>
        </w:trPr>
        <w:tc>
          <w:tcPr>
            <w:tcW w:w="5260" w:type="dxa"/>
            <w:vAlign w:val="bottom"/>
          </w:tcPr>
          <w:p>
            <w:pPr>
              <w:ind w:left="120"/>
              <w:spacing w:after="0"/>
              <w:rPr>
                <w:sz w:val="20"/>
                <w:szCs w:val="20"/>
                <w:color w:val="auto"/>
              </w:rPr>
            </w:pPr>
            <w:r>
              <w:rPr>
                <w:rFonts w:ascii="Arial" w:cs="Arial" w:eastAsia="Arial" w:hAnsi="Arial"/>
                <w:sz w:val="14"/>
                <w:szCs w:val="14"/>
                <w:color w:val="55565A"/>
              </w:rPr>
              <w:t>Other non-current assets</w:t>
            </w:r>
          </w:p>
        </w:tc>
        <w:tc>
          <w:tcPr>
            <w:tcW w:w="3000" w:type="dxa"/>
            <w:vAlign w:val="bottom"/>
          </w:tcPr>
          <w:p>
            <w:pPr>
              <w:jc w:val="center"/>
              <w:ind w:left="2209"/>
              <w:spacing w:after="0"/>
              <w:rPr>
                <w:sz w:val="20"/>
                <w:szCs w:val="20"/>
                <w:color w:val="auto"/>
              </w:rPr>
            </w:pPr>
            <w:r>
              <w:rPr>
                <w:rFonts w:ascii="Arial" w:cs="Arial" w:eastAsia="Arial" w:hAnsi="Arial"/>
                <w:sz w:val="14"/>
                <w:szCs w:val="14"/>
                <w:color w:val="55565A"/>
              </w:rPr>
              <w:t>12</w:t>
            </w: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55565A"/>
              </w:rPr>
              <w:t>629</w:t>
            </w:r>
          </w:p>
        </w:tc>
        <w:tc>
          <w:tcPr>
            <w:tcW w:w="1520" w:type="dxa"/>
            <w:vAlign w:val="bottom"/>
          </w:tcPr>
          <w:p>
            <w:pPr>
              <w:jc w:val="right"/>
              <w:ind w:right="229"/>
              <w:spacing w:after="0"/>
              <w:rPr>
                <w:sz w:val="20"/>
                <w:szCs w:val="20"/>
                <w:color w:val="auto"/>
              </w:rPr>
            </w:pPr>
            <w:r>
              <w:rPr>
                <w:rFonts w:ascii="Arial" w:cs="Arial" w:eastAsia="Arial" w:hAnsi="Arial"/>
                <w:sz w:val="14"/>
                <w:szCs w:val="14"/>
                <w:color w:val="55565A"/>
              </w:rPr>
              <w:t>618</w:t>
            </w:r>
          </w:p>
        </w:tc>
      </w:tr>
      <w:tr>
        <w:trPr>
          <w:trHeight w:val="42"/>
        </w:trPr>
        <w:tc>
          <w:tcPr>
            <w:tcW w:w="52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1"/>
        </w:trPr>
        <w:tc>
          <w:tcPr>
            <w:tcW w:w="5260" w:type="dxa"/>
            <w:vAlign w:val="bottom"/>
            <w:tcBorders>
              <w:bottom w:val="single" w:sz="8" w:color="88888B"/>
            </w:tcBorders>
            <w:shd w:val="clear" w:color="auto" w:fill="CCEEFF"/>
          </w:tcPr>
          <w:p>
            <w:pPr>
              <w:ind w:left="120"/>
              <w:spacing w:after="0"/>
              <w:rPr>
                <w:sz w:val="20"/>
                <w:szCs w:val="20"/>
                <w:color w:val="auto"/>
              </w:rPr>
            </w:pPr>
            <w:r>
              <w:rPr>
                <w:rFonts w:ascii="Arial" w:cs="Arial" w:eastAsia="Arial" w:hAnsi="Arial"/>
                <w:sz w:val="14"/>
                <w:szCs w:val="14"/>
                <w:color w:val="55565A"/>
              </w:rPr>
              <w:t>Deferred tax</w:t>
            </w:r>
          </w:p>
        </w:tc>
        <w:tc>
          <w:tcPr>
            <w:tcW w:w="3000" w:type="dxa"/>
            <w:vAlign w:val="bottom"/>
            <w:tcBorders>
              <w:bottom w:val="single" w:sz="8" w:color="88888B"/>
            </w:tcBorders>
            <w:shd w:val="clear" w:color="auto" w:fill="CCEEFF"/>
          </w:tcPr>
          <w:p>
            <w:pPr>
              <w:spacing w:after="0"/>
              <w:rPr>
                <w:sz w:val="19"/>
                <w:szCs w:val="19"/>
                <w:color w:val="auto"/>
              </w:rPr>
            </w:pPr>
          </w:p>
        </w:tc>
        <w:tc>
          <w:tcPr>
            <w:tcW w:w="114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1,067</w:t>
            </w:r>
          </w:p>
        </w:tc>
        <w:tc>
          <w:tcPr>
            <w:tcW w:w="152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1,104</w:t>
            </w:r>
          </w:p>
        </w:tc>
      </w:tr>
      <w:tr>
        <w:trPr>
          <w:trHeight w:val="234"/>
        </w:trPr>
        <w:tc>
          <w:tcPr>
            <w:tcW w:w="5260" w:type="dxa"/>
            <w:vAlign w:val="bottom"/>
            <w:tcBorders>
              <w:bottom w:val="single" w:sz="8" w:color="88888B"/>
            </w:tcBorders>
          </w:tcPr>
          <w:p>
            <w:pPr>
              <w:ind w:left="120"/>
              <w:spacing w:after="0"/>
              <w:rPr>
                <w:sz w:val="20"/>
                <w:szCs w:val="20"/>
                <w:color w:val="auto"/>
              </w:rPr>
            </w:pPr>
            <w:r>
              <w:rPr>
                <w:rFonts w:ascii="Arial" w:cs="Arial" w:eastAsia="Arial" w:hAnsi="Arial"/>
                <w:sz w:val="14"/>
                <w:szCs w:val="14"/>
                <w:color w:val="55565A"/>
              </w:rPr>
              <w:t>Total assets</w:t>
            </w:r>
          </w:p>
        </w:tc>
        <w:tc>
          <w:tcPr>
            <w:tcW w:w="3000" w:type="dxa"/>
            <w:vAlign w:val="bottom"/>
            <w:tcBorders>
              <w:bottom w:val="single" w:sz="8" w:color="88888B"/>
            </w:tcBorders>
          </w:tcPr>
          <w:p>
            <w:pPr>
              <w:spacing w:after="0"/>
              <w:rPr>
                <w:sz w:val="20"/>
                <w:szCs w:val="20"/>
                <w:color w:val="auto"/>
              </w:rPr>
            </w:pPr>
          </w:p>
        </w:tc>
        <w:tc>
          <w:tcPr>
            <w:tcW w:w="114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18,816</w:t>
            </w:r>
          </w:p>
        </w:tc>
        <w:tc>
          <w:tcPr>
            <w:tcW w:w="152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18,684</w:t>
            </w:r>
          </w:p>
        </w:tc>
      </w:tr>
      <w:tr>
        <w:trPr>
          <w:trHeight w:val="120"/>
        </w:trPr>
        <w:tc>
          <w:tcPr>
            <w:tcW w:w="526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227"/>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5565A"/>
              </w:rPr>
              <w:t>LIABILITIES AND EQUITY</w:t>
            </w:r>
          </w:p>
        </w:tc>
        <w:tc>
          <w:tcPr>
            <w:tcW w:w="3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9"/>
        </w:trPr>
        <w:tc>
          <w:tcPr>
            <w:tcW w:w="5260" w:type="dxa"/>
            <w:vAlign w:val="bottom"/>
          </w:tcPr>
          <w:p>
            <w:pPr>
              <w:ind w:left="120"/>
              <w:spacing w:after="0"/>
              <w:rPr>
                <w:sz w:val="20"/>
                <w:szCs w:val="20"/>
                <w:color w:val="auto"/>
              </w:rPr>
            </w:pPr>
            <w:r>
              <w:rPr>
                <w:rFonts w:ascii="Arial" w:cs="Arial" w:eastAsia="Arial" w:hAnsi="Arial"/>
                <w:sz w:val="14"/>
                <w:szCs w:val="14"/>
                <w:b w:val="1"/>
                <w:bCs w:val="1"/>
                <w:color w:val="55565A"/>
              </w:rPr>
              <w:t>Liabilities</w:t>
            </w:r>
          </w:p>
        </w:tc>
        <w:tc>
          <w:tcPr>
            <w:tcW w:w="3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
        </w:trPr>
        <w:tc>
          <w:tcPr>
            <w:tcW w:w="52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7"/>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55565A"/>
              </w:rPr>
              <w:t>Current indebtedness</w:t>
            </w:r>
          </w:p>
        </w:tc>
        <w:tc>
          <w:tcPr>
            <w:tcW w:w="3000" w:type="dxa"/>
            <w:vAlign w:val="bottom"/>
            <w:shd w:val="clear" w:color="auto" w:fill="CCEEFF"/>
          </w:tcPr>
          <w:p>
            <w:pPr>
              <w:jc w:val="center"/>
              <w:ind w:left="2209"/>
              <w:spacing w:after="0"/>
              <w:rPr>
                <w:sz w:val="20"/>
                <w:szCs w:val="20"/>
                <w:color w:val="auto"/>
              </w:rPr>
            </w:pPr>
            <w:r>
              <w:rPr>
                <w:rFonts w:ascii="Arial" w:cs="Arial" w:eastAsia="Arial" w:hAnsi="Arial"/>
                <w:sz w:val="14"/>
                <w:szCs w:val="14"/>
                <w:color w:val="55565A"/>
              </w:rPr>
              <w:t>11</w:t>
            </w:r>
          </w:p>
        </w:tc>
        <w:tc>
          <w:tcPr>
            <w:tcW w:w="11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941</w:t>
            </w:r>
          </w:p>
        </w:tc>
        <w:tc>
          <w:tcPr>
            <w:tcW w:w="15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372</w:t>
            </w:r>
          </w:p>
        </w:tc>
      </w:tr>
      <w:tr>
        <w:trPr>
          <w:trHeight w:val="239"/>
        </w:trPr>
        <w:tc>
          <w:tcPr>
            <w:tcW w:w="5260" w:type="dxa"/>
            <w:vAlign w:val="bottom"/>
          </w:tcPr>
          <w:p>
            <w:pPr>
              <w:ind w:left="120"/>
              <w:spacing w:after="0"/>
              <w:rPr>
                <w:sz w:val="20"/>
                <w:szCs w:val="20"/>
                <w:color w:val="auto"/>
              </w:rPr>
            </w:pPr>
            <w:r>
              <w:rPr>
                <w:rFonts w:ascii="Arial" w:cs="Arial" w:eastAsia="Arial" w:hAnsi="Arial"/>
                <w:sz w:val="14"/>
                <w:szCs w:val="14"/>
                <w:color w:val="55565A"/>
              </w:rPr>
              <w:t>Payables, accruals and provisions</w:t>
            </w:r>
          </w:p>
        </w:tc>
        <w:tc>
          <w:tcPr>
            <w:tcW w:w="3000" w:type="dxa"/>
            <w:vAlign w:val="bottom"/>
          </w:tcPr>
          <w:p>
            <w:pPr>
              <w:jc w:val="center"/>
              <w:ind w:left="2209"/>
              <w:spacing w:after="0"/>
              <w:rPr>
                <w:sz w:val="20"/>
                <w:szCs w:val="20"/>
                <w:color w:val="auto"/>
              </w:rPr>
            </w:pPr>
            <w:r>
              <w:rPr>
                <w:rFonts w:ascii="Arial" w:cs="Arial" w:eastAsia="Arial" w:hAnsi="Arial"/>
                <w:sz w:val="14"/>
                <w:szCs w:val="14"/>
                <w:color w:val="55565A"/>
              </w:rPr>
              <w:t>13</w:t>
            </w: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55565A"/>
              </w:rPr>
              <w:t>922</w:t>
            </w:r>
          </w:p>
        </w:tc>
        <w:tc>
          <w:tcPr>
            <w:tcW w:w="1520" w:type="dxa"/>
            <w:vAlign w:val="bottom"/>
          </w:tcPr>
          <w:p>
            <w:pPr>
              <w:jc w:val="right"/>
              <w:ind w:right="229"/>
              <w:spacing w:after="0"/>
              <w:rPr>
                <w:sz w:val="20"/>
                <w:szCs w:val="20"/>
                <w:color w:val="auto"/>
              </w:rPr>
            </w:pPr>
            <w:r>
              <w:rPr>
                <w:rFonts w:ascii="Arial" w:cs="Arial" w:eastAsia="Arial" w:hAnsi="Arial"/>
                <w:sz w:val="14"/>
                <w:szCs w:val="14"/>
                <w:color w:val="55565A"/>
              </w:rPr>
              <w:t>1,114</w:t>
            </w:r>
          </w:p>
        </w:tc>
      </w:tr>
      <w:tr>
        <w:trPr>
          <w:trHeight w:val="42"/>
        </w:trPr>
        <w:tc>
          <w:tcPr>
            <w:tcW w:w="52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7"/>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55565A"/>
              </w:rPr>
              <w:t>Current tax liabilities</w:t>
            </w:r>
          </w:p>
        </w:tc>
        <w:tc>
          <w:tcPr>
            <w:tcW w:w="3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354</w:t>
            </w:r>
          </w:p>
        </w:tc>
        <w:tc>
          <w:tcPr>
            <w:tcW w:w="15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248</w:t>
            </w:r>
          </w:p>
        </w:tc>
      </w:tr>
      <w:tr>
        <w:trPr>
          <w:trHeight w:val="239"/>
        </w:trPr>
        <w:tc>
          <w:tcPr>
            <w:tcW w:w="5260" w:type="dxa"/>
            <w:vAlign w:val="bottom"/>
          </w:tcPr>
          <w:p>
            <w:pPr>
              <w:ind w:left="120"/>
              <w:spacing w:after="0"/>
              <w:rPr>
                <w:sz w:val="20"/>
                <w:szCs w:val="20"/>
                <w:color w:val="auto"/>
              </w:rPr>
            </w:pPr>
            <w:r>
              <w:rPr>
                <w:rFonts w:ascii="Arial" w:cs="Arial" w:eastAsia="Arial" w:hAnsi="Arial"/>
                <w:sz w:val="14"/>
                <w:szCs w:val="14"/>
                <w:color w:val="55565A"/>
              </w:rPr>
              <w:t>Deferred revenue</w:t>
            </w:r>
          </w:p>
        </w:tc>
        <w:tc>
          <w:tcPr>
            <w:tcW w:w="3000" w:type="dxa"/>
            <w:vAlign w:val="bottom"/>
          </w:tcPr>
          <w:p>
            <w:pPr>
              <w:spacing w:after="0"/>
              <w:rPr>
                <w:sz w:val="20"/>
                <w:szCs w:val="20"/>
                <w:color w:val="auto"/>
              </w:rPr>
            </w:pP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55565A"/>
              </w:rPr>
              <w:t>928</w:t>
            </w:r>
          </w:p>
        </w:tc>
        <w:tc>
          <w:tcPr>
            <w:tcW w:w="1520" w:type="dxa"/>
            <w:vAlign w:val="bottom"/>
          </w:tcPr>
          <w:p>
            <w:pPr>
              <w:jc w:val="right"/>
              <w:ind w:right="229"/>
              <w:spacing w:after="0"/>
              <w:rPr>
                <w:sz w:val="20"/>
                <w:szCs w:val="20"/>
                <w:color w:val="auto"/>
              </w:rPr>
            </w:pPr>
            <w:r>
              <w:rPr>
                <w:rFonts w:ascii="Arial" w:cs="Arial" w:eastAsia="Arial" w:hAnsi="Arial"/>
                <w:sz w:val="14"/>
                <w:szCs w:val="14"/>
                <w:color w:val="55565A"/>
              </w:rPr>
              <w:t>992</w:t>
            </w:r>
          </w:p>
        </w:tc>
      </w:tr>
      <w:tr>
        <w:trPr>
          <w:trHeight w:val="42"/>
        </w:trPr>
        <w:tc>
          <w:tcPr>
            <w:tcW w:w="52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1"/>
        </w:trPr>
        <w:tc>
          <w:tcPr>
            <w:tcW w:w="5260" w:type="dxa"/>
            <w:vAlign w:val="bottom"/>
            <w:tcBorders>
              <w:bottom w:val="single" w:sz="8" w:color="88888B"/>
            </w:tcBorders>
            <w:shd w:val="clear" w:color="auto" w:fill="CCEEFF"/>
          </w:tcPr>
          <w:p>
            <w:pPr>
              <w:ind w:left="120"/>
              <w:spacing w:after="0"/>
              <w:rPr>
                <w:sz w:val="20"/>
                <w:szCs w:val="20"/>
                <w:color w:val="auto"/>
              </w:rPr>
            </w:pPr>
            <w:r>
              <w:rPr>
                <w:rFonts w:ascii="Arial" w:cs="Arial" w:eastAsia="Arial" w:hAnsi="Arial"/>
                <w:sz w:val="14"/>
                <w:szCs w:val="14"/>
                <w:color w:val="55565A"/>
              </w:rPr>
              <w:t>Other financial liabilities</w:t>
            </w:r>
          </w:p>
        </w:tc>
        <w:tc>
          <w:tcPr>
            <w:tcW w:w="3000" w:type="dxa"/>
            <w:vAlign w:val="bottom"/>
            <w:tcBorders>
              <w:bottom w:val="single" w:sz="8" w:color="88888B"/>
            </w:tcBorders>
            <w:shd w:val="clear" w:color="auto" w:fill="CCEEFF"/>
          </w:tcPr>
          <w:p>
            <w:pPr>
              <w:jc w:val="center"/>
              <w:ind w:left="2209"/>
              <w:spacing w:after="0"/>
              <w:rPr>
                <w:sz w:val="20"/>
                <w:szCs w:val="20"/>
                <w:color w:val="auto"/>
              </w:rPr>
            </w:pPr>
            <w:r>
              <w:rPr>
                <w:rFonts w:ascii="Arial" w:cs="Arial" w:eastAsia="Arial" w:hAnsi="Arial"/>
                <w:sz w:val="14"/>
                <w:szCs w:val="14"/>
                <w:color w:val="55565A"/>
              </w:rPr>
              <w:t>11</w:t>
            </w:r>
          </w:p>
        </w:tc>
        <w:tc>
          <w:tcPr>
            <w:tcW w:w="114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390</w:t>
            </w:r>
          </w:p>
        </w:tc>
        <w:tc>
          <w:tcPr>
            <w:tcW w:w="152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507</w:t>
            </w:r>
          </w:p>
        </w:tc>
      </w:tr>
      <w:tr>
        <w:trPr>
          <w:trHeight w:val="226"/>
        </w:trPr>
        <w:tc>
          <w:tcPr>
            <w:tcW w:w="5260" w:type="dxa"/>
            <w:vAlign w:val="bottom"/>
          </w:tcPr>
          <w:p>
            <w:pPr>
              <w:ind w:left="120"/>
              <w:spacing w:after="0"/>
              <w:rPr>
                <w:sz w:val="20"/>
                <w:szCs w:val="20"/>
                <w:color w:val="auto"/>
              </w:rPr>
            </w:pPr>
            <w:r>
              <w:rPr>
                <w:rFonts w:ascii="Arial" w:cs="Arial" w:eastAsia="Arial" w:hAnsi="Arial"/>
                <w:sz w:val="14"/>
                <w:szCs w:val="14"/>
                <w:color w:val="55565A"/>
              </w:rPr>
              <w:t>Current liabilities</w:t>
            </w:r>
          </w:p>
        </w:tc>
        <w:tc>
          <w:tcPr>
            <w:tcW w:w="3000" w:type="dxa"/>
            <w:vAlign w:val="bottom"/>
          </w:tcPr>
          <w:p>
            <w:pPr>
              <w:spacing w:after="0"/>
              <w:rPr>
                <w:sz w:val="19"/>
                <w:szCs w:val="19"/>
                <w:color w:val="auto"/>
              </w:rPr>
            </w:pP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55565A"/>
              </w:rPr>
              <w:t>3,535</w:t>
            </w:r>
          </w:p>
        </w:tc>
        <w:tc>
          <w:tcPr>
            <w:tcW w:w="1520" w:type="dxa"/>
            <w:vAlign w:val="bottom"/>
          </w:tcPr>
          <w:p>
            <w:pPr>
              <w:jc w:val="right"/>
              <w:ind w:right="229"/>
              <w:spacing w:after="0"/>
              <w:rPr>
                <w:sz w:val="20"/>
                <w:szCs w:val="20"/>
                <w:color w:val="auto"/>
              </w:rPr>
            </w:pPr>
            <w:r>
              <w:rPr>
                <w:rFonts w:ascii="Arial" w:cs="Arial" w:eastAsia="Arial" w:hAnsi="Arial"/>
                <w:sz w:val="14"/>
                <w:szCs w:val="14"/>
                <w:color w:val="55565A"/>
              </w:rPr>
              <w:t>3,233</w:t>
            </w:r>
          </w:p>
        </w:tc>
      </w:tr>
      <w:tr>
        <w:trPr>
          <w:trHeight w:val="42"/>
        </w:trPr>
        <w:tc>
          <w:tcPr>
            <w:tcW w:w="52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7"/>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55565A"/>
              </w:rPr>
              <w:t>Long-term indebtedness</w:t>
            </w:r>
          </w:p>
        </w:tc>
        <w:tc>
          <w:tcPr>
            <w:tcW w:w="3000" w:type="dxa"/>
            <w:vAlign w:val="bottom"/>
            <w:shd w:val="clear" w:color="auto" w:fill="CCEEFF"/>
          </w:tcPr>
          <w:p>
            <w:pPr>
              <w:jc w:val="center"/>
              <w:ind w:left="2209"/>
              <w:spacing w:after="0"/>
              <w:rPr>
                <w:sz w:val="20"/>
                <w:szCs w:val="20"/>
                <w:color w:val="auto"/>
              </w:rPr>
            </w:pPr>
            <w:r>
              <w:rPr>
                <w:rFonts w:ascii="Arial" w:cs="Arial" w:eastAsia="Arial" w:hAnsi="Arial"/>
                <w:sz w:val="14"/>
                <w:szCs w:val="14"/>
                <w:color w:val="55565A"/>
              </w:rPr>
              <w:t>11</w:t>
            </w:r>
          </w:p>
        </w:tc>
        <w:tc>
          <w:tcPr>
            <w:tcW w:w="11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2,879</w:t>
            </w:r>
          </w:p>
        </w:tc>
        <w:tc>
          <w:tcPr>
            <w:tcW w:w="15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2,905</w:t>
            </w:r>
          </w:p>
        </w:tc>
      </w:tr>
      <w:tr>
        <w:trPr>
          <w:trHeight w:val="239"/>
        </w:trPr>
        <w:tc>
          <w:tcPr>
            <w:tcW w:w="5260" w:type="dxa"/>
            <w:vAlign w:val="bottom"/>
          </w:tcPr>
          <w:p>
            <w:pPr>
              <w:ind w:left="120"/>
              <w:spacing w:after="0"/>
              <w:rPr>
                <w:sz w:val="20"/>
                <w:szCs w:val="20"/>
                <w:color w:val="auto"/>
              </w:rPr>
            </w:pPr>
            <w:r>
              <w:rPr>
                <w:rFonts w:ascii="Arial" w:cs="Arial" w:eastAsia="Arial" w:hAnsi="Arial"/>
                <w:sz w:val="14"/>
                <w:szCs w:val="14"/>
                <w:color w:val="55565A"/>
              </w:rPr>
              <w:t>Provisions and other non-current liabilities</w:t>
            </w:r>
          </w:p>
        </w:tc>
        <w:tc>
          <w:tcPr>
            <w:tcW w:w="3000" w:type="dxa"/>
            <w:vAlign w:val="bottom"/>
          </w:tcPr>
          <w:p>
            <w:pPr>
              <w:jc w:val="center"/>
              <w:ind w:left="2209"/>
              <w:spacing w:after="0"/>
              <w:rPr>
                <w:sz w:val="20"/>
                <w:szCs w:val="20"/>
                <w:color w:val="auto"/>
              </w:rPr>
            </w:pPr>
            <w:r>
              <w:rPr>
                <w:rFonts w:ascii="Arial" w:cs="Arial" w:eastAsia="Arial" w:hAnsi="Arial"/>
                <w:sz w:val="14"/>
                <w:szCs w:val="14"/>
                <w:color w:val="55565A"/>
              </w:rPr>
              <w:t>14</w:t>
            </w: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55565A"/>
              </w:rPr>
              <w:t>689</w:t>
            </w:r>
          </w:p>
        </w:tc>
        <w:tc>
          <w:tcPr>
            <w:tcW w:w="1520" w:type="dxa"/>
            <w:vAlign w:val="bottom"/>
          </w:tcPr>
          <w:p>
            <w:pPr>
              <w:jc w:val="right"/>
              <w:ind w:right="229"/>
              <w:spacing w:after="0"/>
              <w:rPr>
                <w:sz w:val="20"/>
                <w:szCs w:val="20"/>
                <w:color w:val="auto"/>
              </w:rPr>
            </w:pPr>
            <w:r>
              <w:rPr>
                <w:rFonts w:ascii="Arial" w:cs="Arial" w:eastAsia="Arial" w:hAnsi="Arial"/>
                <w:sz w:val="14"/>
                <w:szCs w:val="14"/>
                <w:color w:val="55565A"/>
              </w:rPr>
              <w:t>692</w:t>
            </w:r>
          </w:p>
        </w:tc>
      </w:tr>
      <w:tr>
        <w:trPr>
          <w:trHeight w:val="42"/>
        </w:trPr>
        <w:tc>
          <w:tcPr>
            <w:tcW w:w="52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7"/>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55565A"/>
              </w:rPr>
              <w:t>Other financial liabilities</w:t>
            </w:r>
          </w:p>
        </w:tc>
        <w:tc>
          <w:tcPr>
            <w:tcW w:w="3000" w:type="dxa"/>
            <w:vAlign w:val="bottom"/>
            <w:shd w:val="clear" w:color="auto" w:fill="CCEEFF"/>
          </w:tcPr>
          <w:p>
            <w:pPr>
              <w:jc w:val="center"/>
              <w:ind w:left="2209"/>
              <w:spacing w:after="0"/>
              <w:rPr>
                <w:sz w:val="20"/>
                <w:szCs w:val="20"/>
                <w:color w:val="auto"/>
              </w:rPr>
            </w:pPr>
            <w:r>
              <w:rPr>
                <w:rFonts w:ascii="Arial" w:cs="Arial" w:eastAsia="Arial" w:hAnsi="Arial"/>
                <w:sz w:val="14"/>
                <w:szCs w:val="14"/>
                <w:color w:val="55565A"/>
              </w:rPr>
              <w:t>11</w:t>
            </w:r>
          </w:p>
        </w:tc>
        <w:tc>
          <w:tcPr>
            <w:tcW w:w="11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253</w:t>
            </w:r>
          </w:p>
        </w:tc>
        <w:tc>
          <w:tcPr>
            <w:tcW w:w="15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237</w:t>
            </w:r>
          </w:p>
        </w:tc>
      </w:tr>
      <w:tr>
        <w:trPr>
          <w:trHeight w:val="254"/>
        </w:trPr>
        <w:tc>
          <w:tcPr>
            <w:tcW w:w="5260" w:type="dxa"/>
            <w:vAlign w:val="bottom"/>
            <w:tcBorders>
              <w:bottom w:val="single" w:sz="8" w:color="88888B"/>
            </w:tcBorders>
          </w:tcPr>
          <w:p>
            <w:pPr>
              <w:ind w:left="120"/>
              <w:spacing w:after="0"/>
              <w:rPr>
                <w:sz w:val="20"/>
                <w:szCs w:val="20"/>
                <w:color w:val="auto"/>
              </w:rPr>
            </w:pPr>
            <w:r>
              <w:rPr>
                <w:rFonts w:ascii="Arial" w:cs="Arial" w:eastAsia="Arial" w:hAnsi="Arial"/>
                <w:sz w:val="14"/>
                <w:szCs w:val="14"/>
                <w:color w:val="55565A"/>
              </w:rPr>
              <w:t>Deferred tax</w:t>
            </w:r>
          </w:p>
        </w:tc>
        <w:tc>
          <w:tcPr>
            <w:tcW w:w="3000" w:type="dxa"/>
            <w:vAlign w:val="bottom"/>
            <w:tcBorders>
              <w:bottom w:val="single" w:sz="8" w:color="88888B"/>
            </w:tcBorders>
          </w:tcPr>
          <w:p>
            <w:pPr>
              <w:spacing w:after="0"/>
              <w:rPr>
                <w:sz w:val="22"/>
                <w:szCs w:val="22"/>
                <w:color w:val="auto"/>
              </w:rPr>
            </w:pPr>
          </w:p>
        </w:tc>
        <w:tc>
          <w:tcPr>
            <w:tcW w:w="114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425</w:t>
            </w:r>
          </w:p>
        </w:tc>
        <w:tc>
          <w:tcPr>
            <w:tcW w:w="152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553</w:t>
            </w:r>
          </w:p>
        </w:tc>
      </w:tr>
      <w:tr>
        <w:trPr>
          <w:trHeight w:val="234"/>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55565A"/>
              </w:rPr>
              <w:t>Total liabilities</w:t>
            </w:r>
          </w:p>
        </w:tc>
        <w:tc>
          <w:tcPr>
            <w:tcW w:w="30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7,781</w:t>
            </w:r>
          </w:p>
        </w:tc>
        <w:tc>
          <w:tcPr>
            <w:tcW w:w="15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7,620</w:t>
            </w:r>
          </w:p>
        </w:tc>
      </w:tr>
      <w:tr>
        <w:trPr>
          <w:trHeight w:val="239"/>
        </w:trPr>
        <w:tc>
          <w:tcPr>
            <w:tcW w:w="5260" w:type="dxa"/>
            <w:vAlign w:val="bottom"/>
          </w:tcPr>
          <w:p>
            <w:pPr>
              <w:ind w:left="120"/>
              <w:spacing w:after="0"/>
              <w:rPr>
                <w:sz w:val="20"/>
                <w:szCs w:val="20"/>
                <w:color w:val="auto"/>
              </w:rPr>
            </w:pPr>
            <w:r>
              <w:rPr>
                <w:rFonts w:ascii="Arial" w:cs="Arial" w:eastAsia="Arial" w:hAnsi="Arial"/>
                <w:sz w:val="14"/>
                <w:szCs w:val="14"/>
                <w:b w:val="1"/>
                <w:bCs w:val="1"/>
                <w:color w:val="55565A"/>
              </w:rPr>
              <w:t>Equity</w:t>
            </w:r>
          </w:p>
        </w:tc>
        <w:tc>
          <w:tcPr>
            <w:tcW w:w="3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
        </w:trPr>
        <w:tc>
          <w:tcPr>
            <w:tcW w:w="52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7"/>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55565A"/>
              </w:rPr>
              <w:t>Capital</w:t>
            </w:r>
          </w:p>
        </w:tc>
        <w:tc>
          <w:tcPr>
            <w:tcW w:w="3000" w:type="dxa"/>
            <w:vAlign w:val="bottom"/>
            <w:shd w:val="clear" w:color="auto" w:fill="CCEEFF"/>
          </w:tcPr>
          <w:p>
            <w:pPr>
              <w:jc w:val="center"/>
              <w:ind w:left="2209"/>
              <w:spacing w:after="0"/>
              <w:rPr>
                <w:sz w:val="20"/>
                <w:szCs w:val="20"/>
                <w:color w:val="auto"/>
              </w:rPr>
            </w:pPr>
            <w:r>
              <w:rPr>
                <w:rFonts w:ascii="Arial" w:cs="Arial" w:eastAsia="Arial" w:hAnsi="Arial"/>
                <w:sz w:val="14"/>
                <w:szCs w:val="14"/>
                <w:color w:val="55565A"/>
              </w:rPr>
              <w:t>15</w:t>
            </w:r>
          </w:p>
        </w:tc>
        <w:tc>
          <w:tcPr>
            <w:tcW w:w="11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3,400</w:t>
            </w:r>
          </w:p>
        </w:tc>
        <w:tc>
          <w:tcPr>
            <w:tcW w:w="15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3,405</w:t>
            </w:r>
          </w:p>
        </w:tc>
      </w:tr>
      <w:tr>
        <w:trPr>
          <w:trHeight w:val="239"/>
        </w:trPr>
        <w:tc>
          <w:tcPr>
            <w:tcW w:w="5260" w:type="dxa"/>
            <w:vAlign w:val="bottom"/>
          </w:tcPr>
          <w:p>
            <w:pPr>
              <w:ind w:left="120"/>
              <w:spacing w:after="0"/>
              <w:rPr>
                <w:sz w:val="20"/>
                <w:szCs w:val="20"/>
                <w:color w:val="auto"/>
              </w:rPr>
            </w:pPr>
            <w:r>
              <w:rPr>
                <w:rFonts w:ascii="Arial" w:cs="Arial" w:eastAsia="Arial" w:hAnsi="Arial"/>
                <w:sz w:val="14"/>
                <w:szCs w:val="14"/>
                <w:color w:val="55565A"/>
              </w:rPr>
              <w:t>Retained earnings</w:t>
            </w:r>
          </w:p>
        </w:tc>
        <w:tc>
          <w:tcPr>
            <w:tcW w:w="3000" w:type="dxa"/>
            <w:vAlign w:val="bottom"/>
          </w:tcPr>
          <w:p>
            <w:pPr>
              <w:spacing w:after="0"/>
              <w:rPr>
                <w:sz w:val="20"/>
                <w:szCs w:val="20"/>
                <w:color w:val="auto"/>
              </w:rPr>
            </w:pP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55565A"/>
              </w:rPr>
              <w:t>8,712</w:t>
            </w:r>
          </w:p>
        </w:tc>
        <w:tc>
          <w:tcPr>
            <w:tcW w:w="1520" w:type="dxa"/>
            <w:vAlign w:val="bottom"/>
          </w:tcPr>
          <w:p>
            <w:pPr>
              <w:jc w:val="right"/>
              <w:ind w:right="229"/>
              <w:spacing w:after="0"/>
              <w:rPr>
                <w:sz w:val="20"/>
                <w:szCs w:val="20"/>
                <w:color w:val="auto"/>
              </w:rPr>
            </w:pPr>
            <w:r>
              <w:rPr>
                <w:rFonts w:ascii="Arial" w:cs="Arial" w:eastAsia="Arial" w:hAnsi="Arial"/>
                <w:sz w:val="14"/>
                <w:szCs w:val="14"/>
                <w:color w:val="55565A"/>
              </w:rPr>
              <w:t>8,680</w:t>
            </w:r>
          </w:p>
        </w:tc>
      </w:tr>
      <w:tr>
        <w:trPr>
          <w:trHeight w:val="42"/>
        </w:trPr>
        <w:tc>
          <w:tcPr>
            <w:tcW w:w="52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1"/>
        </w:trPr>
        <w:tc>
          <w:tcPr>
            <w:tcW w:w="5260" w:type="dxa"/>
            <w:vAlign w:val="bottom"/>
            <w:tcBorders>
              <w:bottom w:val="single" w:sz="8" w:color="88888B"/>
            </w:tcBorders>
            <w:shd w:val="clear" w:color="auto" w:fill="CCEEFF"/>
          </w:tcPr>
          <w:p>
            <w:pPr>
              <w:ind w:left="120"/>
              <w:spacing w:after="0"/>
              <w:rPr>
                <w:sz w:val="20"/>
                <w:szCs w:val="20"/>
                <w:color w:val="auto"/>
              </w:rPr>
            </w:pPr>
            <w:r>
              <w:rPr>
                <w:rFonts w:ascii="Arial" w:cs="Arial" w:eastAsia="Arial" w:hAnsi="Arial"/>
                <w:sz w:val="14"/>
                <w:szCs w:val="14"/>
                <w:color w:val="55565A"/>
              </w:rPr>
              <w:t>Accumulated other comprehensive loss</w:t>
            </w:r>
          </w:p>
        </w:tc>
        <w:tc>
          <w:tcPr>
            <w:tcW w:w="3000" w:type="dxa"/>
            <w:vAlign w:val="bottom"/>
            <w:tcBorders>
              <w:bottom w:val="single" w:sz="8" w:color="88888B"/>
            </w:tcBorders>
            <w:shd w:val="clear" w:color="auto" w:fill="CCEEFF"/>
          </w:tcPr>
          <w:p>
            <w:pPr>
              <w:spacing w:after="0"/>
              <w:rPr>
                <w:sz w:val="19"/>
                <w:szCs w:val="19"/>
                <w:color w:val="auto"/>
              </w:rPr>
            </w:pPr>
          </w:p>
        </w:tc>
        <w:tc>
          <w:tcPr>
            <w:tcW w:w="114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(1,077)</w:t>
            </w:r>
          </w:p>
        </w:tc>
        <w:tc>
          <w:tcPr>
            <w:tcW w:w="152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(1,021)</w:t>
            </w:r>
          </w:p>
        </w:tc>
      </w:tr>
      <w:tr>
        <w:trPr>
          <w:trHeight w:val="241"/>
        </w:trPr>
        <w:tc>
          <w:tcPr>
            <w:tcW w:w="5260" w:type="dxa"/>
            <w:vAlign w:val="bottom"/>
            <w:tcBorders>
              <w:bottom w:val="single" w:sz="8" w:color="88888B"/>
            </w:tcBorders>
          </w:tcPr>
          <w:p>
            <w:pPr>
              <w:ind w:left="120"/>
              <w:spacing w:after="0"/>
              <w:rPr>
                <w:sz w:val="20"/>
                <w:szCs w:val="20"/>
                <w:color w:val="auto"/>
              </w:rPr>
            </w:pPr>
            <w:r>
              <w:rPr>
                <w:rFonts w:ascii="Arial" w:cs="Arial" w:eastAsia="Arial" w:hAnsi="Arial"/>
                <w:sz w:val="14"/>
                <w:szCs w:val="14"/>
                <w:color w:val="55565A"/>
              </w:rPr>
              <w:t>Total equity</w:t>
            </w:r>
          </w:p>
        </w:tc>
        <w:tc>
          <w:tcPr>
            <w:tcW w:w="3000" w:type="dxa"/>
            <w:vAlign w:val="bottom"/>
            <w:tcBorders>
              <w:bottom w:val="single" w:sz="8" w:color="88888B"/>
            </w:tcBorders>
          </w:tcPr>
          <w:p>
            <w:pPr>
              <w:spacing w:after="0"/>
              <w:rPr>
                <w:sz w:val="20"/>
                <w:szCs w:val="20"/>
                <w:color w:val="auto"/>
              </w:rPr>
            </w:pPr>
          </w:p>
        </w:tc>
        <w:tc>
          <w:tcPr>
            <w:tcW w:w="114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11,035</w:t>
            </w:r>
          </w:p>
        </w:tc>
        <w:tc>
          <w:tcPr>
            <w:tcW w:w="152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11,064</w:t>
            </w:r>
          </w:p>
        </w:tc>
      </w:tr>
      <w:tr>
        <w:trPr>
          <w:trHeight w:val="227"/>
        </w:trPr>
        <w:tc>
          <w:tcPr>
            <w:tcW w:w="5260" w:type="dxa"/>
            <w:vAlign w:val="bottom"/>
            <w:tcBorders>
              <w:bottom w:val="single" w:sz="8" w:color="88888B"/>
            </w:tcBorders>
            <w:shd w:val="clear" w:color="auto" w:fill="CCEEFF"/>
          </w:tcPr>
          <w:p>
            <w:pPr>
              <w:ind w:left="120"/>
              <w:spacing w:after="0"/>
              <w:rPr>
                <w:sz w:val="20"/>
                <w:szCs w:val="20"/>
                <w:color w:val="auto"/>
              </w:rPr>
            </w:pPr>
            <w:r>
              <w:rPr>
                <w:rFonts w:ascii="Arial" w:cs="Arial" w:eastAsia="Arial" w:hAnsi="Arial"/>
                <w:sz w:val="14"/>
                <w:szCs w:val="14"/>
                <w:color w:val="55565A"/>
              </w:rPr>
              <w:t>Total liabilities and equity</w:t>
            </w:r>
          </w:p>
        </w:tc>
        <w:tc>
          <w:tcPr>
            <w:tcW w:w="3000" w:type="dxa"/>
            <w:vAlign w:val="bottom"/>
            <w:tcBorders>
              <w:bottom w:val="single" w:sz="8" w:color="88888B"/>
            </w:tcBorders>
            <w:shd w:val="clear" w:color="auto" w:fill="CCEEFF"/>
          </w:tcPr>
          <w:p>
            <w:pPr>
              <w:spacing w:after="0"/>
              <w:rPr>
                <w:sz w:val="19"/>
                <w:szCs w:val="19"/>
                <w:color w:val="auto"/>
              </w:rPr>
            </w:pPr>
          </w:p>
        </w:tc>
        <w:tc>
          <w:tcPr>
            <w:tcW w:w="114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18,816</w:t>
            </w:r>
          </w:p>
        </w:tc>
        <w:tc>
          <w:tcPr>
            <w:tcW w:w="152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18,684</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55565A"/>
        </w:rPr>
        <w:t>Contingencies (note 18)</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55565A"/>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55565A"/>
        </w:rPr>
        <w:t>Page 40</w:t>
      </w:r>
    </w:p>
    <w:p>
      <w:pPr>
        <w:sectPr>
          <w:pgSz w:w="11900" w:h="16838" w:orient="portrait"/>
          <w:cols w:equalWidth="0" w:num="1">
            <w:col w:w="10920"/>
          </w:cols>
          <w:pgMar w:left="480" w:top="1440" w:right="49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THOMSON REUTERS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CONSOLIDATED STATEMENT OF CASH FLOW</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960" w:type="dxa"/>
            <w:vAlign w:val="bottom"/>
            <w:gridSpan w:val="2"/>
          </w:tcPr>
          <w:p>
            <w:pPr>
              <w:jc w:val="right"/>
              <w:ind w:right="269"/>
              <w:spacing w:after="0"/>
              <w:rPr>
                <w:sz w:val="20"/>
                <w:szCs w:val="20"/>
                <w:color w:val="auto"/>
              </w:rPr>
            </w:pPr>
            <w:r>
              <w:rPr>
                <w:rFonts w:ascii="Arial" w:cs="Arial" w:eastAsia="Arial" w:hAnsi="Arial"/>
                <w:sz w:val="14"/>
                <w:szCs w:val="14"/>
                <w:b w:val="1"/>
                <w:bCs w:val="1"/>
                <w:color w:val="55565A"/>
              </w:rPr>
              <w:t>Three months ended March 31,</w:t>
            </w:r>
          </w:p>
        </w:tc>
      </w:tr>
      <w:tr>
        <w:trPr>
          <w:trHeight w:val="322"/>
        </w:trPr>
        <w:tc>
          <w:tcPr>
            <w:tcW w:w="5640" w:type="dxa"/>
            <w:vAlign w:val="bottom"/>
            <w:tcBorders>
              <w:bottom w:val="single" w:sz="8" w:color="88888B"/>
            </w:tcBorders>
          </w:tcPr>
          <w:p>
            <w:pPr>
              <w:spacing w:after="0"/>
              <w:rPr>
                <w:sz w:val="20"/>
                <w:szCs w:val="20"/>
                <w:color w:val="auto"/>
              </w:rPr>
            </w:pPr>
            <w:r>
              <w:rPr>
                <w:rFonts w:ascii="Arial" w:cs="Arial" w:eastAsia="Arial" w:hAnsi="Arial"/>
                <w:sz w:val="14"/>
                <w:szCs w:val="14"/>
                <w:b w:val="1"/>
                <w:bCs w:val="1"/>
                <w:color w:val="55565A"/>
              </w:rPr>
              <w:t>   (millions of U.S. dollars)</w:t>
            </w:r>
          </w:p>
        </w:tc>
        <w:tc>
          <w:tcPr>
            <w:tcW w:w="2320" w:type="dxa"/>
            <w:vAlign w:val="bottom"/>
            <w:tcBorders>
              <w:bottom w:val="single" w:sz="8" w:color="88888B"/>
            </w:tcBorders>
          </w:tcPr>
          <w:p>
            <w:pPr>
              <w:ind w:left="1400"/>
              <w:spacing w:after="0"/>
              <w:rPr>
                <w:sz w:val="20"/>
                <w:szCs w:val="20"/>
                <w:color w:val="auto"/>
              </w:rPr>
            </w:pPr>
            <w:r>
              <w:rPr>
                <w:rFonts w:ascii="Arial" w:cs="Arial" w:eastAsia="Arial" w:hAnsi="Arial"/>
                <w:sz w:val="14"/>
                <w:szCs w:val="14"/>
                <w:b w:val="1"/>
                <w:bCs w:val="1"/>
                <w:color w:val="55565A"/>
              </w:rPr>
              <w:t>Notes</w:t>
            </w:r>
          </w:p>
        </w:tc>
        <w:tc>
          <w:tcPr>
            <w:tcW w:w="1760" w:type="dxa"/>
            <w:vAlign w:val="bottom"/>
            <w:tcBorders>
              <w:bottom w:val="single" w:sz="8" w:color="88888B"/>
            </w:tcBorders>
          </w:tcPr>
          <w:p>
            <w:pPr>
              <w:jc w:val="right"/>
              <w:ind w:right="409"/>
              <w:spacing w:after="0"/>
              <w:rPr>
                <w:sz w:val="20"/>
                <w:szCs w:val="20"/>
                <w:color w:val="auto"/>
              </w:rPr>
            </w:pPr>
            <w:r>
              <w:rPr>
                <w:rFonts w:ascii="Arial" w:cs="Arial" w:eastAsia="Arial" w:hAnsi="Arial"/>
                <w:sz w:val="14"/>
                <w:szCs w:val="14"/>
                <w:b w:val="1"/>
                <w:bCs w:val="1"/>
                <w:color w:val="55565A"/>
              </w:rPr>
              <w:t>2024</w:t>
            </w:r>
          </w:p>
        </w:tc>
        <w:tc>
          <w:tcPr>
            <w:tcW w:w="1200" w:type="dxa"/>
            <w:vAlign w:val="bottom"/>
            <w:tcBorders>
              <w:bottom w:val="single" w:sz="8" w:color="88888B"/>
            </w:tcBorders>
          </w:tcPr>
          <w:p>
            <w:pPr>
              <w:jc w:val="right"/>
              <w:ind w:right="189"/>
              <w:spacing w:after="0"/>
              <w:rPr>
                <w:sz w:val="20"/>
                <w:szCs w:val="20"/>
                <w:color w:val="auto"/>
              </w:rPr>
            </w:pPr>
            <w:r>
              <w:rPr>
                <w:rFonts w:ascii="Arial" w:cs="Arial" w:eastAsia="Arial" w:hAnsi="Arial"/>
                <w:sz w:val="14"/>
                <w:szCs w:val="14"/>
                <w:color w:val="55565A"/>
              </w:rPr>
              <w:t>2023</w:t>
            </w:r>
            <w:r>
              <w:rPr>
                <w:rFonts w:ascii="Arial" w:cs="Arial" w:eastAsia="Arial" w:hAnsi="Arial"/>
                <w:sz w:val="21"/>
                <w:szCs w:val="21"/>
                <w:color w:val="55565A"/>
                <w:vertAlign w:val="superscript"/>
              </w:rPr>
              <w:t>(1)</w:t>
            </w:r>
          </w:p>
        </w:tc>
      </w:tr>
      <w:tr>
        <w:trPr>
          <w:trHeight w:val="227"/>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55565A"/>
              </w:rPr>
              <w:t>Cash provided by (used in):</w:t>
            </w:r>
          </w:p>
        </w:tc>
        <w:tc>
          <w:tcPr>
            <w:tcW w:w="23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12"/>
        </w:trPr>
        <w:tc>
          <w:tcPr>
            <w:tcW w:w="5640" w:type="dxa"/>
            <w:vAlign w:val="bottom"/>
          </w:tcPr>
          <w:p>
            <w:pPr>
              <w:spacing w:after="0"/>
              <w:rPr>
                <w:sz w:val="20"/>
                <w:szCs w:val="20"/>
                <w:color w:val="auto"/>
              </w:rPr>
            </w:pPr>
            <w:r>
              <w:rPr>
                <w:rFonts w:ascii="Arial" w:cs="Arial" w:eastAsia="Arial" w:hAnsi="Arial"/>
                <w:sz w:val="14"/>
                <w:szCs w:val="14"/>
                <w:b w:val="1"/>
                <w:bCs w:val="1"/>
                <w:color w:val="55565A"/>
              </w:rPr>
              <w:t>OPERATING ACTIVITIES</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2"/>
        </w:trPr>
        <w:tc>
          <w:tcPr>
            <w:tcW w:w="56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5565A"/>
              </w:rPr>
              <w:t>Earnings from continuing operations</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464</w:t>
            </w:r>
          </w:p>
        </w:tc>
        <w:tc>
          <w:tcPr>
            <w:tcW w:w="12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737</w:t>
            </w:r>
          </w:p>
        </w:tc>
      </w:tr>
      <w:tr>
        <w:trPr>
          <w:trHeight w:val="206"/>
        </w:trPr>
        <w:tc>
          <w:tcPr>
            <w:tcW w:w="5640" w:type="dxa"/>
            <w:vAlign w:val="bottom"/>
          </w:tcPr>
          <w:p>
            <w:pPr>
              <w:spacing w:after="0"/>
              <w:rPr>
                <w:sz w:val="20"/>
                <w:szCs w:val="20"/>
                <w:color w:val="auto"/>
              </w:rPr>
            </w:pPr>
            <w:r>
              <w:rPr>
                <w:rFonts w:ascii="Arial" w:cs="Arial" w:eastAsia="Arial" w:hAnsi="Arial"/>
                <w:sz w:val="14"/>
                <w:szCs w:val="14"/>
                <w:color w:val="55565A"/>
              </w:rPr>
              <w:t>Adjustments for:</w:t>
            </w:r>
          </w:p>
        </w:tc>
        <w:tc>
          <w:tcPr>
            <w:tcW w:w="2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56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34"/>
        </w:trPr>
        <w:tc>
          <w:tcPr>
            <w:tcW w:w="5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55565A"/>
              </w:rPr>
              <w:t>Depreciation</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28</w:t>
            </w:r>
          </w:p>
        </w:tc>
        <w:tc>
          <w:tcPr>
            <w:tcW w:w="12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30</w:t>
            </w:r>
          </w:p>
        </w:tc>
      </w:tr>
      <w:tr>
        <w:trPr>
          <w:trHeight w:val="212"/>
        </w:trPr>
        <w:tc>
          <w:tcPr>
            <w:tcW w:w="5640" w:type="dxa"/>
            <w:vAlign w:val="bottom"/>
          </w:tcPr>
          <w:p>
            <w:pPr>
              <w:ind w:left="160"/>
              <w:spacing w:after="0"/>
              <w:rPr>
                <w:sz w:val="20"/>
                <w:szCs w:val="20"/>
                <w:color w:val="auto"/>
              </w:rPr>
            </w:pPr>
            <w:r>
              <w:rPr>
                <w:rFonts w:ascii="Arial" w:cs="Arial" w:eastAsia="Arial" w:hAnsi="Arial"/>
                <w:sz w:val="14"/>
                <w:szCs w:val="14"/>
                <w:color w:val="55565A"/>
              </w:rPr>
              <w:t>Amortization of computer software</w:t>
            </w:r>
          </w:p>
        </w:tc>
        <w:tc>
          <w:tcPr>
            <w:tcW w:w="2320" w:type="dxa"/>
            <w:vAlign w:val="bottom"/>
          </w:tcPr>
          <w:p>
            <w:pPr>
              <w:spacing w:after="0"/>
              <w:rPr>
                <w:sz w:val="18"/>
                <w:szCs w:val="18"/>
                <w:color w:val="auto"/>
              </w:rPr>
            </w:pPr>
          </w:p>
        </w:tc>
        <w:tc>
          <w:tcPr>
            <w:tcW w:w="1760" w:type="dxa"/>
            <w:vAlign w:val="bottom"/>
          </w:tcPr>
          <w:p>
            <w:pPr>
              <w:jc w:val="right"/>
              <w:ind w:right="409"/>
              <w:spacing w:after="0"/>
              <w:rPr>
                <w:sz w:val="20"/>
                <w:szCs w:val="20"/>
                <w:color w:val="auto"/>
              </w:rPr>
            </w:pPr>
            <w:r>
              <w:rPr>
                <w:rFonts w:ascii="Arial" w:cs="Arial" w:eastAsia="Arial" w:hAnsi="Arial"/>
                <w:sz w:val="14"/>
                <w:szCs w:val="14"/>
                <w:b w:val="1"/>
                <w:bCs w:val="1"/>
                <w:color w:val="55565A"/>
              </w:rPr>
              <w:t>153</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118</w:t>
            </w:r>
          </w:p>
        </w:tc>
      </w:tr>
      <w:tr>
        <w:trPr>
          <w:trHeight w:val="42"/>
        </w:trPr>
        <w:tc>
          <w:tcPr>
            <w:tcW w:w="56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4"/>
        </w:trPr>
        <w:tc>
          <w:tcPr>
            <w:tcW w:w="5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55565A"/>
              </w:rPr>
              <w:t>Amortization of other identifiable intangible assets</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25</w:t>
            </w:r>
          </w:p>
        </w:tc>
        <w:tc>
          <w:tcPr>
            <w:tcW w:w="12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25</w:t>
            </w:r>
          </w:p>
        </w:tc>
      </w:tr>
      <w:tr>
        <w:trPr>
          <w:trHeight w:val="212"/>
        </w:trPr>
        <w:tc>
          <w:tcPr>
            <w:tcW w:w="5640" w:type="dxa"/>
            <w:vAlign w:val="bottom"/>
          </w:tcPr>
          <w:p>
            <w:pPr>
              <w:ind w:left="160"/>
              <w:spacing w:after="0"/>
              <w:rPr>
                <w:sz w:val="20"/>
                <w:szCs w:val="20"/>
                <w:color w:val="auto"/>
              </w:rPr>
            </w:pPr>
            <w:r>
              <w:rPr>
                <w:rFonts w:ascii="Arial" w:cs="Arial" w:eastAsia="Arial" w:hAnsi="Arial"/>
                <w:sz w:val="14"/>
                <w:szCs w:val="14"/>
                <w:color w:val="55565A"/>
              </w:rPr>
              <w:t>Share of post-tax losses (earnings) in equity method investments</w:t>
            </w:r>
          </w:p>
        </w:tc>
        <w:tc>
          <w:tcPr>
            <w:tcW w:w="2320" w:type="dxa"/>
            <w:vAlign w:val="bottom"/>
          </w:tcPr>
          <w:p>
            <w:pPr>
              <w:jc w:val="center"/>
              <w:ind w:left="849"/>
              <w:spacing w:after="0"/>
              <w:rPr>
                <w:sz w:val="20"/>
                <w:szCs w:val="20"/>
                <w:color w:val="auto"/>
              </w:rPr>
            </w:pPr>
            <w:r>
              <w:rPr>
                <w:rFonts w:ascii="Arial" w:cs="Arial" w:eastAsia="Arial" w:hAnsi="Arial"/>
                <w:sz w:val="14"/>
                <w:szCs w:val="14"/>
                <w:color w:val="55565A"/>
              </w:rPr>
              <w:t>8</w:t>
            </w:r>
          </w:p>
        </w:tc>
        <w:tc>
          <w:tcPr>
            <w:tcW w:w="1760" w:type="dxa"/>
            <w:vAlign w:val="bottom"/>
          </w:tcPr>
          <w:p>
            <w:pPr>
              <w:jc w:val="right"/>
              <w:ind w:right="409"/>
              <w:spacing w:after="0"/>
              <w:rPr>
                <w:sz w:val="20"/>
                <w:szCs w:val="20"/>
                <w:color w:val="auto"/>
              </w:rPr>
            </w:pPr>
            <w:r>
              <w:rPr>
                <w:rFonts w:ascii="Arial" w:cs="Arial" w:eastAsia="Arial" w:hAnsi="Arial"/>
                <w:sz w:val="14"/>
                <w:szCs w:val="14"/>
                <w:b w:val="1"/>
                <w:bCs w:val="1"/>
                <w:color w:val="55565A"/>
              </w:rPr>
              <w:t>8</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(570)</w:t>
            </w:r>
          </w:p>
        </w:tc>
      </w:tr>
      <w:tr>
        <w:trPr>
          <w:trHeight w:val="42"/>
        </w:trPr>
        <w:tc>
          <w:tcPr>
            <w:tcW w:w="56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4"/>
        </w:trPr>
        <w:tc>
          <w:tcPr>
            <w:tcW w:w="5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55565A"/>
              </w:rPr>
              <w:t>Deferred tax</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(150)</w:t>
            </w:r>
          </w:p>
        </w:tc>
        <w:tc>
          <w:tcPr>
            <w:tcW w:w="12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(127)</w:t>
            </w:r>
          </w:p>
        </w:tc>
      </w:tr>
      <w:tr>
        <w:trPr>
          <w:trHeight w:val="212"/>
        </w:trPr>
        <w:tc>
          <w:tcPr>
            <w:tcW w:w="5640" w:type="dxa"/>
            <w:vAlign w:val="bottom"/>
          </w:tcPr>
          <w:p>
            <w:pPr>
              <w:ind w:left="160"/>
              <w:spacing w:after="0"/>
              <w:rPr>
                <w:sz w:val="20"/>
                <w:szCs w:val="20"/>
                <w:color w:val="auto"/>
              </w:rPr>
            </w:pPr>
            <w:r>
              <w:rPr>
                <w:rFonts w:ascii="Arial" w:cs="Arial" w:eastAsia="Arial" w:hAnsi="Arial"/>
                <w:sz w:val="14"/>
                <w:szCs w:val="14"/>
                <w:color w:val="55565A"/>
              </w:rPr>
              <w:t>Other</w:t>
            </w:r>
          </w:p>
        </w:tc>
        <w:tc>
          <w:tcPr>
            <w:tcW w:w="2320" w:type="dxa"/>
            <w:vAlign w:val="bottom"/>
          </w:tcPr>
          <w:p>
            <w:pPr>
              <w:jc w:val="center"/>
              <w:ind w:left="869"/>
              <w:spacing w:after="0"/>
              <w:rPr>
                <w:sz w:val="20"/>
                <w:szCs w:val="20"/>
                <w:color w:val="auto"/>
              </w:rPr>
            </w:pPr>
            <w:r>
              <w:rPr>
                <w:rFonts w:ascii="Arial" w:cs="Arial" w:eastAsia="Arial" w:hAnsi="Arial"/>
                <w:sz w:val="14"/>
                <w:szCs w:val="14"/>
                <w:color w:val="55565A"/>
                <w:w w:val="89"/>
              </w:rPr>
              <w:t>16</w:t>
            </w:r>
          </w:p>
        </w:tc>
        <w:tc>
          <w:tcPr>
            <w:tcW w:w="1760" w:type="dxa"/>
            <w:vAlign w:val="bottom"/>
          </w:tcPr>
          <w:p>
            <w:pPr>
              <w:jc w:val="right"/>
              <w:ind w:right="409"/>
              <w:spacing w:after="0"/>
              <w:rPr>
                <w:sz w:val="20"/>
                <w:szCs w:val="20"/>
                <w:color w:val="auto"/>
              </w:rPr>
            </w:pPr>
            <w:r>
              <w:rPr>
                <w:rFonts w:ascii="Arial" w:cs="Arial" w:eastAsia="Arial" w:hAnsi="Arial"/>
                <w:sz w:val="14"/>
                <w:szCs w:val="14"/>
                <w:b w:val="1"/>
                <w:bCs w:val="1"/>
                <w:color w:val="55565A"/>
              </w:rPr>
              <w:t>48</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132</w:t>
            </w:r>
          </w:p>
        </w:tc>
      </w:tr>
      <w:tr>
        <w:trPr>
          <w:trHeight w:val="42"/>
        </w:trPr>
        <w:tc>
          <w:tcPr>
            <w:tcW w:w="56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1"/>
        </w:trPr>
        <w:tc>
          <w:tcPr>
            <w:tcW w:w="564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Changes in working capital and other items</w:t>
            </w:r>
          </w:p>
        </w:tc>
        <w:tc>
          <w:tcPr>
            <w:tcW w:w="2320" w:type="dxa"/>
            <w:vAlign w:val="bottom"/>
            <w:tcBorders>
              <w:bottom w:val="single" w:sz="8" w:color="88888B"/>
            </w:tcBorders>
            <w:shd w:val="clear" w:color="auto" w:fill="CCEEFF"/>
          </w:tcPr>
          <w:p>
            <w:pPr>
              <w:jc w:val="center"/>
              <w:ind w:left="869"/>
              <w:spacing w:after="0"/>
              <w:rPr>
                <w:sz w:val="20"/>
                <w:szCs w:val="20"/>
                <w:color w:val="auto"/>
              </w:rPr>
            </w:pPr>
            <w:r>
              <w:rPr>
                <w:rFonts w:ascii="Arial" w:cs="Arial" w:eastAsia="Arial" w:hAnsi="Arial"/>
                <w:sz w:val="14"/>
                <w:szCs w:val="14"/>
                <w:color w:val="55565A"/>
                <w:w w:val="89"/>
              </w:rPr>
              <w:t>16</w:t>
            </w:r>
          </w:p>
        </w:tc>
        <w:tc>
          <w:tcPr>
            <w:tcW w:w="176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(143)</w:t>
            </w:r>
          </w:p>
        </w:tc>
        <w:tc>
          <w:tcPr>
            <w:tcW w:w="120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color w:val="55565A"/>
              </w:rPr>
              <w:t>(80)</w:t>
            </w:r>
          </w:p>
        </w:tc>
      </w:tr>
      <w:tr>
        <w:trPr>
          <w:trHeight w:val="212"/>
        </w:trPr>
        <w:tc>
          <w:tcPr>
            <w:tcW w:w="5640" w:type="dxa"/>
            <w:vAlign w:val="bottom"/>
          </w:tcPr>
          <w:p>
            <w:pPr>
              <w:spacing w:after="0"/>
              <w:rPr>
                <w:sz w:val="20"/>
                <w:szCs w:val="20"/>
                <w:color w:val="auto"/>
              </w:rPr>
            </w:pPr>
            <w:r>
              <w:rPr>
                <w:rFonts w:ascii="Arial" w:cs="Arial" w:eastAsia="Arial" w:hAnsi="Arial"/>
                <w:sz w:val="14"/>
                <w:szCs w:val="14"/>
                <w:color w:val="55565A"/>
              </w:rPr>
              <w:t>Operating cash flows from continuing operations</w:t>
            </w:r>
          </w:p>
        </w:tc>
        <w:tc>
          <w:tcPr>
            <w:tcW w:w="2320" w:type="dxa"/>
            <w:vAlign w:val="bottom"/>
          </w:tcPr>
          <w:p>
            <w:pPr>
              <w:spacing w:after="0"/>
              <w:rPr>
                <w:sz w:val="18"/>
                <w:szCs w:val="18"/>
                <w:color w:val="auto"/>
              </w:rPr>
            </w:pPr>
          </w:p>
        </w:tc>
        <w:tc>
          <w:tcPr>
            <w:tcW w:w="1760" w:type="dxa"/>
            <w:vAlign w:val="bottom"/>
          </w:tcPr>
          <w:p>
            <w:pPr>
              <w:jc w:val="right"/>
              <w:ind w:right="409"/>
              <w:spacing w:after="0"/>
              <w:rPr>
                <w:sz w:val="20"/>
                <w:szCs w:val="20"/>
                <w:color w:val="auto"/>
              </w:rPr>
            </w:pPr>
            <w:r>
              <w:rPr>
                <w:rFonts w:ascii="Arial" w:cs="Arial" w:eastAsia="Arial" w:hAnsi="Arial"/>
                <w:sz w:val="14"/>
                <w:szCs w:val="14"/>
                <w:b w:val="1"/>
                <w:bCs w:val="1"/>
                <w:color w:val="55565A"/>
              </w:rPr>
              <w:t>433</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265</w:t>
            </w:r>
          </w:p>
        </w:tc>
      </w:tr>
      <w:tr>
        <w:trPr>
          <w:trHeight w:val="42"/>
        </w:trPr>
        <w:tc>
          <w:tcPr>
            <w:tcW w:w="56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1"/>
        </w:trPr>
        <w:tc>
          <w:tcPr>
            <w:tcW w:w="564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Operating cash flows from discontinued operations</w:t>
            </w:r>
          </w:p>
        </w:tc>
        <w:tc>
          <w:tcPr>
            <w:tcW w:w="2320" w:type="dxa"/>
            <w:vAlign w:val="bottom"/>
            <w:tcBorders>
              <w:bottom w:val="single" w:sz="8" w:color="88888B"/>
            </w:tcBorders>
            <w:shd w:val="clear" w:color="auto" w:fill="CCEEFF"/>
          </w:tcPr>
          <w:p>
            <w:pPr>
              <w:spacing w:after="0"/>
              <w:rPr>
                <w:sz w:val="19"/>
                <w:szCs w:val="19"/>
                <w:color w:val="auto"/>
              </w:rPr>
            </w:pPr>
          </w:p>
        </w:tc>
        <w:tc>
          <w:tcPr>
            <w:tcW w:w="176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(1)</w:t>
            </w:r>
          </w:p>
        </w:tc>
        <w:tc>
          <w:tcPr>
            <w:tcW w:w="120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color w:val="55565A"/>
              </w:rPr>
              <w:t>2</w:t>
            </w:r>
          </w:p>
        </w:tc>
      </w:tr>
      <w:tr>
        <w:trPr>
          <w:trHeight w:val="221"/>
        </w:trPr>
        <w:tc>
          <w:tcPr>
            <w:tcW w:w="564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Net cash provided by operating activities</w:t>
            </w:r>
          </w:p>
        </w:tc>
        <w:tc>
          <w:tcPr>
            <w:tcW w:w="2320" w:type="dxa"/>
            <w:vAlign w:val="bottom"/>
            <w:tcBorders>
              <w:bottom w:val="single" w:sz="8" w:color="88888B"/>
            </w:tcBorders>
          </w:tcPr>
          <w:p>
            <w:pPr>
              <w:spacing w:after="0"/>
              <w:rPr>
                <w:sz w:val="19"/>
                <w:szCs w:val="19"/>
                <w:color w:val="auto"/>
              </w:rPr>
            </w:pPr>
          </w:p>
        </w:tc>
        <w:tc>
          <w:tcPr>
            <w:tcW w:w="1760" w:type="dxa"/>
            <w:vAlign w:val="bottom"/>
            <w:tcBorders>
              <w:bottom w:val="single" w:sz="8" w:color="88888B"/>
            </w:tcBorders>
          </w:tcPr>
          <w:p>
            <w:pPr>
              <w:jc w:val="right"/>
              <w:ind w:right="409"/>
              <w:spacing w:after="0"/>
              <w:rPr>
                <w:sz w:val="20"/>
                <w:szCs w:val="20"/>
                <w:color w:val="auto"/>
              </w:rPr>
            </w:pPr>
            <w:r>
              <w:rPr>
                <w:rFonts w:ascii="Arial" w:cs="Arial" w:eastAsia="Arial" w:hAnsi="Arial"/>
                <w:sz w:val="14"/>
                <w:szCs w:val="14"/>
                <w:b w:val="1"/>
                <w:bCs w:val="1"/>
                <w:color w:val="55565A"/>
              </w:rPr>
              <w:t>432</w:t>
            </w:r>
          </w:p>
        </w:tc>
        <w:tc>
          <w:tcPr>
            <w:tcW w:w="1200" w:type="dxa"/>
            <w:vAlign w:val="bottom"/>
            <w:tcBorders>
              <w:bottom w:val="single" w:sz="8" w:color="88888B"/>
            </w:tcBorders>
          </w:tcPr>
          <w:p>
            <w:pPr>
              <w:jc w:val="right"/>
              <w:ind w:right="189"/>
              <w:spacing w:after="0"/>
              <w:rPr>
                <w:sz w:val="20"/>
                <w:szCs w:val="20"/>
                <w:color w:val="auto"/>
              </w:rPr>
            </w:pPr>
            <w:r>
              <w:rPr>
                <w:rFonts w:ascii="Arial" w:cs="Arial" w:eastAsia="Arial" w:hAnsi="Arial"/>
                <w:sz w:val="14"/>
                <w:szCs w:val="14"/>
                <w:color w:val="55565A"/>
              </w:rPr>
              <w:t>267</w:t>
            </w:r>
          </w:p>
        </w:tc>
      </w:tr>
      <w:tr>
        <w:trPr>
          <w:trHeight w:val="23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55565A"/>
              </w:rPr>
              <w:t>INVESTING ACTIVITIES</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12"/>
        </w:trPr>
        <w:tc>
          <w:tcPr>
            <w:tcW w:w="5640" w:type="dxa"/>
            <w:vAlign w:val="bottom"/>
          </w:tcPr>
          <w:p>
            <w:pPr>
              <w:spacing w:after="0"/>
              <w:rPr>
                <w:sz w:val="20"/>
                <w:szCs w:val="20"/>
                <w:color w:val="auto"/>
              </w:rPr>
            </w:pPr>
            <w:r>
              <w:rPr>
                <w:rFonts w:ascii="Arial" w:cs="Arial" w:eastAsia="Arial" w:hAnsi="Arial"/>
                <w:sz w:val="14"/>
                <w:szCs w:val="14"/>
                <w:color w:val="55565A"/>
              </w:rPr>
              <w:t>Acquisitions, net of cash acquired</w:t>
            </w:r>
          </w:p>
        </w:tc>
        <w:tc>
          <w:tcPr>
            <w:tcW w:w="2320" w:type="dxa"/>
            <w:vAlign w:val="bottom"/>
          </w:tcPr>
          <w:p>
            <w:pPr>
              <w:jc w:val="center"/>
              <w:ind w:left="869"/>
              <w:spacing w:after="0"/>
              <w:rPr>
                <w:sz w:val="20"/>
                <w:szCs w:val="20"/>
                <w:color w:val="auto"/>
              </w:rPr>
            </w:pPr>
            <w:r>
              <w:rPr>
                <w:rFonts w:ascii="Arial" w:cs="Arial" w:eastAsia="Arial" w:hAnsi="Arial"/>
                <w:sz w:val="14"/>
                <w:szCs w:val="14"/>
                <w:color w:val="55565A"/>
                <w:w w:val="89"/>
              </w:rPr>
              <w:t>17</w:t>
            </w:r>
          </w:p>
        </w:tc>
        <w:tc>
          <w:tcPr>
            <w:tcW w:w="1760" w:type="dxa"/>
            <w:vAlign w:val="bottom"/>
          </w:tcPr>
          <w:p>
            <w:pPr>
              <w:jc w:val="right"/>
              <w:ind w:right="409"/>
              <w:spacing w:after="0"/>
              <w:rPr>
                <w:sz w:val="20"/>
                <w:szCs w:val="20"/>
                <w:color w:val="auto"/>
              </w:rPr>
            </w:pPr>
            <w:r>
              <w:rPr>
                <w:rFonts w:ascii="Arial" w:cs="Arial" w:eastAsia="Arial" w:hAnsi="Arial"/>
                <w:sz w:val="14"/>
                <w:szCs w:val="14"/>
                <w:b w:val="1"/>
                <w:bCs w:val="1"/>
                <w:color w:val="55565A"/>
              </w:rPr>
              <w:t>(436)</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(490)</w:t>
            </w:r>
          </w:p>
        </w:tc>
      </w:tr>
      <w:tr>
        <w:trPr>
          <w:trHeight w:val="42"/>
        </w:trPr>
        <w:tc>
          <w:tcPr>
            <w:tcW w:w="56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5565A"/>
              </w:rPr>
              <w:t>Payments related to disposals of businesses and investments</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(4)</w:t>
            </w:r>
          </w:p>
        </w:tc>
        <w:tc>
          <w:tcPr>
            <w:tcW w:w="12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w:t>
            </w:r>
          </w:p>
        </w:tc>
      </w:tr>
      <w:tr>
        <w:trPr>
          <w:trHeight w:val="212"/>
        </w:trPr>
        <w:tc>
          <w:tcPr>
            <w:tcW w:w="5640" w:type="dxa"/>
            <w:vAlign w:val="bottom"/>
          </w:tcPr>
          <w:p>
            <w:pPr>
              <w:spacing w:after="0"/>
              <w:rPr>
                <w:sz w:val="20"/>
                <w:szCs w:val="20"/>
                <w:color w:val="auto"/>
              </w:rPr>
            </w:pPr>
            <w:r>
              <w:rPr>
                <w:rFonts w:ascii="Arial" w:cs="Arial" w:eastAsia="Arial" w:hAnsi="Arial"/>
                <w:sz w:val="14"/>
                <w:szCs w:val="14"/>
                <w:color w:val="55565A"/>
              </w:rPr>
              <w:t>Proceeds from sales of LSEG shares</w:t>
            </w:r>
          </w:p>
        </w:tc>
        <w:tc>
          <w:tcPr>
            <w:tcW w:w="2320" w:type="dxa"/>
            <w:vAlign w:val="bottom"/>
          </w:tcPr>
          <w:p>
            <w:pPr>
              <w:jc w:val="center"/>
              <w:ind w:left="849"/>
              <w:spacing w:after="0"/>
              <w:rPr>
                <w:sz w:val="20"/>
                <w:szCs w:val="20"/>
                <w:color w:val="auto"/>
              </w:rPr>
            </w:pPr>
            <w:r>
              <w:rPr>
                <w:rFonts w:ascii="Arial" w:cs="Arial" w:eastAsia="Arial" w:hAnsi="Arial"/>
                <w:sz w:val="14"/>
                <w:szCs w:val="14"/>
                <w:color w:val="55565A"/>
              </w:rPr>
              <w:t>8</w:t>
            </w:r>
          </w:p>
        </w:tc>
        <w:tc>
          <w:tcPr>
            <w:tcW w:w="1760" w:type="dxa"/>
            <w:vAlign w:val="bottom"/>
          </w:tcPr>
          <w:p>
            <w:pPr>
              <w:jc w:val="right"/>
              <w:ind w:right="409"/>
              <w:spacing w:after="0"/>
              <w:rPr>
                <w:sz w:val="20"/>
                <w:szCs w:val="20"/>
                <w:color w:val="auto"/>
              </w:rPr>
            </w:pPr>
            <w:r>
              <w:rPr>
                <w:rFonts w:ascii="Arial" w:cs="Arial" w:eastAsia="Arial" w:hAnsi="Arial"/>
                <w:sz w:val="14"/>
                <w:szCs w:val="14"/>
                <w:b w:val="1"/>
                <w:bCs w:val="1"/>
                <w:color w:val="55565A"/>
              </w:rPr>
              <w:t>1,244</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2,293</w:t>
            </w:r>
          </w:p>
        </w:tc>
      </w:tr>
      <w:tr>
        <w:trPr>
          <w:trHeight w:val="42"/>
        </w:trPr>
        <w:tc>
          <w:tcPr>
            <w:tcW w:w="56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5565A"/>
              </w:rPr>
              <w:t>Capital expenditures</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(145)</w:t>
            </w:r>
          </w:p>
        </w:tc>
        <w:tc>
          <w:tcPr>
            <w:tcW w:w="12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(140)</w:t>
            </w:r>
          </w:p>
        </w:tc>
      </w:tr>
      <w:tr>
        <w:trPr>
          <w:trHeight w:val="212"/>
        </w:trPr>
        <w:tc>
          <w:tcPr>
            <w:tcW w:w="5640" w:type="dxa"/>
            <w:vAlign w:val="bottom"/>
          </w:tcPr>
          <w:p>
            <w:pPr>
              <w:spacing w:after="0"/>
              <w:rPr>
                <w:sz w:val="20"/>
                <w:szCs w:val="20"/>
                <w:color w:val="auto"/>
              </w:rPr>
            </w:pPr>
            <w:r>
              <w:rPr>
                <w:rFonts w:ascii="Arial" w:cs="Arial" w:eastAsia="Arial" w:hAnsi="Arial"/>
                <w:sz w:val="14"/>
                <w:szCs w:val="14"/>
                <w:color w:val="55565A"/>
              </w:rPr>
              <w:t>Other investing activities</w:t>
            </w:r>
          </w:p>
        </w:tc>
        <w:tc>
          <w:tcPr>
            <w:tcW w:w="2320" w:type="dxa"/>
            <w:vAlign w:val="bottom"/>
          </w:tcPr>
          <w:p>
            <w:pPr>
              <w:spacing w:after="0"/>
              <w:rPr>
                <w:sz w:val="18"/>
                <w:szCs w:val="18"/>
                <w:color w:val="auto"/>
              </w:rPr>
            </w:pPr>
          </w:p>
        </w:tc>
        <w:tc>
          <w:tcPr>
            <w:tcW w:w="1760" w:type="dxa"/>
            <w:vAlign w:val="bottom"/>
          </w:tcPr>
          <w:p>
            <w:pPr>
              <w:jc w:val="right"/>
              <w:ind w:right="409"/>
              <w:spacing w:after="0"/>
              <w:rPr>
                <w:sz w:val="20"/>
                <w:szCs w:val="20"/>
                <w:color w:val="auto"/>
              </w:rPr>
            </w:pPr>
            <w:r>
              <w:rPr>
                <w:rFonts w:ascii="Arial" w:cs="Arial" w:eastAsia="Arial" w:hAnsi="Arial"/>
                <w:sz w:val="14"/>
                <w:szCs w:val="14"/>
                <w:b w:val="1"/>
                <w:bCs w:val="1"/>
                <w:color w:val="55565A"/>
              </w:rPr>
              <w:t>-</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23</w:t>
            </w:r>
          </w:p>
        </w:tc>
      </w:tr>
      <w:tr>
        <w:trPr>
          <w:trHeight w:val="42"/>
        </w:trPr>
        <w:tc>
          <w:tcPr>
            <w:tcW w:w="56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1"/>
        </w:trPr>
        <w:tc>
          <w:tcPr>
            <w:tcW w:w="564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Taxes paid on sales of LSEG shares and disposals of businesses</w:t>
            </w:r>
          </w:p>
        </w:tc>
        <w:tc>
          <w:tcPr>
            <w:tcW w:w="2320" w:type="dxa"/>
            <w:vAlign w:val="bottom"/>
            <w:tcBorders>
              <w:bottom w:val="single" w:sz="8" w:color="88888B"/>
            </w:tcBorders>
            <w:shd w:val="clear" w:color="auto" w:fill="CCEEFF"/>
          </w:tcPr>
          <w:p>
            <w:pPr>
              <w:spacing w:after="0"/>
              <w:rPr>
                <w:sz w:val="19"/>
                <w:szCs w:val="19"/>
                <w:color w:val="auto"/>
              </w:rPr>
            </w:pPr>
          </w:p>
        </w:tc>
        <w:tc>
          <w:tcPr>
            <w:tcW w:w="176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(16)</w:t>
            </w:r>
          </w:p>
        </w:tc>
        <w:tc>
          <w:tcPr>
            <w:tcW w:w="120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color w:val="55565A"/>
              </w:rPr>
              <w:t>(18)</w:t>
            </w:r>
          </w:p>
        </w:tc>
      </w:tr>
      <w:tr>
        <w:trPr>
          <w:trHeight w:val="221"/>
        </w:trPr>
        <w:tc>
          <w:tcPr>
            <w:tcW w:w="564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Net cash provided by investing activities</w:t>
            </w:r>
          </w:p>
        </w:tc>
        <w:tc>
          <w:tcPr>
            <w:tcW w:w="2320" w:type="dxa"/>
            <w:vAlign w:val="bottom"/>
            <w:tcBorders>
              <w:bottom w:val="single" w:sz="8" w:color="88888B"/>
            </w:tcBorders>
          </w:tcPr>
          <w:p>
            <w:pPr>
              <w:spacing w:after="0"/>
              <w:rPr>
                <w:sz w:val="19"/>
                <w:szCs w:val="19"/>
                <w:color w:val="auto"/>
              </w:rPr>
            </w:pPr>
          </w:p>
        </w:tc>
        <w:tc>
          <w:tcPr>
            <w:tcW w:w="1760" w:type="dxa"/>
            <w:vAlign w:val="bottom"/>
            <w:tcBorders>
              <w:bottom w:val="single" w:sz="8" w:color="88888B"/>
            </w:tcBorders>
          </w:tcPr>
          <w:p>
            <w:pPr>
              <w:jc w:val="right"/>
              <w:ind w:right="409"/>
              <w:spacing w:after="0"/>
              <w:rPr>
                <w:sz w:val="20"/>
                <w:szCs w:val="20"/>
                <w:color w:val="auto"/>
              </w:rPr>
            </w:pPr>
            <w:r>
              <w:rPr>
                <w:rFonts w:ascii="Arial" w:cs="Arial" w:eastAsia="Arial" w:hAnsi="Arial"/>
                <w:sz w:val="14"/>
                <w:szCs w:val="14"/>
                <w:b w:val="1"/>
                <w:bCs w:val="1"/>
                <w:color w:val="55565A"/>
              </w:rPr>
              <w:t>643</w:t>
            </w:r>
          </w:p>
        </w:tc>
        <w:tc>
          <w:tcPr>
            <w:tcW w:w="1200" w:type="dxa"/>
            <w:vAlign w:val="bottom"/>
            <w:tcBorders>
              <w:bottom w:val="single" w:sz="8" w:color="88888B"/>
            </w:tcBorders>
          </w:tcPr>
          <w:p>
            <w:pPr>
              <w:jc w:val="right"/>
              <w:ind w:right="189"/>
              <w:spacing w:after="0"/>
              <w:rPr>
                <w:sz w:val="20"/>
                <w:szCs w:val="20"/>
                <w:color w:val="auto"/>
              </w:rPr>
            </w:pPr>
            <w:r>
              <w:rPr>
                <w:rFonts w:ascii="Arial" w:cs="Arial" w:eastAsia="Arial" w:hAnsi="Arial"/>
                <w:sz w:val="14"/>
                <w:szCs w:val="14"/>
                <w:color w:val="55565A"/>
              </w:rPr>
              <w:t>1,668</w:t>
            </w:r>
          </w:p>
        </w:tc>
      </w:tr>
      <w:tr>
        <w:trPr>
          <w:trHeight w:val="23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55565A"/>
              </w:rPr>
              <w:t>FINANCING ACTIVITIES</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12"/>
        </w:trPr>
        <w:tc>
          <w:tcPr>
            <w:tcW w:w="5640" w:type="dxa"/>
            <w:vAlign w:val="bottom"/>
          </w:tcPr>
          <w:p>
            <w:pPr>
              <w:spacing w:after="0"/>
              <w:rPr>
                <w:sz w:val="20"/>
                <w:szCs w:val="20"/>
                <w:color w:val="auto"/>
              </w:rPr>
            </w:pPr>
            <w:r>
              <w:rPr>
                <w:rFonts w:ascii="Arial" w:cs="Arial" w:eastAsia="Arial" w:hAnsi="Arial"/>
                <w:sz w:val="14"/>
                <w:szCs w:val="14"/>
                <w:color w:val="55565A"/>
              </w:rPr>
              <w:t>Repayments of debt</w:t>
            </w:r>
          </w:p>
        </w:tc>
        <w:tc>
          <w:tcPr>
            <w:tcW w:w="2320" w:type="dxa"/>
            <w:vAlign w:val="bottom"/>
          </w:tcPr>
          <w:p>
            <w:pPr>
              <w:spacing w:after="0"/>
              <w:rPr>
                <w:sz w:val="18"/>
                <w:szCs w:val="18"/>
                <w:color w:val="auto"/>
              </w:rPr>
            </w:pPr>
          </w:p>
        </w:tc>
        <w:tc>
          <w:tcPr>
            <w:tcW w:w="1760" w:type="dxa"/>
            <w:vAlign w:val="bottom"/>
          </w:tcPr>
          <w:p>
            <w:pPr>
              <w:jc w:val="right"/>
              <w:ind w:right="409"/>
              <w:spacing w:after="0"/>
              <w:rPr>
                <w:sz w:val="20"/>
                <w:szCs w:val="20"/>
                <w:color w:val="auto"/>
              </w:rPr>
            </w:pPr>
            <w:r>
              <w:rPr>
                <w:rFonts w:ascii="Arial" w:cs="Arial" w:eastAsia="Arial" w:hAnsi="Arial"/>
                <w:sz w:val="14"/>
                <w:szCs w:val="14"/>
                <w:b w:val="1"/>
                <w:bCs w:val="1"/>
                <w:color w:val="55565A"/>
              </w:rPr>
              <w:t>(48)</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w:t>
            </w:r>
          </w:p>
        </w:tc>
      </w:tr>
      <w:tr>
        <w:trPr>
          <w:trHeight w:val="42"/>
        </w:trPr>
        <w:tc>
          <w:tcPr>
            <w:tcW w:w="56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5565A"/>
              </w:rPr>
              <w:t>Net borrowings (repayments) under short-term loan facilities</w:t>
            </w:r>
          </w:p>
        </w:tc>
        <w:tc>
          <w:tcPr>
            <w:tcW w:w="2320" w:type="dxa"/>
            <w:vAlign w:val="bottom"/>
            <w:tcBorders>
              <w:bottom w:val="single" w:sz="8" w:color="CCEEFF"/>
            </w:tcBorders>
            <w:shd w:val="clear" w:color="auto" w:fill="CCEEFF"/>
          </w:tcPr>
          <w:p>
            <w:pPr>
              <w:jc w:val="center"/>
              <w:ind w:left="869"/>
              <w:spacing w:after="0"/>
              <w:rPr>
                <w:sz w:val="20"/>
                <w:szCs w:val="20"/>
                <w:color w:val="auto"/>
              </w:rPr>
            </w:pPr>
            <w:r>
              <w:rPr>
                <w:rFonts w:ascii="Arial" w:cs="Arial" w:eastAsia="Arial" w:hAnsi="Arial"/>
                <w:sz w:val="14"/>
                <w:szCs w:val="14"/>
                <w:color w:val="55565A"/>
                <w:w w:val="89"/>
              </w:rPr>
              <w:t>11</w:t>
            </w:r>
          </w:p>
        </w:tc>
        <w:tc>
          <w:tcPr>
            <w:tcW w:w="17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564</w:t>
            </w:r>
          </w:p>
        </w:tc>
        <w:tc>
          <w:tcPr>
            <w:tcW w:w="12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(361)</w:t>
            </w:r>
          </w:p>
        </w:tc>
      </w:tr>
      <w:tr>
        <w:trPr>
          <w:trHeight w:val="212"/>
        </w:trPr>
        <w:tc>
          <w:tcPr>
            <w:tcW w:w="5640" w:type="dxa"/>
            <w:vAlign w:val="bottom"/>
          </w:tcPr>
          <w:p>
            <w:pPr>
              <w:spacing w:after="0"/>
              <w:rPr>
                <w:sz w:val="20"/>
                <w:szCs w:val="20"/>
                <w:color w:val="auto"/>
              </w:rPr>
            </w:pPr>
            <w:r>
              <w:rPr>
                <w:rFonts w:ascii="Arial" w:cs="Arial" w:eastAsia="Arial" w:hAnsi="Arial"/>
                <w:sz w:val="14"/>
                <w:szCs w:val="14"/>
                <w:color w:val="55565A"/>
              </w:rPr>
              <w:t>Payments of lease principal</w:t>
            </w:r>
          </w:p>
        </w:tc>
        <w:tc>
          <w:tcPr>
            <w:tcW w:w="2320" w:type="dxa"/>
            <w:vAlign w:val="bottom"/>
          </w:tcPr>
          <w:p>
            <w:pPr>
              <w:spacing w:after="0"/>
              <w:rPr>
                <w:sz w:val="18"/>
                <w:szCs w:val="18"/>
                <w:color w:val="auto"/>
              </w:rPr>
            </w:pPr>
          </w:p>
        </w:tc>
        <w:tc>
          <w:tcPr>
            <w:tcW w:w="1760" w:type="dxa"/>
            <w:vAlign w:val="bottom"/>
          </w:tcPr>
          <w:p>
            <w:pPr>
              <w:jc w:val="right"/>
              <w:ind w:right="409"/>
              <w:spacing w:after="0"/>
              <w:rPr>
                <w:sz w:val="20"/>
                <w:szCs w:val="20"/>
                <w:color w:val="auto"/>
              </w:rPr>
            </w:pPr>
            <w:r>
              <w:rPr>
                <w:rFonts w:ascii="Arial" w:cs="Arial" w:eastAsia="Arial" w:hAnsi="Arial"/>
                <w:sz w:val="14"/>
                <w:szCs w:val="14"/>
                <w:b w:val="1"/>
                <w:bCs w:val="1"/>
                <w:color w:val="55565A"/>
              </w:rPr>
              <w:t>(15)</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(16)</w:t>
            </w:r>
          </w:p>
        </w:tc>
      </w:tr>
      <w:tr>
        <w:trPr>
          <w:trHeight w:val="42"/>
        </w:trPr>
        <w:tc>
          <w:tcPr>
            <w:tcW w:w="56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5565A"/>
              </w:rPr>
              <w:t>Repurchases of common shares</w:t>
            </w:r>
          </w:p>
        </w:tc>
        <w:tc>
          <w:tcPr>
            <w:tcW w:w="2320" w:type="dxa"/>
            <w:vAlign w:val="bottom"/>
            <w:tcBorders>
              <w:bottom w:val="single" w:sz="8" w:color="CCEEFF"/>
            </w:tcBorders>
            <w:shd w:val="clear" w:color="auto" w:fill="CCEEFF"/>
          </w:tcPr>
          <w:p>
            <w:pPr>
              <w:jc w:val="center"/>
              <w:ind w:left="869"/>
              <w:spacing w:after="0"/>
              <w:rPr>
                <w:sz w:val="20"/>
                <w:szCs w:val="20"/>
                <w:color w:val="auto"/>
              </w:rPr>
            </w:pPr>
            <w:r>
              <w:rPr>
                <w:rFonts w:ascii="Arial" w:cs="Arial" w:eastAsia="Arial" w:hAnsi="Arial"/>
                <w:sz w:val="14"/>
                <w:szCs w:val="14"/>
                <w:color w:val="55565A"/>
                <w:w w:val="89"/>
              </w:rPr>
              <w:t>15</w:t>
            </w:r>
          </w:p>
        </w:tc>
        <w:tc>
          <w:tcPr>
            <w:tcW w:w="17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(352)</w:t>
            </w:r>
          </w:p>
        </w:tc>
        <w:tc>
          <w:tcPr>
            <w:tcW w:w="12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(718)</w:t>
            </w:r>
          </w:p>
        </w:tc>
      </w:tr>
      <w:tr>
        <w:trPr>
          <w:trHeight w:val="212"/>
        </w:trPr>
        <w:tc>
          <w:tcPr>
            <w:tcW w:w="5640" w:type="dxa"/>
            <w:vAlign w:val="bottom"/>
          </w:tcPr>
          <w:p>
            <w:pPr>
              <w:spacing w:after="0"/>
              <w:rPr>
                <w:sz w:val="20"/>
                <w:szCs w:val="20"/>
                <w:color w:val="auto"/>
              </w:rPr>
            </w:pPr>
            <w:r>
              <w:rPr>
                <w:rFonts w:ascii="Arial" w:cs="Arial" w:eastAsia="Arial" w:hAnsi="Arial"/>
                <w:sz w:val="14"/>
                <w:szCs w:val="14"/>
                <w:color w:val="55565A"/>
              </w:rPr>
              <w:t>Dividends paid on preference shares</w:t>
            </w:r>
          </w:p>
        </w:tc>
        <w:tc>
          <w:tcPr>
            <w:tcW w:w="2320" w:type="dxa"/>
            <w:vAlign w:val="bottom"/>
          </w:tcPr>
          <w:p>
            <w:pPr>
              <w:spacing w:after="0"/>
              <w:rPr>
                <w:sz w:val="18"/>
                <w:szCs w:val="18"/>
                <w:color w:val="auto"/>
              </w:rPr>
            </w:pPr>
          </w:p>
        </w:tc>
        <w:tc>
          <w:tcPr>
            <w:tcW w:w="1760" w:type="dxa"/>
            <w:vAlign w:val="bottom"/>
          </w:tcPr>
          <w:p>
            <w:pPr>
              <w:jc w:val="right"/>
              <w:ind w:right="409"/>
              <w:spacing w:after="0"/>
              <w:rPr>
                <w:sz w:val="20"/>
                <w:szCs w:val="20"/>
                <w:color w:val="auto"/>
              </w:rPr>
            </w:pPr>
            <w:r>
              <w:rPr>
                <w:rFonts w:ascii="Arial" w:cs="Arial" w:eastAsia="Arial" w:hAnsi="Arial"/>
                <w:sz w:val="14"/>
                <w:szCs w:val="14"/>
                <w:b w:val="1"/>
                <w:bCs w:val="1"/>
                <w:color w:val="55565A"/>
              </w:rPr>
              <w:t>(1)</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(1)</w:t>
            </w:r>
          </w:p>
        </w:tc>
      </w:tr>
      <w:tr>
        <w:trPr>
          <w:trHeight w:val="42"/>
        </w:trPr>
        <w:tc>
          <w:tcPr>
            <w:tcW w:w="56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5565A"/>
              </w:rPr>
              <w:t>Dividends paid on common shares</w:t>
            </w:r>
          </w:p>
        </w:tc>
        <w:tc>
          <w:tcPr>
            <w:tcW w:w="2320" w:type="dxa"/>
            <w:vAlign w:val="bottom"/>
            <w:tcBorders>
              <w:bottom w:val="single" w:sz="8" w:color="CCEEFF"/>
            </w:tcBorders>
            <w:shd w:val="clear" w:color="auto" w:fill="CCEEFF"/>
          </w:tcPr>
          <w:p>
            <w:pPr>
              <w:jc w:val="center"/>
              <w:ind w:left="869"/>
              <w:spacing w:after="0"/>
              <w:rPr>
                <w:sz w:val="20"/>
                <w:szCs w:val="20"/>
                <w:color w:val="auto"/>
              </w:rPr>
            </w:pPr>
            <w:r>
              <w:rPr>
                <w:rFonts w:ascii="Arial" w:cs="Arial" w:eastAsia="Arial" w:hAnsi="Arial"/>
                <w:sz w:val="14"/>
                <w:szCs w:val="14"/>
                <w:color w:val="55565A"/>
                <w:w w:val="89"/>
              </w:rPr>
              <w:t>15</w:t>
            </w:r>
          </w:p>
        </w:tc>
        <w:tc>
          <w:tcPr>
            <w:tcW w:w="17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(237)</w:t>
            </w:r>
          </w:p>
        </w:tc>
        <w:tc>
          <w:tcPr>
            <w:tcW w:w="120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5565A"/>
              </w:rPr>
              <w:t>(224)</w:t>
            </w:r>
          </w:p>
        </w:tc>
      </w:tr>
      <w:tr>
        <w:trPr>
          <w:trHeight w:val="212"/>
        </w:trPr>
        <w:tc>
          <w:tcPr>
            <w:tcW w:w="5640" w:type="dxa"/>
            <w:vAlign w:val="bottom"/>
          </w:tcPr>
          <w:p>
            <w:pPr>
              <w:spacing w:after="0"/>
              <w:rPr>
                <w:sz w:val="20"/>
                <w:szCs w:val="20"/>
                <w:color w:val="auto"/>
              </w:rPr>
            </w:pPr>
            <w:r>
              <w:rPr>
                <w:rFonts w:ascii="Arial" w:cs="Arial" w:eastAsia="Arial" w:hAnsi="Arial"/>
                <w:sz w:val="14"/>
                <w:szCs w:val="14"/>
                <w:color w:val="55565A"/>
              </w:rPr>
              <w:t>Purchase of non-controlling interests</w:t>
            </w:r>
          </w:p>
        </w:tc>
        <w:tc>
          <w:tcPr>
            <w:tcW w:w="2320" w:type="dxa"/>
            <w:vAlign w:val="bottom"/>
          </w:tcPr>
          <w:p>
            <w:pPr>
              <w:jc w:val="center"/>
              <w:ind w:left="869"/>
              <w:spacing w:after="0"/>
              <w:rPr>
                <w:sz w:val="20"/>
                <w:szCs w:val="20"/>
                <w:color w:val="auto"/>
              </w:rPr>
            </w:pPr>
            <w:r>
              <w:rPr>
                <w:rFonts w:ascii="Arial" w:cs="Arial" w:eastAsia="Arial" w:hAnsi="Arial"/>
                <w:sz w:val="14"/>
                <w:szCs w:val="14"/>
                <w:color w:val="55565A"/>
                <w:w w:val="89"/>
              </w:rPr>
              <w:t>17</w:t>
            </w:r>
          </w:p>
        </w:tc>
        <w:tc>
          <w:tcPr>
            <w:tcW w:w="1760" w:type="dxa"/>
            <w:vAlign w:val="bottom"/>
          </w:tcPr>
          <w:p>
            <w:pPr>
              <w:jc w:val="right"/>
              <w:ind w:right="409"/>
              <w:spacing w:after="0"/>
              <w:rPr>
                <w:sz w:val="20"/>
                <w:szCs w:val="20"/>
                <w:color w:val="auto"/>
              </w:rPr>
            </w:pPr>
            <w:r>
              <w:rPr>
                <w:rFonts w:ascii="Arial" w:cs="Arial" w:eastAsia="Arial" w:hAnsi="Arial"/>
                <w:sz w:val="14"/>
                <w:szCs w:val="14"/>
                <w:b w:val="1"/>
                <w:bCs w:val="1"/>
                <w:color w:val="55565A"/>
              </w:rPr>
              <w:t>(380)</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w:t>
            </w:r>
          </w:p>
        </w:tc>
      </w:tr>
      <w:tr>
        <w:trPr>
          <w:trHeight w:val="42"/>
        </w:trPr>
        <w:tc>
          <w:tcPr>
            <w:tcW w:w="56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1"/>
        </w:trPr>
        <w:tc>
          <w:tcPr>
            <w:tcW w:w="564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Other financing activities</w:t>
            </w:r>
          </w:p>
        </w:tc>
        <w:tc>
          <w:tcPr>
            <w:tcW w:w="2320" w:type="dxa"/>
            <w:vAlign w:val="bottom"/>
            <w:tcBorders>
              <w:bottom w:val="single" w:sz="8" w:color="88888B"/>
            </w:tcBorders>
            <w:shd w:val="clear" w:color="auto" w:fill="CCEEFF"/>
          </w:tcPr>
          <w:p>
            <w:pPr>
              <w:spacing w:after="0"/>
              <w:rPr>
                <w:sz w:val="19"/>
                <w:szCs w:val="19"/>
                <w:color w:val="auto"/>
              </w:rPr>
            </w:pPr>
          </w:p>
        </w:tc>
        <w:tc>
          <w:tcPr>
            <w:tcW w:w="176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(1)</w:t>
            </w:r>
          </w:p>
        </w:tc>
        <w:tc>
          <w:tcPr>
            <w:tcW w:w="120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color w:val="55565A"/>
              </w:rPr>
              <w:t>5</w:t>
            </w:r>
          </w:p>
        </w:tc>
      </w:tr>
      <w:tr>
        <w:trPr>
          <w:trHeight w:val="221"/>
        </w:trPr>
        <w:tc>
          <w:tcPr>
            <w:tcW w:w="564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Net cash used in financing activities</w:t>
            </w:r>
          </w:p>
        </w:tc>
        <w:tc>
          <w:tcPr>
            <w:tcW w:w="2320" w:type="dxa"/>
            <w:vAlign w:val="bottom"/>
            <w:tcBorders>
              <w:bottom w:val="single" w:sz="8" w:color="88888B"/>
            </w:tcBorders>
          </w:tcPr>
          <w:p>
            <w:pPr>
              <w:spacing w:after="0"/>
              <w:rPr>
                <w:sz w:val="19"/>
                <w:szCs w:val="19"/>
                <w:color w:val="auto"/>
              </w:rPr>
            </w:pPr>
          </w:p>
        </w:tc>
        <w:tc>
          <w:tcPr>
            <w:tcW w:w="1760" w:type="dxa"/>
            <w:vAlign w:val="bottom"/>
            <w:tcBorders>
              <w:bottom w:val="single" w:sz="8" w:color="88888B"/>
            </w:tcBorders>
          </w:tcPr>
          <w:p>
            <w:pPr>
              <w:jc w:val="right"/>
              <w:ind w:right="409"/>
              <w:spacing w:after="0"/>
              <w:rPr>
                <w:sz w:val="20"/>
                <w:szCs w:val="20"/>
                <w:color w:val="auto"/>
              </w:rPr>
            </w:pPr>
            <w:r>
              <w:rPr>
                <w:rFonts w:ascii="Arial" w:cs="Arial" w:eastAsia="Arial" w:hAnsi="Arial"/>
                <w:sz w:val="14"/>
                <w:szCs w:val="14"/>
                <w:b w:val="1"/>
                <w:bCs w:val="1"/>
                <w:color w:val="55565A"/>
              </w:rPr>
              <w:t>(470)</w:t>
            </w:r>
          </w:p>
        </w:tc>
        <w:tc>
          <w:tcPr>
            <w:tcW w:w="1200" w:type="dxa"/>
            <w:vAlign w:val="bottom"/>
            <w:tcBorders>
              <w:bottom w:val="single" w:sz="8" w:color="88888B"/>
            </w:tcBorders>
          </w:tcPr>
          <w:p>
            <w:pPr>
              <w:jc w:val="right"/>
              <w:ind w:right="189"/>
              <w:spacing w:after="0"/>
              <w:rPr>
                <w:sz w:val="20"/>
                <w:szCs w:val="20"/>
                <w:color w:val="auto"/>
              </w:rPr>
            </w:pPr>
            <w:r>
              <w:rPr>
                <w:rFonts w:ascii="Arial" w:cs="Arial" w:eastAsia="Arial" w:hAnsi="Arial"/>
                <w:sz w:val="14"/>
                <w:szCs w:val="14"/>
                <w:color w:val="55565A"/>
              </w:rPr>
              <w:t>(1,315)</w:t>
            </w:r>
          </w:p>
        </w:tc>
      </w:tr>
      <w:tr>
        <w:trPr>
          <w:trHeight w:val="221"/>
        </w:trPr>
        <w:tc>
          <w:tcPr>
            <w:tcW w:w="564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Translation adjustments</w:t>
            </w:r>
          </w:p>
        </w:tc>
        <w:tc>
          <w:tcPr>
            <w:tcW w:w="2320" w:type="dxa"/>
            <w:vAlign w:val="bottom"/>
            <w:tcBorders>
              <w:bottom w:val="single" w:sz="8" w:color="88888B"/>
            </w:tcBorders>
            <w:shd w:val="clear" w:color="auto" w:fill="CCEEFF"/>
          </w:tcPr>
          <w:p>
            <w:pPr>
              <w:spacing w:after="0"/>
              <w:rPr>
                <w:sz w:val="19"/>
                <w:szCs w:val="19"/>
                <w:color w:val="auto"/>
              </w:rPr>
            </w:pPr>
          </w:p>
        </w:tc>
        <w:tc>
          <w:tcPr>
            <w:tcW w:w="176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(2)</w:t>
            </w:r>
          </w:p>
        </w:tc>
        <w:tc>
          <w:tcPr>
            <w:tcW w:w="120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color w:val="55565A"/>
              </w:rPr>
              <w:t>1</w:t>
            </w:r>
          </w:p>
        </w:tc>
      </w:tr>
      <w:tr>
        <w:trPr>
          <w:trHeight w:val="212"/>
        </w:trPr>
        <w:tc>
          <w:tcPr>
            <w:tcW w:w="5640" w:type="dxa"/>
            <w:vAlign w:val="bottom"/>
          </w:tcPr>
          <w:p>
            <w:pPr>
              <w:spacing w:after="0"/>
              <w:rPr>
                <w:sz w:val="20"/>
                <w:szCs w:val="20"/>
                <w:color w:val="auto"/>
              </w:rPr>
            </w:pPr>
            <w:r>
              <w:rPr>
                <w:rFonts w:ascii="Arial" w:cs="Arial" w:eastAsia="Arial" w:hAnsi="Arial"/>
                <w:sz w:val="14"/>
                <w:szCs w:val="14"/>
                <w:color w:val="55565A"/>
              </w:rPr>
              <w:t>Increase in cash and cash equivalents</w:t>
            </w:r>
          </w:p>
        </w:tc>
        <w:tc>
          <w:tcPr>
            <w:tcW w:w="2320" w:type="dxa"/>
            <w:vAlign w:val="bottom"/>
          </w:tcPr>
          <w:p>
            <w:pPr>
              <w:spacing w:after="0"/>
              <w:rPr>
                <w:sz w:val="18"/>
                <w:szCs w:val="18"/>
                <w:color w:val="auto"/>
              </w:rPr>
            </w:pPr>
          </w:p>
        </w:tc>
        <w:tc>
          <w:tcPr>
            <w:tcW w:w="1760" w:type="dxa"/>
            <w:vAlign w:val="bottom"/>
          </w:tcPr>
          <w:p>
            <w:pPr>
              <w:jc w:val="right"/>
              <w:ind w:right="409"/>
              <w:spacing w:after="0"/>
              <w:rPr>
                <w:sz w:val="20"/>
                <w:szCs w:val="20"/>
                <w:color w:val="auto"/>
              </w:rPr>
            </w:pPr>
            <w:r>
              <w:rPr>
                <w:rFonts w:ascii="Arial" w:cs="Arial" w:eastAsia="Arial" w:hAnsi="Arial"/>
                <w:sz w:val="14"/>
                <w:szCs w:val="14"/>
                <w:b w:val="1"/>
                <w:bCs w:val="1"/>
                <w:color w:val="55565A"/>
              </w:rPr>
              <w:t>603</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621</w:t>
            </w:r>
          </w:p>
        </w:tc>
      </w:tr>
      <w:tr>
        <w:trPr>
          <w:trHeight w:val="42"/>
        </w:trPr>
        <w:tc>
          <w:tcPr>
            <w:tcW w:w="56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1"/>
        </w:trPr>
        <w:tc>
          <w:tcPr>
            <w:tcW w:w="564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Cash and cash equivalents at beginning of period</w:t>
            </w:r>
          </w:p>
        </w:tc>
        <w:tc>
          <w:tcPr>
            <w:tcW w:w="2320" w:type="dxa"/>
            <w:vAlign w:val="bottom"/>
            <w:tcBorders>
              <w:bottom w:val="single" w:sz="8" w:color="88888B"/>
            </w:tcBorders>
            <w:shd w:val="clear" w:color="auto" w:fill="CCEEFF"/>
          </w:tcPr>
          <w:p>
            <w:pPr>
              <w:spacing w:after="0"/>
              <w:rPr>
                <w:sz w:val="19"/>
                <w:szCs w:val="19"/>
                <w:color w:val="auto"/>
              </w:rPr>
            </w:pPr>
          </w:p>
        </w:tc>
        <w:tc>
          <w:tcPr>
            <w:tcW w:w="176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1,298</w:t>
            </w:r>
          </w:p>
        </w:tc>
        <w:tc>
          <w:tcPr>
            <w:tcW w:w="1200" w:type="dxa"/>
            <w:vAlign w:val="bottom"/>
            <w:tcBorders>
              <w:bottom w:val="single" w:sz="8" w:color="88888B"/>
            </w:tcBorders>
            <w:shd w:val="clear" w:color="auto" w:fill="CCEEFF"/>
          </w:tcPr>
          <w:p>
            <w:pPr>
              <w:jc w:val="right"/>
              <w:ind w:right="189"/>
              <w:spacing w:after="0"/>
              <w:rPr>
                <w:sz w:val="20"/>
                <w:szCs w:val="20"/>
                <w:color w:val="auto"/>
              </w:rPr>
            </w:pPr>
            <w:r>
              <w:rPr>
                <w:rFonts w:ascii="Arial" w:cs="Arial" w:eastAsia="Arial" w:hAnsi="Arial"/>
                <w:sz w:val="14"/>
                <w:szCs w:val="14"/>
                <w:color w:val="55565A"/>
              </w:rPr>
              <w:t>1,069</w:t>
            </w:r>
          </w:p>
        </w:tc>
      </w:tr>
      <w:tr>
        <w:trPr>
          <w:trHeight w:val="221"/>
        </w:trPr>
        <w:tc>
          <w:tcPr>
            <w:tcW w:w="564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Cash and cash equivalents at end of period</w:t>
            </w:r>
          </w:p>
        </w:tc>
        <w:tc>
          <w:tcPr>
            <w:tcW w:w="2320" w:type="dxa"/>
            <w:vAlign w:val="bottom"/>
            <w:tcBorders>
              <w:bottom w:val="single" w:sz="8" w:color="88888B"/>
            </w:tcBorders>
          </w:tcPr>
          <w:p>
            <w:pPr>
              <w:spacing w:after="0"/>
              <w:rPr>
                <w:sz w:val="19"/>
                <w:szCs w:val="19"/>
                <w:color w:val="auto"/>
              </w:rPr>
            </w:pPr>
          </w:p>
        </w:tc>
        <w:tc>
          <w:tcPr>
            <w:tcW w:w="1760" w:type="dxa"/>
            <w:vAlign w:val="bottom"/>
            <w:tcBorders>
              <w:bottom w:val="single" w:sz="8" w:color="88888B"/>
            </w:tcBorders>
          </w:tcPr>
          <w:p>
            <w:pPr>
              <w:jc w:val="right"/>
              <w:ind w:right="409"/>
              <w:spacing w:after="0"/>
              <w:rPr>
                <w:sz w:val="20"/>
                <w:szCs w:val="20"/>
                <w:color w:val="auto"/>
              </w:rPr>
            </w:pPr>
            <w:r>
              <w:rPr>
                <w:rFonts w:ascii="Arial" w:cs="Arial" w:eastAsia="Arial" w:hAnsi="Arial"/>
                <w:sz w:val="14"/>
                <w:szCs w:val="14"/>
                <w:b w:val="1"/>
                <w:bCs w:val="1"/>
                <w:color w:val="55565A"/>
              </w:rPr>
              <w:t>1,901</w:t>
            </w:r>
          </w:p>
        </w:tc>
        <w:tc>
          <w:tcPr>
            <w:tcW w:w="1200" w:type="dxa"/>
            <w:vAlign w:val="bottom"/>
            <w:tcBorders>
              <w:bottom w:val="single" w:sz="8" w:color="88888B"/>
            </w:tcBorders>
          </w:tcPr>
          <w:p>
            <w:pPr>
              <w:jc w:val="right"/>
              <w:ind w:right="189"/>
              <w:spacing w:after="0"/>
              <w:rPr>
                <w:sz w:val="20"/>
                <w:szCs w:val="20"/>
                <w:color w:val="auto"/>
              </w:rPr>
            </w:pPr>
            <w:r>
              <w:rPr>
                <w:rFonts w:ascii="Arial" w:cs="Arial" w:eastAsia="Arial" w:hAnsi="Arial"/>
                <w:sz w:val="14"/>
                <w:szCs w:val="14"/>
                <w:color w:val="55565A"/>
              </w:rPr>
              <w:t>1,690</w:t>
            </w:r>
          </w:p>
        </w:tc>
      </w:tr>
      <w:tr>
        <w:trPr>
          <w:trHeight w:val="23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5565A"/>
              </w:rPr>
              <w:t>Supplemental cash flow information is provided in note 16.</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0"/>
        </w:trPr>
        <w:tc>
          <w:tcPr>
            <w:tcW w:w="5640" w:type="dxa"/>
            <w:vAlign w:val="bottom"/>
          </w:tcPr>
          <w:p>
            <w:pPr>
              <w:spacing w:after="0"/>
              <w:rPr>
                <w:sz w:val="20"/>
                <w:szCs w:val="20"/>
                <w:color w:val="auto"/>
              </w:rPr>
            </w:pPr>
            <w:r>
              <w:rPr>
                <w:rFonts w:ascii="Arial" w:cs="Arial" w:eastAsia="Arial" w:hAnsi="Arial"/>
                <w:sz w:val="14"/>
                <w:szCs w:val="14"/>
                <w:color w:val="55565A"/>
              </w:rPr>
              <w:t>Interest paid, net of debt related hedges</w:t>
            </w:r>
          </w:p>
        </w:tc>
        <w:tc>
          <w:tcPr>
            <w:tcW w:w="2320" w:type="dxa"/>
            <w:vAlign w:val="bottom"/>
          </w:tcPr>
          <w:p>
            <w:pPr>
              <w:spacing w:after="0"/>
              <w:rPr>
                <w:sz w:val="19"/>
                <w:szCs w:val="19"/>
                <w:color w:val="auto"/>
              </w:rPr>
            </w:pPr>
          </w:p>
        </w:tc>
        <w:tc>
          <w:tcPr>
            <w:tcW w:w="1760" w:type="dxa"/>
            <w:vAlign w:val="bottom"/>
          </w:tcPr>
          <w:p>
            <w:pPr>
              <w:jc w:val="right"/>
              <w:ind w:right="409"/>
              <w:spacing w:after="0"/>
              <w:rPr>
                <w:sz w:val="20"/>
                <w:szCs w:val="20"/>
                <w:color w:val="auto"/>
              </w:rPr>
            </w:pPr>
            <w:r>
              <w:rPr>
                <w:rFonts w:ascii="Arial" w:cs="Arial" w:eastAsia="Arial" w:hAnsi="Arial"/>
                <w:sz w:val="14"/>
                <w:szCs w:val="14"/>
                <w:b w:val="1"/>
                <w:bCs w:val="1"/>
                <w:color w:val="55565A"/>
              </w:rPr>
              <w:t>(25)</w:t>
            </w:r>
          </w:p>
        </w:tc>
        <w:tc>
          <w:tcPr>
            <w:tcW w:w="1200" w:type="dxa"/>
            <w:vAlign w:val="bottom"/>
          </w:tcPr>
          <w:p>
            <w:pPr>
              <w:jc w:val="right"/>
              <w:ind w:right="189"/>
              <w:spacing w:after="0"/>
              <w:rPr>
                <w:sz w:val="20"/>
                <w:szCs w:val="20"/>
                <w:color w:val="auto"/>
              </w:rPr>
            </w:pPr>
            <w:r>
              <w:rPr>
                <w:rFonts w:ascii="Arial" w:cs="Arial" w:eastAsia="Arial" w:hAnsi="Arial"/>
                <w:sz w:val="14"/>
                <w:szCs w:val="14"/>
                <w:color w:val="55565A"/>
              </w:rPr>
              <w:t>(26)</w:t>
            </w:r>
          </w:p>
        </w:tc>
      </w:tr>
      <w:tr>
        <w:trPr>
          <w:trHeight w:val="235"/>
        </w:trPr>
        <w:tc>
          <w:tcPr>
            <w:tcW w:w="5640" w:type="dxa"/>
            <w:vAlign w:val="bottom"/>
            <w:shd w:val="clear" w:color="auto" w:fill="CCEEFF"/>
          </w:tcPr>
          <w:p>
            <w:pPr>
              <w:spacing w:after="0"/>
              <w:rPr>
                <w:sz w:val="20"/>
                <w:szCs w:val="20"/>
                <w:color w:val="auto"/>
              </w:rPr>
            </w:pPr>
            <w:r>
              <w:rPr>
                <w:rFonts w:ascii="Arial" w:cs="Arial" w:eastAsia="Arial" w:hAnsi="Arial"/>
                <w:sz w:val="14"/>
                <w:szCs w:val="14"/>
                <w:color w:val="55565A"/>
              </w:rPr>
              <w:t>Interest received</w:t>
            </w:r>
          </w:p>
        </w:tc>
        <w:tc>
          <w:tcPr>
            <w:tcW w:w="23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13</w:t>
            </w:r>
          </w:p>
        </w:tc>
        <w:tc>
          <w:tcPr>
            <w:tcW w:w="120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5565A"/>
              </w:rPr>
              <w:t>8</w:t>
            </w:r>
          </w:p>
        </w:tc>
      </w:tr>
      <w:tr>
        <w:trPr>
          <w:trHeight w:val="221"/>
        </w:trPr>
        <w:tc>
          <w:tcPr>
            <w:tcW w:w="564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Income taxes paid</w:t>
            </w:r>
          </w:p>
        </w:tc>
        <w:tc>
          <w:tcPr>
            <w:tcW w:w="2320" w:type="dxa"/>
            <w:vAlign w:val="bottom"/>
            <w:tcBorders>
              <w:bottom w:val="single" w:sz="8" w:color="88888B"/>
            </w:tcBorders>
          </w:tcPr>
          <w:p>
            <w:pPr>
              <w:jc w:val="center"/>
              <w:ind w:left="869"/>
              <w:spacing w:after="0"/>
              <w:rPr>
                <w:sz w:val="20"/>
                <w:szCs w:val="20"/>
                <w:color w:val="auto"/>
              </w:rPr>
            </w:pPr>
            <w:r>
              <w:rPr>
                <w:rFonts w:ascii="Arial" w:cs="Arial" w:eastAsia="Arial" w:hAnsi="Arial"/>
                <w:sz w:val="14"/>
                <w:szCs w:val="14"/>
                <w:color w:val="55565A"/>
                <w:w w:val="89"/>
              </w:rPr>
              <w:t>16</w:t>
            </w:r>
          </w:p>
        </w:tc>
        <w:tc>
          <w:tcPr>
            <w:tcW w:w="1760" w:type="dxa"/>
            <w:vAlign w:val="bottom"/>
            <w:tcBorders>
              <w:bottom w:val="single" w:sz="8" w:color="88888B"/>
            </w:tcBorders>
          </w:tcPr>
          <w:p>
            <w:pPr>
              <w:jc w:val="right"/>
              <w:ind w:right="409"/>
              <w:spacing w:after="0"/>
              <w:rPr>
                <w:sz w:val="20"/>
                <w:szCs w:val="20"/>
                <w:color w:val="auto"/>
              </w:rPr>
            </w:pPr>
            <w:r>
              <w:rPr>
                <w:rFonts w:ascii="Arial" w:cs="Arial" w:eastAsia="Arial" w:hAnsi="Arial"/>
                <w:sz w:val="14"/>
                <w:szCs w:val="14"/>
                <w:b w:val="1"/>
                <w:bCs w:val="1"/>
                <w:color w:val="55565A"/>
              </w:rPr>
              <w:t>(113)</w:t>
            </w:r>
          </w:p>
        </w:tc>
        <w:tc>
          <w:tcPr>
            <w:tcW w:w="1200" w:type="dxa"/>
            <w:vAlign w:val="bottom"/>
            <w:tcBorders>
              <w:bottom w:val="single" w:sz="8" w:color="88888B"/>
            </w:tcBorders>
          </w:tcPr>
          <w:p>
            <w:pPr>
              <w:jc w:val="right"/>
              <w:ind w:right="189"/>
              <w:spacing w:after="0"/>
              <w:rPr>
                <w:sz w:val="20"/>
                <w:szCs w:val="20"/>
                <w:color w:val="auto"/>
              </w:rPr>
            </w:pPr>
            <w:r>
              <w:rPr>
                <w:rFonts w:ascii="Arial" w:cs="Arial" w:eastAsia="Arial" w:hAnsi="Arial"/>
                <w:sz w:val="14"/>
                <w:szCs w:val="14"/>
                <w:color w:val="55565A"/>
              </w:rPr>
              <w:t>(100)</w:t>
            </w:r>
          </w:p>
        </w:tc>
      </w:tr>
    </w:tbl>
    <w:p>
      <w:pPr>
        <w:spacing w:after="0" w:line="102" w:lineRule="exact"/>
        <w:rPr>
          <w:sz w:val="20"/>
          <w:szCs w:val="20"/>
          <w:color w:val="auto"/>
        </w:rPr>
      </w:pPr>
    </w:p>
    <w:p>
      <w:pPr>
        <w:ind w:left="320" w:hanging="313"/>
        <w:spacing w:after="0"/>
        <w:tabs>
          <w:tab w:leader="none" w:pos="320" w:val="left"/>
        </w:tabs>
        <w:numPr>
          <w:ilvl w:val="0"/>
          <w:numId w:val="26"/>
        </w:numPr>
        <w:rPr>
          <w:rFonts w:ascii="Arial" w:cs="Arial" w:eastAsia="Arial" w:hAnsi="Arial"/>
          <w:sz w:val="12"/>
          <w:szCs w:val="12"/>
          <w:color w:val="55565A"/>
        </w:rPr>
      </w:pPr>
      <w:r>
        <w:rPr>
          <w:rFonts w:ascii="Arial" w:cs="Arial" w:eastAsia="Arial" w:hAnsi="Arial"/>
          <w:sz w:val="12"/>
          <w:szCs w:val="12"/>
          <w:color w:val="55565A"/>
        </w:rPr>
        <w:t>Amounts have been reclassified to reflect the current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55565A"/>
        </w:rPr>
        <w:t>Interest received and interest paid are reflected as operating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55565A"/>
        </w:rPr>
        <w:t>Income taxes paid are reflected as either operating or investing cash flows depending on the nature of the underlying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55565A"/>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41</w:t>
      </w:r>
    </w:p>
    <w:p>
      <w:pPr>
        <w:sectPr>
          <w:pgSz w:w="11900" w:h="16838" w:orient="portrait"/>
          <w:cols w:equalWidth="0" w:num="1">
            <w:col w:w="10920"/>
          </w:cols>
          <w:pgMar w:left="480" w:top="1440" w:right="49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THOMSON REUTERS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CONSOLIDATED STATEMENT OF CHANGES IN EQUITY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55565A"/>
              </w:rPr>
              <w:t>Unrecognized</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38"/>
              <w:spacing w:after="0"/>
              <w:rPr>
                <w:sz w:val="20"/>
                <w:szCs w:val="20"/>
                <w:color w:val="auto"/>
              </w:rPr>
            </w:pPr>
            <w:r>
              <w:rPr>
                <w:rFonts w:ascii="Arial" w:cs="Arial" w:eastAsia="Arial" w:hAnsi="Arial"/>
                <w:sz w:val="12"/>
                <w:szCs w:val="12"/>
                <w:b w:val="1"/>
                <w:bCs w:val="1"/>
                <w:color w:val="55565A"/>
              </w:rPr>
              <w:t>Foreign</w:t>
            </w:r>
          </w:p>
        </w:tc>
        <w:tc>
          <w:tcPr>
            <w:tcW w:w="320" w:type="dxa"/>
            <w:vAlign w:val="bottom"/>
          </w:tcPr>
          <w:p>
            <w:pPr>
              <w:spacing w:after="0"/>
              <w:rPr>
                <w:sz w:val="12"/>
                <w:szCs w:val="12"/>
                <w:color w:val="auto"/>
              </w:rPr>
            </w:pPr>
          </w:p>
        </w:tc>
        <w:tc>
          <w:tcPr>
            <w:tcW w:w="720" w:type="dxa"/>
            <w:vAlign w:val="bottom"/>
          </w:tcPr>
          <w:p>
            <w:pPr>
              <w:jc w:val="center"/>
              <w:ind w:right="238"/>
              <w:spacing w:after="0"/>
              <w:rPr>
                <w:sz w:val="20"/>
                <w:szCs w:val="20"/>
                <w:color w:val="auto"/>
              </w:rPr>
            </w:pPr>
            <w:r>
              <w:rPr>
                <w:rFonts w:ascii="Arial" w:cs="Arial" w:eastAsia="Arial" w:hAnsi="Arial"/>
                <w:sz w:val="12"/>
                <w:szCs w:val="12"/>
                <w:b w:val="1"/>
                <w:bCs w:val="1"/>
                <w:color w:val="55565A"/>
              </w:rPr>
              <w:t>Total</w:t>
            </w:r>
          </w:p>
        </w:tc>
        <w:tc>
          <w:tcPr>
            <w:tcW w:w="10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55565A"/>
              </w:rPr>
              <w:t>Non-</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tcPr>
          <w:p>
            <w:pPr>
              <w:spacing w:after="0"/>
              <w:rPr>
                <w:sz w:val="11"/>
                <w:szCs w:val="11"/>
                <w:color w:val="auto"/>
              </w:rPr>
            </w:pPr>
          </w:p>
        </w:tc>
        <w:tc>
          <w:tcPr>
            <w:tcW w:w="640" w:type="dxa"/>
            <w:vAlign w:val="bottom"/>
            <w:gridSpan w:val="2"/>
            <w:vMerge w:val="restart"/>
          </w:tcPr>
          <w:p>
            <w:pPr>
              <w:jc w:val="center"/>
              <w:ind w:right="118"/>
              <w:spacing w:after="0"/>
              <w:rPr>
                <w:sz w:val="20"/>
                <w:szCs w:val="20"/>
                <w:color w:val="auto"/>
              </w:rPr>
            </w:pPr>
            <w:r>
              <w:rPr>
                <w:rFonts w:ascii="Arial" w:cs="Arial" w:eastAsia="Arial" w:hAnsi="Arial"/>
                <w:sz w:val="12"/>
                <w:szCs w:val="12"/>
                <w:b w:val="1"/>
                <w:bCs w:val="1"/>
                <w:color w:val="55565A"/>
              </w:rPr>
              <w:t>Stated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55565A"/>
              </w:rPr>
              <w:t>accumulated</w:t>
            </w:r>
          </w:p>
        </w:tc>
        <w:tc>
          <w:tcPr>
            <w:tcW w:w="102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Arial" w:cs="Arial" w:eastAsia="Arial" w:hAnsi="Arial"/>
                <w:sz w:val="12"/>
                <w:szCs w:val="12"/>
                <w:b w:val="1"/>
                <w:bCs w:val="1"/>
                <w:color w:val="55565A"/>
              </w:rPr>
              <w:t>controlling</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6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55565A"/>
                <w:w w:val="99"/>
              </w:rPr>
              <w:t>Contributed</w:t>
            </w:r>
          </w:p>
        </w:tc>
        <w:tc>
          <w:tcPr>
            <w:tcW w:w="900" w:type="dxa"/>
            <w:vAlign w:val="bottom"/>
            <w:gridSpan w:val="2"/>
            <w:vMerge w:val="restart"/>
          </w:tcPr>
          <w:p>
            <w:pPr>
              <w:jc w:val="right"/>
              <w:ind w:right="318"/>
              <w:spacing w:after="0"/>
              <w:rPr>
                <w:sz w:val="20"/>
                <w:szCs w:val="20"/>
                <w:color w:val="auto"/>
              </w:rPr>
            </w:pPr>
            <w:r>
              <w:rPr>
                <w:rFonts w:ascii="Arial" w:cs="Arial" w:eastAsia="Arial" w:hAnsi="Arial"/>
                <w:sz w:val="12"/>
                <w:szCs w:val="12"/>
                <w:b w:val="1"/>
                <w:bCs w:val="1"/>
                <w:color w:val="55565A"/>
              </w:rPr>
              <w:t>Total</w:t>
            </w: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55565A"/>
              </w:rPr>
              <w:t>Retained</w:t>
            </w:r>
          </w:p>
        </w:tc>
        <w:tc>
          <w:tcPr>
            <w:tcW w:w="300" w:type="dxa"/>
            <w:vAlign w:val="bottom"/>
          </w:tcPr>
          <w:p>
            <w:pPr>
              <w:spacing w:after="0"/>
              <w:rPr>
                <w:sz w:val="11"/>
                <w:szCs w:val="11"/>
                <w:color w:val="auto"/>
              </w:rPr>
            </w:pPr>
          </w:p>
        </w:tc>
        <w:tc>
          <w:tcPr>
            <w:tcW w:w="760" w:type="dxa"/>
            <w:vAlign w:val="bottom"/>
          </w:tcPr>
          <w:p>
            <w:pPr>
              <w:jc w:val="center"/>
              <w:ind w:right="178"/>
              <w:spacing w:after="0" w:line="134" w:lineRule="exact"/>
              <w:rPr>
                <w:sz w:val="20"/>
                <w:szCs w:val="20"/>
                <w:color w:val="auto"/>
              </w:rPr>
            </w:pPr>
            <w:r>
              <w:rPr>
                <w:rFonts w:ascii="Arial" w:cs="Arial" w:eastAsia="Arial" w:hAnsi="Arial"/>
                <w:sz w:val="12"/>
                <w:szCs w:val="12"/>
                <w:b w:val="1"/>
                <w:bCs w:val="1"/>
                <w:color w:val="55565A"/>
              </w:rPr>
              <w:t>gain on</w:t>
            </w:r>
          </w:p>
        </w:tc>
        <w:tc>
          <w:tcPr>
            <w:tcW w:w="100" w:type="dxa"/>
            <w:vAlign w:val="bottom"/>
          </w:tcPr>
          <w:p>
            <w:pPr>
              <w:spacing w:after="0"/>
              <w:rPr>
                <w:sz w:val="11"/>
                <w:szCs w:val="11"/>
                <w:color w:val="auto"/>
              </w:rPr>
            </w:pPr>
          </w:p>
        </w:tc>
        <w:tc>
          <w:tcPr>
            <w:tcW w:w="800" w:type="dxa"/>
            <w:vAlign w:val="bottom"/>
            <w:gridSpan w:val="2"/>
          </w:tcPr>
          <w:p>
            <w:pPr>
              <w:jc w:val="center"/>
              <w:ind w:right="58"/>
              <w:spacing w:after="0" w:line="134" w:lineRule="exact"/>
              <w:rPr>
                <w:sz w:val="20"/>
                <w:szCs w:val="20"/>
                <w:color w:val="auto"/>
              </w:rPr>
            </w:pPr>
            <w:r>
              <w:rPr>
                <w:rFonts w:ascii="Arial" w:cs="Arial" w:eastAsia="Arial" w:hAnsi="Arial"/>
                <w:sz w:val="12"/>
                <w:szCs w:val="12"/>
                <w:b w:val="1"/>
                <w:bCs w:val="1"/>
                <w:color w:val="55565A"/>
              </w:rPr>
              <w:t>currency</w:t>
            </w:r>
          </w:p>
        </w:tc>
        <w:tc>
          <w:tcPr>
            <w:tcW w:w="320" w:type="dxa"/>
            <w:vAlign w:val="bottom"/>
          </w:tcPr>
          <w:p>
            <w:pPr>
              <w:spacing w:after="0"/>
              <w:rPr>
                <w:sz w:val="11"/>
                <w:szCs w:val="11"/>
                <w:color w:val="auto"/>
              </w:rPr>
            </w:pPr>
          </w:p>
        </w:tc>
        <w:tc>
          <w:tcPr>
            <w:tcW w:w="720" w:type="dxa"/>
            <w:vAlign w:val="bottom"/>
          </w:tcPr>
          <w:p>
            <w:pPr>
              <w:jc w:val="center"/>
              <w:ind w:right="238"/>
              <w:spacing w:after="0" w:line="134" w:lineRule="exact"/>
              <w:rPr>
                <w:sz w:val="20"/>
                <w:szCs w:val="20"/>
                <w:color w:val="auto"/>
              </w:rPr>
            </w:pPr>
            <w:r>
              <w:rPr>
                <w:rFonts w:ascii="Arial" w:cs="Arial" w:eastAsia="Arial" w:hAnsi="Arial"/>
                <w:sz w:val="12"/>
                <w:szCs w:val="12"/>
                <w:b w:val="1"/>
                <w:bCs w:val="1"/>
                <w:color w:val="55565A"/>
                <w:w w:val="99"/>
              </w:rPr>
              <w:t>other</w:t>
            </w:r>
          </w:p>
        </w:tc>
        <w:tc>
          <w:tcPr>
            <w:tcW w:w="1020" w:type="dxa"/>
            <w:vAlign w:val="bottom"/>
            <w:vMerge w:val="restart"/>
          </w:tcPr>
          <w:p>
            <w:pPr>
              <w:jc w:val="right"/>
              <w:spacing w:after="0"/>
              <w:rPr>
                <w:sz w:val="20"/>
                <w:szCs w:val="20"/>
                <w:color w:val="auto"/>
              </w:rPr>
            </w:pPr>
            <w:r>
              <w:rPr>
                <w:rFonts w:ascii="Arial" w:cs="Arial" w:eastAsia="Arial" w:hAnsi="Arial"/>
                <w:sz w:val="12"/>
                <w:szCs w:val="12"/>
                <w:b w:val="1"/>
                <w:bCs w:val="1"/>
                <w:color w:val="55565A"/>
              </w:rPr>
              <w:t>Shareholders’</w:t>
            </w:r>
          </w:p>
        </w:tc>
        <w:tc>
          <w:tcPr>
            <w:tcW w:w="840" w:type="dxa"/>
            <w:vAlign w:val="bottom"/>
          </w:tcPr>
          <w:p>
            <w:pPr>
              <w:jc w:val="center"/>
              <w:spacing w:after="0" w:line="134" w:lineRule="exact"/>
              <w:rPr>
                <w:sz w:val="20"/>
                <w:szCs w:val="20"/>
                <w:color w:val="auto"/>
              </w:rPr>
            </w:pPr>
            <w:r>
              <w:rPr>
                <w:rFonts w:ascii="Arial" w:cs="Arial" w:eastAsia="Arial" w:hAnsi="Arial"/>
                <w:sz w:val="12"/>
                <w:szCs w:val="12"/>
                <w:b w:val="1"/>
                <w:bCs w:val="1"/>
                <w:color w:val="55565A"/>
              </w:rPr>
              <w:t>interests</w:t>
            </w: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55565A"/>
              </w:rPr>
              <w:t>Total</w:t>
            </w:r>
          </w:p>
        </w:tc>
        <w:tc>
          <w:tcPr>
            <w:tcW w:w="0" w:type="dxa"/>
            <w:vAlign w:val="bottom"/>
          </w:tcPr>
          <w:p>
            <w:pPr>
              <w:spacing w:after="0"/>
              <w:rPr>
                <w:sz w:val="1"/>
                <w:szCs w:val="1"/>
                <w:color w:val="auto"/>
              </w:rPr>
            </w:pPr>
          </w:p>
        </w:tc>
      </w:tr>
      <w:tr>
        <w:trPr>
          <w:trHeight w:val="134"/>
        </w:trPr>
        <w:tc>
          <w:tcPr>
            <w:tcW w:w="2620" w:type="dxa"/>
            <w:vAlign w:val="bottom"/>
            <w:vMerge w:val="restart"/>
          </w:tcPr>
          <w:p>
            <w:pPr>
              <w:spacing w:after="0"/>
              <w:rPr>
                <w:sz w:val="20"/>
                <w:szCs w:val="20"/>
                <w:color w:val="auto"/>
              </w:rPr>
            </w:pPr>
            <w:r>
              <w:rPr>
                <w:rFonts w:ascii="Arial" w:cs="Arial" w:eastAsia="Arial" w:hAnsi="Arial"/>
                <w:sz w:val="12"/>
                <w:szCs w:val="12"/>
                <w:b w:val="1"/>
                <w:bCs w:val="1"/>
                <w:color w:val="55565A"/>
              </w:rPr>
              <w:t>(millions of U.S. dollars)</w:t>
            </w:r>
          </w:p>
        </w:tc>
        <w:tc>
          <w:tcPr>
            <w:tcW w:w="640" w:type="dxa"/>
            <w:vAlign w:val="bottom"/>
            <w:gridSpan w:val="2"/>
          </w:tcPr>
          <w:p>
            <w:pPr>
              <w:jc w:val="center"/>
              <w:ind w:right="138"/>
              <w:spacing w:after="0" w:line="134" w:lineRule="exact"/>
              <w:rPr>
                <w:sz w:val="20"/>
                <w:szCs w:val="20"/>
                <w:color w:val="auto"/>
              </w:rPr>
            </w:pPr>
            <w:r>
              <w:rPr>
                <w:rFonts w:ascii="Arial" w:cs="Arial" w:eastAsia="Arial" w:hAnsi="Arial"/>
                <w:sz w:val="12"/>
                <w:szCs w:val="12"/>
                <w:b w:val="1"/>
                <w:bCs w:val="1"/>
                <w:color w:val="55565A"/>
                <w:w w:val="99"/>
              </w:rPr>
              <w:t>share</w:t>
            </w:r>
          </w:p>
        </w:tc>
        <w:tc>
          <w:tcPr>
            <w:tcW w:w="70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center"/>
              <w:ind w:right="178"/>
              <w:spacing w:after="0" w:line="134" w:lineRule="exact"/>
              <w:rPr>
                <w:sz w:val="20"/>
                <w:szCs w:val="20"/>
                <w:color w:val="auto"/>
              </w:rPr>
            </w:pPr>
            <w:r>
              <w:rPr>
                <w:rFonts w:ascii="Arial" w:cs="Arial" w:eastAsia="Arial" w:hAnsi="Arial"/>
                <w:sz w:val="12"/>
                <w:szCs w:val="12"/>
                <w:b w:val="1"/>
                <w:bCs w:val="1"/>
                <w:color w:val="55565A"/>
              </w:rPr>
              <w:t>financial</w:t>
            </w:r>
          </w:p>
        </w:tc>
        <w:tc>
          <w:tcPr>
            <w:tcW w:w="100" w:type="dxa"/>
            <w:vAlign w:val="bottom"/>
          </w:tcPr>
          <w:p>
            <w:pPr>
              <w:spacing w:after="0"/>
              <w:rPr>
                <w:sz w:val="11"/>
                <w:szCs w:val="11"/>
                <w:color w:val="auto"/>
              </w:rPr>
            </w:pPr>
          </w:p>
        </w:tc>
        <w:tc>
          <w:tcPr>
            <w:tcW w:w="800" w:type="dxa"/>
            <w:vAlign w:val="bottom"/>
            <w:gridSpan w:val="2"/>
          </w:tcPr>
          <w:p>
            <w:pPr>
              <w:jc w:val="center"/>
              <w:ind w:right="58"/>
              <w:spacing w:after="0" w:line="134" w:lineRule="exact"/>
              <w:rPr>
                <w:sz w:val="20"/>
                <w:szCs w:val="20"/>
                <w:color w:val="auto"/>
              </w:rPr>
            </w:pPr>
            <w:r>
              <w:rPr>
                <w:rFonts w:ascii="Arial" w:cs="Arial" w:eastAsia="Arial" w:hAnsi="Arial"/>
                <w:sz w:val="12"/>
                <w:szCs w:val="12"/>
                <w:b w:val="1"/>
                <w:bCs w:val="1"/>
                <w:color w:val="55565A"/>
              </w:rPr>
              <w:t>translation</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55565A"/>
              </w:rPr>
              <w:t>comprehensive</w:t>
            </w:r>
          </w:p>
        </w:tc>
        <w:tc>
          <w:tcPr>
            <w:tcW w:w="1020" w:type="dxa"/>
            <w:vAlign w:val="bottom"/>
            <w:vMerge w:val="continue"/>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Arial" w:cs="Arial" w:eastAsia="Arial" w:hAnsi="Arial"/>
                <w:sz w:val="12"/>
                <w:szCs w:val="12"/>
                <w:b w:val="1"/>
                <w:bCs w:val="1"/>
                <w:color w:val="55565A"/>
              </w:rPr>
              <w:t>(see note</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20" w:type="dxa"/>
            <w:vAlign w:val="bottom"/>
            <w:vMerge w:val="continue"/>
          </w:tcPr>
          <w:p>
            <w:pPr>
              <w:spacing w:after="0"/>
              <w:rPr>
                <w:sz w:val="14"/>
                <w:szCs w:val="14"/>
                <w:color w:val="auto"/>
              </w:rPr>
            </w:pPr>
          </w:p>
        </w:tc>
        <w:tc>
          <w:tcPr>
            <w:tcW w:w="640" w:type="dxa"/>
            <w:vAlign w:val="bottom"/>
            <w:gridSpan w:val="2"/>
          </w:tcPr>
          <w:p>
            <w:pPr>
              <w:jc w:val="center"/>
              <w:ind w:right="138"/>
              <w:spacing w:after="0"/>
              <w:rPr>
                <w:sz w:val="20"/>
                <w:szCs w:val="20"/>
                <w:color w:val="auto"/>
              </w:rPr>
            </w:pPr>
            <w:r>
              <w:rPr>
                <w:rFonts w:ascii="Arial" w:cs="Arial" w:eastAsia="Arial" w:hAnsi="Arial"/>
                <w:sz w:val="12"/>
                <w:szCs w:val="12"/>
                <w:b w:val="1"/>
                <w:bCs w:val="1"/>
                <w:color w:val="55565A"/>
              </w:rPr>
              <w:t>capital</w:t>
            </w:r>
          </w:p>
        </w:tc>
        <w:tc>
          <w:tcPr>
            <w:tcW w:w="700" w:type="dxa"/>
            <w:vAlign w:val="bottom"/>
          </w:tcPr>
          <w:p>
            <w:pPr>
              <w:jc w:val="right"/>
              <w:ind w:right="58"/>
              <w:spacing w:after="0"/>
              <w:rPr>
                <w:sz w:val="20"/>
                <w:szCs w:val="20"/>
                <w:color w:val="auto"/>
              </w:rPr>
            </w:pPr>
            <w:r>
              <w:rPr>
                <w:rFonts w:ascii="Arial" w:cs="Arial" w:eastAsia="Arial" w:hAnsi="Arial"/>
                <w:sz w:val="12"/>
                <w:szCs w:val="12"/>
                <w:b w:val="1"/>
                <w:bCs w:val="1"/>
                <w:color w:val="55565A"/>
              </w:rPr>
              <w:t>surplus</w:t>
            </w:r>
          </w:p>
        </w:tc>
        <w:tc>
          <w:tcPr>
            <w:tcW w:w="900" w:type="dxa"/>
            <w:vAlign w:val="bottom"/>
            <w:gridSpan w:val="2"/>
          </w:tcPr>
          <w:p>
            <w:pPr>
              <w:jc w:val="right"/>
              <w:ind w:right="278"/>
              <w:spacing w:after="0"/>
              <w:rPr>
                <w:sz w:val="20"/>
                <w:szCs w:val="20"/>
                <w:color w:val="auto"/>
              </w:rPr>
            </w:pPr>
            <w:r>
              <w:rPr>
                <w:rFonts w:ascii="Arial" w:cs="Arial" w:eastAsia="Arial" w:hAnsi="Arial"/>
                <w:sz w:val="12"/>
                <w:szCs w:val="12"/>
                <w:b w:val="1"/>
                <w:bCs w:val="1"/>
                <w:color w:val="55565A"/>
              </w:rPr>
              <w:t>capital</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55565A"/>
              </w:rPr>
              <w:t>earnings</w:t>
            </w:r>
          </w:p>
        </w:tc>
        <w:tc>
          <w:tcPr>
            <w:tcW w:w="1060" w:type="dxa"/>
            <w:vAlign w:val="bottom"/>
            <w:gridSpan w:val="2"/>
          </w:tcPr>
          <w:p>
            <w:pPr>
              <w:jc w:val="center"/>
              <w:spacing w:after="0"/>
              <w:rPr>
                <w:sz w:val="20"/>
                <w:szCs w:val="20"/>
                <w:color w:val="auto"/>
              </w:rPr>
            </w:pPr>
            <w:r>
              <w:rPr>
                <w:rFonts w:ascii="Arial" w:cs="Arial" w:eastAsia="Arial" w:hAnsi="Arial"/>
                <w:sz w:val="12"/>
                <w:szCs w:val="12"/>
                <w:b w:val="1"/>
                <w:bCs w:val="1"/>
                <w:color w:val="55565A"/>
              </w:rPr>
              <w:t>instruments</w:t>
            </w:r>
          </w:p>
        </w:tc>
        <w:tc>
          <w:tcPr>
            <w:tcW w:w="900" w:type="dxa"/>
            <w:vAlign w:val="bottom"/>
            <w:gridSpan w:val="3"/>
          </w:tcPr>
          <w:p>
            <w:pPr>
              <w:jc w:val="center"/>
              <w:spacing w:after="0"/>
              <w:rPr>
                <w:sz w:val="20"/>
                <w:szCs w:val="20"/>
                <w:color w:val="auto"/>
              </w:rPr>
            </w:pPr>
            <w:r>
              <w:rPr>
                <w:rFonts w:ascii="Arial" w:cs="Arial" w:eastAsia="Arial" w:hAnsi="Arial"/>
                <w:sz w:val="12"/>
                <w:szCs w:val="12"/>
                <w:b w:val="1"/>
                <w:bCs w:val="1"/>
                <w:color w:val="55565A"/>
              </w:rPr>
              <w:t>adjustments</w:t>
            </w:r>
          </w:p>
        </w:tc>
        <w:tc>
          <w:tcPr>
            <w:tcW w:w="1040" w:type="dxa"/>
            <w:vAlign w:val="bottom"/>
            <w:gridSpan w:val="2"/>
          </w:tcPr>
          <w:p>
            <w:pPr>
              <w:jc w:val="center"/>
              <w:spacing w:after="0"/>
              <w:rPr>
                <w:sz w:val="20"/>
                <w:szCs w:val="20"/>
                <w:color w:val="auto"/>
              </w:rPr>
            </w:pPr>
            <w:r>
              <w:rPr>
                <w:rFonts w:ascii="Arial" w:cs="Arial" w:eastAsia="Arial" w:hAnsi="Arial"/>
                <w:sz w:val="12"/>
                <w:szCs w:val="12"/>
                <w:b w:val="1"/>
                <w:bCs w:val="1"/>
                <w:color w:val="55565A"/>
              </w:rPr>
              <w:t>loss ("AOCL")</w:t>
            </w:r>
          </w:p>
        </w:tc>
        <w:tc>
          <w:tcPr>
            <w:tcW w:w="1020" w:type="dxa"/>
            <w:vAlign w:val="bottom"/>
          </w:tcPr>
          <w:p>
            <w:pPr>
              <w:jc w:val="right"/>
              <w:ind w:right="238"/>
              <w:spacing w:after="0"/>
              <w:rPr>
                <w:sz w:val="20"/>
                <w:szCs w:val="20"/>
                <w:color w:val="auto"/>
              </w:rPr>
            </w:pPr>
            <w:r>
              <w:rPr>
                <w:rFonts w:ascii="Arial" w:cs="Arial" w:eastAsia="Arial" w:hAnsi="Arial"/>
                <w:sz w:val="12"/>
                <w:szCs w:val="12"/>
                <w:b w:val="1"/>
                <w:bCs w:val="1"/>
                <w:color w:val="55565A"/>
              </w:rPr>
              <w:t>equity</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55565A"/>
              </w:rPr>
              <w:t>17)</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55565A"/>
              </w:rPr>
              <w:t>equity</w:t>
            </w:r>
          </w:p>
        </w:tc>
        <w:tc>
          <w:tcPr>
            <w:tcW w:w="0" w:type="dxa"/>
            <w:vAlign w:val="bottom"/>
          </w:tcPr>
          <w:p>
            <w:pPr>
              <w:spacing w:after="0"/>
              <w:rPr>
                <w:sz w:val="1"/>
                <w:szCs w:val="1"/>
                <w:color w:val="auto"/>
              </w:rPr>
            </w:pPr>
          </w:p>
        </w:tc>
      </w:tr>
      <w:tr>
        <w:trPr>
          <w:trHeight w:val="68"/>
        </w:trPr>
        <w:tc>
          <w:tcPr>
            <w:tcW w:w="2620" w:type="dxa"/>
            <w:vAlign w:val="bottom"/>
            <w:tcBorders>
              <w:bottom w:val="single" w:sz="8" w:color="88888B"/>
            </w:tcBorders>
          </w:tcPr>
          <w:p>
            <w:pPr>
              <w:spacing w:after="0"/>
              <w:rPr>
                <w:sz w:val="5"/>
                <w:szCs w:val="5"/>
                <w:color w:val="auto"/>
              </w:rPr>
            </w:pPr>
          </w:p>
        </w:tc>
        <w:tc>
          <w:tcPr>
            <w:tcW w:w="80" w:type="dxa"/>
            <w:vAlign w:val="bottom"/>
            <w:tcBorders>
              <w:bottom w:val="single" w:sz="8" w:color="88888B"/>
            </w:tcBorders>
          </w:tcPr>
          <w:p>
            <w:pPr>
              <w:spacing w:after="0"/>
              <w:rPr>
                <w:sz w:val="5"/>
                <w:szCs w:val="5"/>
                <w:color w:val="auto"/>
              </w:rPr>
            </w:pPr>
          </w:p>
        </w:tc>
        <w:tc>
          <w:tcPr>
            <w:tcW w:w="560" w:type="dxa"/>
            <w:vAlign w:val="bottom"/>
            <w:tcBorders>
              <w:bottom w:val="single" w:sz="8" w:color="88888B"/>
            </w:tcBorders>
          </w:tcPr>
          <w:p>
            <w:pPr>
              <w:spacing w:after="0"/>
              <w:rPr>
                <w:sz w:val="5"/>
                <w:szCs w:val="5"/>
                <w:color w:val="auto"/>
              </w:rPr>
            </w:pPr>
          </w:p>
        </w:tc>
        <w:tc>
          <w:tcPr>
            <w:tcW w:w="700" w:type="dxa"/>
            <w:vAlign w:val="bottom"/>
            <w:tcBorders>
              <w:bottom w:val="single" w:sz="8" w:color="88888B"/>
            </w:tcBorders>
          </w:tcPr>
          <w:p>
            <w:pPr>
              <w:spacing w:after="0"/>
              <w:rPr>
                <w:sz w:val="5"/>
                <w:szCs w:val="5"/>
                <w:color w:val="auto"/>
              </w:rPr>
            </w:pPr>
          </w:p>
        </w:tc>
        <w:tc>
          <w:tcPr>
            <w:tcW w:w="240" w:type="dxa"/>
            <w:vAlign w:val="bottom"/>
            <w:tcBorders>
              <w:bottom w:val="single" w:sz="8" w:color="88888B"/>
            </w:tcBorders>
          </w:tcPr>
          <w:p>
            <w:pPr>
              <w:spacing w:after="0"/>
              <w:rPr>
                <w:sz w:val="5"/>
                <w:szCs w:val="5"/>
                <w:color w:val="auto"/>
              </w:rPr>
            </w:pPr>
          </w:p>
        </w:tc>
        <w:tc>
          <w:tcPr>
            <w:tcW w:w="660" w:type="dxa"/>
            <w:vAlign w:val="bottom"/>
            <w:tcBorders>
              <w:bottom w:val="single" w:sz="8" w:color="88888B"/>
            </w:tcBorders>
          </w:tcPr>
          <w:p>
            <w:pPr>
              <w:spacing w:after="0"/>
              <w:rPr>
                <w:sz w:val="5"/>
                <w:szCs w:val="5"/>
                <w:color w:val="auto"/>
              </w:rPr>
            </w:pPr>
          </w:p>
        </w:tc>
        <w:tc>
          <w:tcPr>
            <w:tcW w:w="620" w:type="dxa"/>
            <w:vAlign w:val="bottom"/>
            <w:tcBorders>
              <w:bottom w:val="single" w:sz="8" w:color="88888B"/>
            </w:tcBorders>
          </w:tcPr>
          <w:p>
            <w:pPr>
              <w:spacing w:after="0"/>
              <w:rPr>
                <w:sz w:val="5"/>
                <w:szCs w:val="5"/>
                <w:color w:val="auto"/>
              </w:rPr>
            </w:pPr>
          </w:p>
        </w:tc>
        <w:tc>
          <w:tcPr>
            <w:tcW w:w="300" w:type="dxa"/>
            <w:vAlign w:val="bottom"/>
            <w:tcBorders>
              <w:bottom w:val="single" w:sz="8" w:color="88888B"/>
            </w:tcBorders>
          </w:tcPr>
          <w:p>
            <w:pPr>
              <w:spacing w:after="0"/>
              <w:rPr>
                <w:sz w:val="5"/>
                <w:szCs w:val="5"/>
                <w:color w:val="auto"/>
              </w:rPr>
            </w:pPr>
          </w:p>
        </w:tc>
        <w:tc>
          <w:tcPr>
            <w:tcW w:w="760" w:type="dxa"/>
            <w:vAlign w:val="bottom"/>
            <w:tcBorders>
              <w:bottom w:val="single" w:sz="8" w:color="88888B"/>
            </w:tcBorders>
          </w:tcPr>
          <w:p>
            <w:pPr>
              <w:spacing w:after="0"/>
              <w:rPr>
                <w:sz w:val="5"/>
                <w:szCs w:val="5"/>
                <w:color w:val="auto"/>
              </w:rPr>
            </w:pPr>
          </w:p>
        </w:tc>
        <w:tc>
          <w:tcPr>
            <w:tcW w:w="100" w:type="dxa"/>
            <w:vAlign w:val="bottom"/>
            <w:tcBorders>
              <w:bottom w:val="single" w:sz="8" w:color="88888B"/>
            </w:tcBorders>
          </w:tcPr>
          <w:p>
            <w:pPr>
              <w:spacing w:after="0"/>
              <w:rPr>
                <w:sz w:val="5"/>
                <w:szCs w:val="5"/>
                <w:color w:val="auto"/>
              </w:rPr>
            </w:pPr>
          </w:p>
        </w:tc>
        <w:tc>
          <w:tcPr>
            <w:tcW w:w="240" w:type="dxa"/>
            <w:vAlign w:val="bottom"/>
            <w:tcBorders>
              <w:bottom w:val="single" w:sz="8" w:color="88888B"/>
            </w:tcBorders>
          </w:tcPr>
          <w:p>
            <w:pPr>
              <w:spacing w:after="0"/>
              <w:rPr>
                <w:sz w:val="5"/>
                <w:szCs w:val="5"/>
                <w:color w:val="auto"/>
              </w:rPr>
            </w:pPr>
          </w:p>
        </w:tc>
        <w:tc>
          <w:tcPr>
            <w:tcW w:w="560" w:type="dxa"/>
            <w:vAlign w:val="bottom"/>
            <w:tcBorders>
              <w:bottom w:val="single" w:sz="8" w:color="88888B"/>
            </w:tcBorders>
          </w:tcPr>
          <w:p>
            <w:pPr>
              <w:spacing w:after="0"/>
              <w:rPr>
                <w:sz w:val="5"/>
                <w:szCs w:val="5"/>
                <w:color w:val="auto"/>
              </w:rPr>
            </w:pPr>
          </w:p>
        </w:tc>
        <w:tc>
          <w:tcPr>
            <w:tcW w:w="320" w:type="dxa"/>
            <w:vAlign w:val="bottom"/>
            <w:tcBorders>
              <w:bottom w:val="single" w:sz="8" w:color="88888B"/>
            </w:tcBorders>
          </w:tcPr>
          <w:p>
            <w:pPr>
              <w:spacing w:after="0"/>
              <w:rPr>
                <w:sz w:val="5"/>
                <w:szCs w:val="5"/>
                <w:color w:val="auto"/>
              </w:rPr>
            </w:pPr>
          </w:p>
        </w:tc>
        <w:tc>
          <w:tcPr>
            <w:tcW w:w="720" w:type="dxa"/>
            <w:vAlign w:val="bottom"/>
            <w:tcBorders>
              <w:bottom w:val="single" w:sz="8" w:color="88888B"/>
            </w:tcBorders>
          </w:tcPr>
          <w:p>
            <w:pPr>
              <w:spacing w:after="0"/>
              <w:rPr>
                <w:sz w:val="5"/>
                <w:szCs w:val="5"/>
                <w:color w:val="auto"/>
              </w:rPr>
            </w:pPr>
          </w:p>
        </w:tc>
        <w:tc>
          <w:tcPr>
            <w:tcW w:w="1020" w:type="dxa"/>
            <w:vAlign w:val="bottom"/>
            <w:tcBorders>
              <w:bottom w:val="single" w:sz="8" w:color="88888B"/>
            </w:tcBorders>
          </w:tcPr>
          <w:p>
            <w:pPr>
              <w:spacing w:after="0"/>
              <w:rPr>
                <w:sz w:val="5"/>
                <w:szCs w:val="5"/>
                <w:color w:val="auto"/>
              </w:rPr>
            </w:pPr>
          </w:p>
        </w:tc>
        <w:tc>
          <w:tcPr>
            <w:tcW w:w="840" w:type="dxa"/>
            <w:vAlign w:val="bottom"/>
            <w:tcBorders>
              <w:bottom w:val="single" w:sz="8" w:color="88888B"/>
            </w:tcBorders>
          </w:tcPr>
          <w:p>
            <w:pPr>
              <w:spacing w:after="0"/>
              <w:rPr>
                <w:sz w:val="5"/>
                <w:szCs w:val="5"/>
                <w:color w:val="auto"/>
              </w:rPr>
            </w:pPr>
          </w:p>
        </w:tc>
        <w:tc>
          <w:tcPr>
            <w:tcW w:w="580" w:type="dxa"/>
            <w:vAlign w:val="bottom"/>
            <w:tcBorders>
              <w:bottom w:val="single" w:sz="8" w:color="88888B"/>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20"/>
              <w:spacing w:after="0"/>
              <w:rPr>
                <w:sz w:val="20"/>
                <w:szCs w:val="20"/>
                <w:color w:val="auto"/>
              </w:rPr>
            </w:pPr>
            <w:r>
              <w:rPr>
                <w:rFonts w:ascii="Arial" w:cs="Arial" w:eastAsia="Arial" w:hAnsi="Arial"/>
                <w:sz w:val="12"/>
                <w:szCs w:val="12"/>
                <w:color w:val="55565A"/>
              </w:rPr>
              <w:t>Balance, December 31, 2023</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58"/>
              <w:spacing w:after="0"/>
              <w:rPr>
                <w:sz w:val="20"/>
                <w:szCs w:val="20"/>
                <w:color w:val="auto"/>
              </w:rPr>
            </w:pPr>
            <w:r>
              <w:rPr>
                <w:rFonts w:ascii="Arial" w:cs="Arial" w:eastAsia="Arial" w:hAnsi="Arial"/>
                <w:sz w:val="12"/>
                <w:szCs w:val="12"/>
                <w:b w:val="1"/>
                <w:bCs w:val="1"/>
                <w:color w:val="55565A"/>
              </w:rPr>
              <w:t>1,901</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55565A"/>
              </w:rPr>
              <w:t>1,504</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78"/>
              <w:spacing w:after="0"/>
              <w:rPr>
                <w:sz w:val="20"/>
                <w:szCs w:val="20"/>
                <w:color w:val="auto"/>
              </w:rPr>
            </w:pPr>
            <w:r>
              <w:rPr>
                <w:rFonts w:ascii="Arial" w:cs="Arial" w:eastAsia="Arial" w:hAnsi="Arial"/>
                <w:sz w:val="12"/>
                <w:szCs w:val="12"/>
                <w:b w:val="1"/>
                <w:bCs w:val="1"/>
                <w:color w:val="55565A"/>
                <w:w w:val="99"/>
              </w:rPr>
              <w:t>3,405</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55565A"/>
              </w:rPr>
              <w:t>8,680</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21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55565A"/>
              </w:rPr>
              <w:t>(1,042)</w:t>
            </w: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55565A"/>
              </w:rPr>
              <w:t>(1,021)</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55565A"/>
              </w:rPr>
              <w:t>11,064</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11,064</w:t>
            </w:r>
          </w:p>
        </w:tc>
        <w:tc>
          <w:tcPr>
            <w:tcW w:w="0" w:type="dxa"/>
            <w:vAlign w:val="bottom"/>
          </w:tcPr>
          <w:p>
            <w:pPr>
              <w:spacing w:after="0"/>
              <w:rPr>
                <w:sz w:val="1"/>
                <w:szCs w:val="1"/>
                <w:color w:val="auto"/>
              </w:rPr>
            </w:pPr>
          </w:p>
        </w:tc>
      </w:tr>
      <w:tr>
        <w:trPr>
          <w:trHeight w:val="180"/>
        </w:trPr>
        <w:tc>
          <w:tcPr>
            <w:tcW w:w="2620" w:type="dxa"/>
            <w:vAlign w:val="bottom"/>
          </w:tcPr>
          <w:p>
            <w:pPr>
              <w:ind w:left="120"/>
              <w:spacing w:after="0"/>
              <w:rPr>
                <w:sz w:val="20"/>
                <w:szCs w:val="20"/>
                <w:color w:val="auto"/>
              </w:rPr>
            </w:pPr>
            <w:r>
              <w:rPr>
                <w:rFonts w:ascii="Arial" w:cs="Arial" w:eastAsia="Arial" w:hAnsi="Arial"/>
                <w:sz w:val="12"/>
                <w:szCs w:val="12"/>
                <w:color w:val="55565A"/>
              </w:rPr>
              <w:t>Net earnings</w:t>
            </w:r>
          </w:p>
        </w:tc>
        <w:tc>
          <w:tcPr>
            <w:tcW w:w="80" w:type="dxa"/>
            <w:vAlign w:val="bottom"/>
          </w:tcPr>
          <w:p>
            <w:pPr>
              <w:spacing w:after="0"/>
              <w:rPr>
                <w:sz w:val="15"/>
                <w:szCs w:val="15"/>
                <w:color w:val="auto"/>
              </w:rPr>
            </w:pPr>
          </w:p>
        </w:tc>
        <w:tc>
          <w:tcPr>
            <w:tcW w:w="560" w:type="dxa"/>
            <w:vAlign w:val="bottom"/>
          </w:tcPr>
          <w:p>
            <w:pPr>
              <w:jc w:val="right"/>
              <w:ind w:right="158"/>
              <w:spacing w:after="0"/>
              <w:rPr>
                <w:sz w:val="20"/>
                <w:szCs w:val="20"/>
                <w:color w:val="auto"/>
              </w:rPr>
            </w:pPr>
            <w:r>
              <w:rPr>
                <w:rFonts w:ascii="Arial" w:cs="Arial" w:eastAsia="Arial" w:hAnsi="Arial"/>
                <w:sz w:val="12"/>
                <w:szCs w:val="12"/>
                <w:b w:val="1"/>
                <w:bCs w:val="1"/>
                <w:color w:val="55565A"/>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55565A"/>
              </w:rPr>
              <w:t>–</w:t>
            </w:r>
          </w:p>
        </w:tc>
        <w:tc>
          <w:tcPr>
            <w:tcW w:w="240" w:type="dxa"/>
            <w:vAlign w:val="bottom"/>
          </w:tcPr>
          <w:p>
            <w:pPr>
              <w:spacing w:after="0"/>
              <w:rPr>
                <w:sz w:val="15"/>
                <w:szCs w:val="15"/>
                <w:color w:val="auto"/>
              </w:rPr>
            </w:pPr>
          </w:p>
        </w:tc>
        <w:tc>
          <w:tcPr>
            <w:tcW w:w="660" w:type="dxa"/>
            <w:vAlign w:val="bottom"/>
          </w:tcPr>
          <w:p>
            <w:pPr>
              <w:jc w:val="right"/>
              <w:ind w:right="278"/>
              <w:spacing w:after="0"/>
              <w:rPr>
                <w:sz w:val="20"/>
                <w:szCs w:val="20"/>
                <w:color w:val="auto"/>
              </w:rPr>
            </w:pPr>
            <w:r>
              <w:rPr>
                <w:rFonts w:ascii="Arial" w:cs="Arial" w:eastAsia="Arial" w:hAnsi="Arial"/>
                <w:sz w:val="12"/>
                <w:szCs w:val="12"/>
                <w:b w:val="1"/>
                <w:bCs w:val="1"/>
                <w:color w:val="55565A"/>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55565A"/>
              </w:rPr>
              <w:t>481</w:t>
            </w:r>
          </w:p>
        </w:tc>
        <w:tc>
          <w:tcPr>
            <w:tcW w:w="300" w:type="dxa"/>
            <w:vAlign w:val="bottom"/>
          </w:tcPr>
          <w:p>
            <w:pPr>
              <w:spacing w:after="0"/>
              <w:rPr>
                <w:sz w:val="15"/>
                <w:szCs w:val="15"/>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b w:val="1"/>
                <w:bCs w:val="1"/>
                <w:color w:val="55565A"/>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2"/>
                <w:szCs w:val="12"/>
                <w:b w:val="1"/>
                <w:bCs w:val="1"/>
                <w:color w:val="55565A"/>
              </w:rPr>
              <w:t>–</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55565A"/>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55565A"/>
              </w:rPr>
              <w:t>481</w:t>
            </w:r>
          </w:p>
        </w:tc>
        <w:tc>
          <w:tcPr>
            <w:tcW w:w="840" w:type="dxa"/>
            <w:vAlign w:val="bottom"/>
          </w:tcPr>
          <w:p>
            <w:pPr>
              <w:jc w:val="right"/>
              <w:ind w:right="18"/>
              <w:spacing w:after="0"/>
              <w:rPr>
                <w:sz w:val="20"/>
                <w:szCs w:val="20"/>
                <w:color w:val="auto"/>
              </w:rPr>
            </w:pPr>
            <w:r>
              <w:rPr>
                <w:rFonts w:ascii="Arial" w:cs="Arial" w:eastAsia="Arial" w:hAnsi="Arial"/>
                <w:sz w:val="12"/>
                <w:szCs w:val="12"/>
                <w:b w:val="1"/>
                <w:bCs w:val="1"/>
                <w:color w:val="55565A"/>
              </w:rPr>
              <w:t>(3)</w:t>
            </w:r>
          </w:p>
        </w:tc>
        <w:tc>
          <w:tcPr>
            <w:tcW w:w="580" w:type="dxa"/>
            <w:vAlign w:val="bottom"/>
          </w:tcPr>
          <w:p>
            <w:pPr>
              <w:jc w:val="right"/>
              <w:ind w:right="18"/>
              <w:spacing w:after="0"/>
              <w:rPr>
                <w:sz w:val="20"/>
                <w:szCs w:val="20"/>
                <w:color w:val="auto"/>
              </w:rPr>
            </w:pPr>
            <w:r>
              <w:rPr>
                <w:rFonts w:ascii="Arial" w:cs="Arial" w:eastAsia="Arial" w:hAnsi="Arial"/>
                <w:sz w:val="12"/>
                <w:szCs w:val="12"/>
                <w:b w:val="1"/>
                <w:bCs w:val="1"/>
                <w:color w:val="55565A"/>
              </w:rPr>
              <w:t>478</w:t>
            </w: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620" w:type="dxa"/>
            <w:vAlign w:val="bottom"/>
            <w:tcBorders>
              <w:bottom w:val="single" w:sz="8" w:color="88888B"/>
            </w:tcBorders>
            <w:shd w:val="clear" w:color="auto" w:fill="CCEEFF"/>
          </w:tcPr>
          <w:p>
            <w:pPr>
              <w:ind w:left="120"/>
              <w:spacing w:after="0"/>
              <w:rPr>
                <w:sz w:val="20"/>
                <w:szCs w:val="20"/>
                <w:color w:val="auto"/>
              </w:rPr>
            </w:pPr>
            <w:r>
              <w:rPr>
                <w:rFonts w:ascii="Arial" w:cs="Arial" w:eastAsia="Arial" w:hAnsi="Arial"/>
                <w:sz w:val="12"/>
                <w:szCs w:val="12"/>
                <w:color w:val="55565A"/>
              </w:rPr>
              <w:t>Other comprehensive income (loss)</w:t>
            </w:r>
          </w:p>
        </w:tc>
        <w:tc>
          <w:tcPr>
            <w:tcW w:w="80" w:type="dxa"/>
            <w:vAlign w:val="bottom"/>
            <w:tcBorders>
              <w:bottom w:val="single" w:sz="8" w:color="88888B"/>
            </w:tcBorders>
            <w:shd w:val="clear" w:color="auto" w:fill="CCEEFF"/>
          </w:tcPr>
          <w:p>
            <w:pPr>
              <w:spacing w:after="0"/>
              <w:rPr>
                <w:sz w:val="13"/>
                <w:szCs w:val="13"/>
                <w:color w:val="auto"/>
              </w:rPr>
            </w:pPr>
          </w:p>
        </w:tc>
        <w:tc>
          <w:tcPr>
            <w:tcW w:w="560" w:type="dxa"/>
            <w:vAlign w:val="bottom"/>
            <w:tcBorders>
              <w:bottom w:val="single" w:sz="8" w:color="88888B"/>
            </w:tcBorders>
            <w:shd w:val="clear" w:color="auto" w:fill="CCEEFF"/>
          </w:tcPr>
          <w:p>
            <w:pPr>
              <w:jc w:val="right"/>
              <w:ind w:right="158"/>
              <w:spacing w:after="0"/>
              <w:rPr>
                <w:sz w:val="20"/>
                <w:szCs w:val="20"/>
                <w:color w:val="auto"/>
              </w:rPr>
            </w:pPr>
            <w:r>
              <w:rPr>
                <w:rFonts w:ascii="Arial" w:cs="Arial" w:eastAsia="Arial" w:hAnsi="Arial"/>
                <w:sz w:val="12"/>
                <w:szCs w:val="12"/>
                <w:b w:val="1"/>
                <w:bCs w:val="1"/>
                <w:color w:val="55565A"/>
              </w:rPr>
              <w:t>–</w:t>
            </w:r>
          </w:p>
        </w:tc>
        <w:tc>
          <w:tcPr>
            <w:tcW w:w="70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b w:val="1"/>
                <w:bCs w:val="1"/>
                <w:color w:val="55565A"/>
              </w:rPr>
              <w:t>–</w:t>
            </w:r>
          </w:p>
        </w:tc>
        <w:tc>
          <w:tcPr>
            <w:tcW w:w="240" w:type="dxa"/>
            <w:vAlign w:val="bottom"/>
            <w:tcBorders>
              <w:bottom w:val="single" w:sz="8" w:color="88888B"/>
            </w:tcBorders>
            <w:shd w:val="clear" w:color="auto" w:fill="CCEEFF"/>
          </w:tcPr>
          <w:p>
            <w:pPr>
              <w:spacing w:after="0"/>
              <w:rPr>
                <w:sz w:val="13"/>
                <w:szCs w:val="13"/>
                <w:color w:val="auto"/>
              </w:rPr>
            </w:pPr>
          </w:p>
        </w:tc>
        <w:tc>
          <w:tcPr>
            <w:tcW w:w="660" w:type="dxa"/>
            <w:vAlign w:val="bottom"/>
            <w:tcBorders>
              <w:bottom w:val="single" w:sz="8" w:color="88888B"/>
            </w:tcBorders>
            <w:shd w:val="clear" w:color="auto" w:fill="CCEEFF"/>
          </w:tcPr>
          <w:p>
            <w:pPr>
              <w:jc w:val="right"/>
              <w:ind w:right="278"/>
              <w:spacing w:after="0"/>
              <w:rPr>
                <w:sz w:val="20"/>
                <w:szCs w:val="20"/>
                <w:color w:val="auto"/>
              </w:rPr>
            </w:pPr>
            <w:r>
              <w:rPr>
                <w:rFonts w:ascii="Arial" w:cs="Arial" w:eastAsia="Arial" w:hAnsi="Arial"/>
                <w:sz w:val="12"/>
                <w:szCs w:val="12"/>
                <w:b w:val="1"/>
                <w:bCs w:val="1"/>
                <w:color w:val="55565A"/>
              </w:rPr>
              <w:t>–</w:t>
            </w:r>
          </w:p>
        </w:tc>
        <w:tc>
          <w:tcPr>
            <w:tcW w:w="62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b w:val="1"/>
                <w:bCs w:val="1"/>
                <w:color w:val="55565A"/>
              </w:rPr>
              <w:t>13</w:t>
            </w:r>
          </w:p>
        </w:tc>
        <w:tc>
          <w:tcPr>
            <w:tcW w:w="300" w:type="dxa"/>
            <w:vAlign w:val="bottom"/>
            <w:tcBorders>
              <w:bottom w:val="single" w:sz="8" w:color="88888B"/>
            </w:tcBorders>
            <w:shd w:val="clear" w:color="auto" w:fill="CCEEFF"/>
          </w:tcPr>
          <w:p>
            <w:pPr>
              <w:spacing w:after="0"/>
              <w:rPr>
                <w:sz w:val="13"/>
                <w:szCs w:val="13"/>
                <w:color w:val="auto"/>
              </w:rPr>
            </w:pPr>
          </w:p>
        </w:tc>
        <w:tc>
          <w:tcPr>
            <w:tcW w:w="760" w:type="dxa"/>
            <w:vAlign w:val="bottom"/>
            <w:tcBorders>
              <w:bottom w:val="single" w:sz="8" w:color="88888B"/>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10</w:t>
            </w:r>
          </w:p>
        </w:tc>
        <w:tc>
          <w:tcPr>
            <w:tcW w:w="100" w:type="dxa"/>
            <w:vAlign w:val="bottom"/>
            <w:tcBorders>
              <w:bottom w:val="single" w:sz="8" w:color="88888B"/>
            </w:tcBorders>
            <w:shd w:val="clear" w:color="auto" w:fill="CCEEFF"/>
          </w:tcPr>
          <w:p>
            <w:pPr>
              <w:spacing w:after="0"/>
              <w:rPr>
                <w:sz w:val="13"/>
                <w:szCs w:val="13"/>
                <w:color w:val="auto"/>
              </w:rPr>
            </w:pPr>
          </w:p>
        </w:tc>
        <w:tc>
          <w:tcPr>
            <w:tcW w:w="240" w:type="dxa"/>
            <w:vAlign w:val="bottom"/>
            <w:tcBorders>
              <w:bottom w:val="single" w:sz="8" w:color="88888B"/>
            </w:tcBorders>
            <w:shd w:val="clear" w:color="auto" w:fill="CCEEFF"/>
          </w:tcPr>
          <w:p>
            <w:pPr>
              <w:spacing w:after="0"/>
              <w:rPr>
                <w:sz w:val="13"/>
                <w:szCs w:val="13"/>
                <w:color w:val="auto"/>
              </w:rPr>
            </w:pPr>
          </w:p>
        </w:tc>
        <w:tc>
          <w:tcPr>
            <w:tcW w:w="560" w:type="dxa"/>
            <w:vAlign w:val="bottom"/>
            <w:tcBorders>
              <w:bottom w:val="single" w:sz="8" w:color="88888B"/>
            </w:tcBorders>
            <w:shd w:val="clear" w:color="auto" w:fill="CCEEFF"/>
          </w:tcPr>
          <w:p>
            <w:pPr>
              <w:jc w:val="right"/>
              <w:ind w:right="38"/>
              <w:spacing w:after="0"/>
              <w:rPr>
                <w:sz w:val="20"/>
                <w:szCs w:val="20"/>
                <w:color w:val="auto"/>
              </w:rPr>
            </w:pPr>
            <w:r>
              <w:rPr>
                <w:rFonts w:ascii="Arial" w:cs="Arial" w:eastAsia="Arial" w:hAnsi="Arial"/>
                <w:sz w:val="12"/>
                <w:szCs w:val="12"/>
                <w:b w:val="1"/>
                <w:bCs w:val="1"/>
                <w:color w:val="55565A"/>
              </w:rPr>
              <w:t>(66)</w:t>
            </w:r>
          </w:p>
        </w:tc>
        <w:tc>
          <w:tcPr>
            <w:tcW w:w="320" w:type="dxa"/>
            <w:vAlign w:val="bottom"/>
            <w:tcBorders>
              <w:bottom w:val="single" w:sz="8" w:color="88888B"/>
            </w:tcBorders>
            <w:shd w:val="clear" w:color="auto" w:fill="CCEEFF"/>
          </w:tcPr>
          <w:p>
            <w:pPr>
              <w:spacing w:after="0"/>
              <w:rPr>
                <w:sz w:val="13"/>
                <w:szCs w:val="13"/>
                <w:color w:val="auto"/>
              </w:rPr>
            </w:pPr>
          </w:p>
        </w:tc>
        <w:tc>
          <w:tcPr>
            <w:tcW w:w="72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b w:val="1"/>
                <w:bCs w:val="1"/>
                <w:color w:val="55565A"/>
              </w:rPr>
              <w:t>(56)</w:t>
            </w:r>
          </w:p>
        </w:tc>
        <w:tc>
          <w:tcPr>
            <w:tcW w:w="102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b w:val="1"/>
                <w:bCs w:val="1"/>
                <w:color w:val="55565A"/>
              </w:rPr>
              <w:t>(43)</w:t>
            </w:r>
          </w:p>
        </w:tc>
        <w:tc>
          <w:tcPr>
            <w:tcW w:w="840" w:type="dxa"/>
            <w:vAlign w:val="bottom"/>
            <w:tcBorders>
              <w:bottom w:val="single" w:sz="8" w:color="88888B"/>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(5)</w:t>
            </w:r>
          </w:p>
        </w:tc>
        <w:tc>
          <w:tcPr>
            <w:tcW w:w="580" w:type="dxa"/>
            <w:vAlign w:val="bottom"/>
            <w:tcBorders>
              <w:bottom w:val="single" w:sz="8" w:color="88888B"/>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(48)</w:t>
            </w:r>
          </w:p>
        </w:tc>
        <w:tc>
          <w:tcPr>
            <w:tcW w:w="0" w:type="dxa"/>
            <w:vAlign w:val="bottom"/>
          </w:tcPr>
          <w:p>
            <w:pPr>
              <w:spacing w:after="0"/>
              <w:rPr>
                <w:sz w:val="1"/>
                <w:szCs w:val="1"/>
                <w:color w:val="auto"/>
              </w:rPr>
            </w:pPr>
          </w:p>
        </w:tc>
      </w:tr>
      <w:tr>
        <w:trPr>
          <w:trHeight w:val="174"/>
        </w:trPr>
        <w:tc>
          <w:tcPr>
            <w:tcW w:w="2620" w:type="dxa"/>
            <w:vAlign w:val="bottom"/>
            <w:tcBorders>
              <w:bottom w:val="single" w:sz="8" w:color="88888B"/>
            </w:tcBorders>
          </w:tcPr>
          <w:p>
            <w:pPr>
              <w:ind w:left="120"/>
              <w:spacing w:after="0"/>
              <w:rPr>
                <w:sz w:val="20"/>
                <w:szCs w:val="20"/>
                <w:color w:val="auto"/>
              </w:rPr>
            </w:pPr>
            <w:r>
              <w:rPr>
                <w:rFonts w:ascii="Arial" w:cs="Arial" w:eastAsia="Arial" w:hAnsi="Arial"/>
                <w:sz w:val="12"/>
                <w:szCs w:val="12"/>
                <w:color w:val="55565A"/>
              </w:rPr>
              <w:t>Total comprehensive income (loss)</w:t>
            </w:r>
          </w:p>
        </w:tc>
        <w:tc>
          <w:tcPr>
            <w:tcW w:w="80" w:type="dxa"/>
            <w:vAlign w:val="bottom"/>
            <w:tcBorders>
              <w:bottom w:val="single" w:sz="8" w:color="88888B"/>
            </w:tcBorders>
          </w:tcPr>
          <w:p>
            <w:pPr>
              <w:spacing w:after="0"/>
              <w:rPr>
                <w:sz w:val="15"/>
                <w:szCs w:val="15"/>
                <w:color w:val="auto"/>
              </w:rPr>
            </w:pPr>
          </w:p>
        </w:tc>
        <w:tc>
          <w:tcPr>
            <w:tcW w:w="560" w:type="dxa"/>
            <w:vAlign w:val="bottom"/>
            <w:tcBorders>
              <w:bottom w:val="single" w:sz="8" w:color="88888B"/>
            </w:tcBorders>
          </w:tcPr>
          <w:p>
            <w:pPr>
              <w:jc w:val="right"/>
              <w:ind w:right="158"/>
              <w:spacing w:after="0"/>
              <w:rPr>
                <w:sz w:val="20"/>
                <w:szCs w:val="20"/>
                <w:color w:val="auto"/>
              </w:rPr>
            </w:pPr>
            <w:r>
              <w:rPr>
                <w:rFonts w:ascii="Arial" w:cs="Arial" w:eastAsia="Arial" w:hAnsi="Arial"/>
                <w:sz w:val="12"/>
                <w:szCs w:val="12"/>
                <w:b w:val="1"/>
                <w:bCs w:val="1"/>
                <w:color w:val="55565A"/>
              </w:rPr>
              <w:t>–</w:t>
            </w:r>
          </w:p>
        </w:tc>
        <w:tc>
          <w:tcPr>
            <w:tcW w:w="700" w:type="dxa"/>
            <w:vAlign w:val="bottom"/>
            <w:tcBorders>
              <w:bottom w:val="single" w:sz="8" w:color="88888B"/>
            </w:tcBorders>
          </w:tcPr>
          <w:p>
            <w:pPr>
              <w:jc w:val="right"/>
              <w:spacing w:after="0"/>
              <w:rPr>
                <w:sz w:val="20"/>
                <w:szCs w:val="20"/>
                <w:color w:val="auto"/>
              </w:rPr>
            </w:pPr>
            <w:r>
              <w:rPr>
                <w:rFonts w:ascii="Arial" w:cs="Arial" w:eastAsia="Arial" w:hAnsi="Arial"/>
                <w:sz w:val="12"/>
                <w:szCs w:val="12"/>
                <w:b w:val="1"/>
                <w:bCs w:val="1"/>
                <w:color w:val="55565A"/>
              </w:rPr>
              <w:t>–</w:t>
            </w:r>
          </w:p>
        </w:tc>
        <w:tc>
          <w:tcPr>
            <w:tcW w:w="240" w:type="dxa"/>
            <w:vAlign w:val="bottom"/>
            <w:tcBorders>
              <w:bottom w:val="single" w:sz="8" w:color="88888B"/>
            </w:tcBorders>
          </w:tcPr>
          <w:p>
            <w:pPr>
              <w:spacing w:after="0"/>
              <w:rPr>
                <w:sz w:val="15"/>
                <w:szCs w:val="15"/>
                <w:color w:val="auto"/>
              </w:rPr>
            </w:pPr>
          </w:p>
        </w:tc>
        <w:tc>
          <w:tcPr>
            <w:tcW w:w="660" w:type="dxa"/>
            <w:vAlign w:val="bottom"/>
            <w:tcBorders>
              <w:bottom w:val="single" w:sz="8" w:color="88888B"/>
            </w:tcBorders>
          </w:tcPr>
          <w:p>
            <w:pPr>
              <w:jc w:val="right"/>
              <w:ind w:right="278"/>
              <w:spacing w:after="0"/>
              <w:rPr>
                <w:sz w:val="20"/>
                <w:szCs w:val="20"/>
                <w:color w:val="auto"/>
              </w:rPr>
            </w:pPr>
            <w:r>
              <w:rPr>
                <w:rFonts w:ascii="Arial" w:cs="Arial" w:eastAsia="Arial" w:hAnsi="Arial"/>
                <w:sz w:val="12"/>
                <w:szCs w:val="12"/>
                <w:b w:val="1"/>
                <w:bCs w:val="1"/>
                <w:color w:val="55565A"/>
              </w:rPr>
              <w:t>–</w:t>
            </w:r>
          </w:p>
        </w:tc>
        <w:tc>
          <w:tcPr>
            <w:tcW w:w="620" w:type="dxa"/>
            <w:vAlign w:val="bottom"/>
            <w:tcBorders>
              <w:bottom w:val="single" w:sz="8" w:color="88888B"/>
            </w:tcBorders>
          </w:tcPr>
          <w:p>
            <w:pPr>
              <w:jc w:val="right"/>
              <w:spacing w:after="0"/>
              <w:rPr>
                <w:sz w:val="20"/>
                <w:szCs w:val="20"/>
                <w:color w:val="auto"/>
              </w:rPr>
            </w:pPr>
            <w:r>
              <w:rPr>
                <w:rFonts w:ascii="Arial" w:cs="Arial" w:eastAsia="Arial" w:hAnsi="Arial"/>
                <w:sz w:val="12"/>
                <w:szCs w:val="12"/>
                <w:b w:val="1"/>
                <w:bCs w:val="1"/>
                <w:color w:val="55565A"/>
              </w:rPr>
              <w:t>494</w:t>
            </w:r>
          </w:p>
        </w:tc>
        <w:tc>
          <w:tcPr>
            <w:tcW w:w="300" w:type="dxa"/>
            <w:vAlign w:val="bottom"/>
            <w:tcBorders>
              <w:bottom w:val="single" w:sz="8" w:color="88888B"/>
            </w:tcBorders>
          </w:tcPr>
          <w:p>
            <w:pPr>
              <w:spacing w:after="0"/>
              <w:rPr>
                <w:sz w:val="15"/>
                <w:szCs w:val="15"/>
                <w:color w:val="auto"/>
              </w:rPr>
            </w:pPr>
          </w:p>
        </w:tc>
        <w:tc>
          <w:tcPr>
            <w:tcW w:w="760" w:type="dxa"/>
            <w:vAlign w:val="bottom"/>
            <w:tcBorders>
              <w:bottom w:val="single" w:sz="8" w:color="88888B"/>
            </w:tcBorders>
          </w:tcPr>
          <w:p>
            <w:pPr>
              <w:jc w:val="right"/>
              <w:ind w:right="18"/>
              <w:spacing w:after="0"/>
              <w:rPr>
                <w:sz w:val="20"/>
                <w:szCs w:val="20"/>
                <w:color w:val="auto"/>
              </w:rPr>
            </w:pPr>
            <w:r>
              <w:rPr>
                <w:rFonts w:ascii="Arial" w:cs="Arial" w:eastAsia="Arial" w:hAnsi="Arial"/>
                <w:sz w:val="12"/>
                <w:szCs w:val="12"/>
                <w:b w:val="1"/>
                <w:bCs w:val="1"/>
                <w:color w:val="55565A"/>
              </w:rPr>
              <w:t>10</w:t>
            </w:r>
          </w:p>
        </w:tc>
        <w:tc>
          <w:tcPr>
            <w:tcW w:w="100" w:type="dxa"/>
            <w:vAlign w:val="bottom"/>
            <w:tcBorders>
              <w:bottom w:val="single" w:sz="8" w:color="88888B"/>
            </w:tcBorders>
          </w:tcPr>
          <w:p>
            <w:pPr>
              <w:spacing w:after="0"/>
              <w:rPr>
                <w:sz w:val="15"/>
                <w:szCs w:val="15"/>
                <w:color w:val="auto"/>
              </w:rPr>
            </w:pPr>
          </w:p>
        </w:tc>
        <w:tc>
          <w:tcPr>
            <w:tcW w:w="240" w:type="dxa"/>
            <w:vAlign w:val="bottom"/>
            <w:tcBorders>
              <w:bottom w:val="single" w:sz="8" w:color="88888B"/>
            </w:tcBorders>
          </w:tcPr>
          <w:p>
            <w:pPr>
              <w:spacing w:after="0"/>
              <w:rPr>
                <w:sz w:val="15"/>
                <w:szCs w:val="15"/>
                <w:color w:val="auto"/>
              </w:rPr>
            </w:pPr>
          </w:p>
        </w:tc>
        <w:tc>
          <w:tcPr>
            <w:tcW w:w="560" w:type="dxa"/>
            <w:vAlign w:val="bottom"/>
            <w:tcBorders>
              <w:bottom w:val="single" w:sz="8" w:color="88888B"/>
            </w:tcBorders>
          </w:tcPr>
          <w:p>
            <w:pPr>
              <w:jc w:val="right"/>
              <w:ind w:right="38"/>
              <w:spacing w:after="0"/>
              <w:rPr>
                <w:sz w:val="20"/>
                <w:szCs w:val="20"/>
                <w:color w:val="auto"/>
              </w:rPr>
            </w:pPr>
            <w:r>
              <w:rPr>
                <w:rFonts w:ascii="Arial" w:cs="Arial" w:eastAsia="Arial" w:hAnsi="Arial"/>
                <w:sz w:val="12"/>
                <w:szCs w:val="12"/>
                <w:b w:val="1"/>
                <w:bCs w:val="1"/>
                <w:color w:val="55565A"/>
              </w:rPr>
              <w:t>(66)</w:t>
            </w:r>
          </w:p>
        </w:tc>
        <w:tc>
          <w:tcPr>
            <w:tcW w:w="320" w:type="dxa"/>
            <w:vAlign w:val="bottom"/>
            <w:tcBorders>
              <w:bottom w:val="single" w:sz="8" w:color="88888B"/>
            </w:tcBorders>
          </w:tcPr>
          <w:p>
            <w:pPr>
              <w:spacing w:after="0"/>
              <w:rPr>
                <w:sz w:val="15"/>
                <w:szCs w:val="15"/>
                <w:color w:val="auto"/>
              </w:rPr>
            </w:pPr>
          </w:p>
        </w:tc>
        <w:tc>
          <w:tcPr>
            <w:tcW w:w="720" w:type="dxa"/>
            <w:vAlign w:val="bottom"/>
            <w:tcBorders>
              <w:bottom w:val="single" w:sz="8" w:color="88888B"/>
            </w:tcBorders>
          </w:tcPr>
          <w:p>
            <w:pPr>
              <w:jc w:val="right"/>
              <w:spacing w:after="0"/>
              <w:rPr>
                <w:sz w:val="20"/>
                <w:szCs w:val="20"/>
                <w:color w:val="auto"/>
              </w:rPr>
            </w:pPr>
            <w:r>
              <w:rPr>
                <w:rFonts w:ascii="Arial" w:cs="Arial" w:eastAsia="Arial" w:hAnsi="Arial"/>
                <w:sz w:val="12"/>
                <w:szCs w:val="12"/>
                <w:b w:val="1"/>
                <w:bCs w:val="1"/>
                <w:color w:val="55565A"/>
              </w:rPr>
              <w:t>(56)</w:t>
            </w:r>
          </w:p>
        </w:tc>
        <w:tc>
          <w:tcPr>
            <w:tcW w:w="1020" w:type="dxa"/>
            <w:vAlign w:val="bottom"/>
            <w:tcBorders>
              <w:bottom w:val="single" w:sz="8" w:color="88888B"/>
            </w:tcBorders>
          </w:tcPr>
          <w:p>
            <w:pPr>
              <w:jc w:val="right"/>
              <w:spacing w:after="0"/>
              <w:rPr>
                <w:sz w:val="20"/>
                <w:szCs w:val="20"/>
                <w:color w:val="auto"/>
              </w:rPr>
            </w:pPr>
            <w:r>
              <w:rPr>
                <w:rFonts w:ascii="Arial" w:cs="Arial" w:eastAsia="Arial" w:hAnsi="Arial"/>
                <w:sz w:val="12"/>
                <w:szCs w:val="12"/>
                <w:b w:val="1"/>
                <w:bCs w:val="1"/>
                <w:color w:val="55565A"/>
              </w:rPr>
              <w:t>438</w:t>
            </w:r>
          </w:p>
        </w:tc>
        <w:tc>
          <w:tcPr>
            <w:tcW w:w="840" w:type="dxa"/>
            <w:vAlign w:val="bottom"/>
            <w:tcBorders>
              <w:bottom w:val="single" w:sz="8" w:color="88888B"/>
            </w:tcBorders>
          </w:tcPr>
          <w:p>
            <w:pPr>
              <w:jc w:val="right"/>
              <w:ind w:right="18"/>
              <w:spacing w:after="0"/>
              <w:rPr>
                <w:sz w:val="20"/>
                <w:szCs w:val="20"/>
                <w:color w:val="auto"/>
              </w:rPr>
            </w:pPr>
            <w:r>
              <w:rPr>
                <w:rFonts w:ascii="Arial" w:cs="Arial" w:eastAsia="Arial" w:hAnsi="Arial"/>
                <w:sz w:val="12"/>
                <w:szCs w:val="12"/>
                <w:b w:val="1"/>
                <w:bCs w:val="1"/>
                <w:color w:val="55565A"/>
              </w:rPr>
              <w:t>(8)</w:t>
            </w:r>
          </w:p>
        </w:tc>
        <w:tc>
          <w:tcPr>
            <w:tcW w:w="580" w:type="dxa"/>
            <w:vAlign w:val="bottom"/>
            <w:tcBorders>
              <w:bottom w:val="single" w:sz="8" w:color="88888B"/>
            </w:tcBorders>
          </w:tcPr>
          <w:p>
            <w:pPr>
              <w:jc w:val="right"/>
              <w:ind w:right="18"/>
              <w:spacing w:after="0"/>
              <w:rPr>
                <w:sz w:val="20"/>
                <w:szCs w:val="20"/>
                <w:color w:val="auto"/>
              </w:rPr>
            </w:pPr>
            <w:r>
              <w:rPr>
                <w:rFonts w:ascii="Arial" w:cs="Arial" w:eastAsia="Arial" w:hAnsi="Arial"/>
                <w:sz w:val="12"/>
                <w:szCs w:val="12"/>
                <w:b w:val="1"/>
                <w:bCs w:val="1"/>
                <w:color w:val="55565A"/>
              </w:rPr>
              <w:t>430</w:t>
            </w:r>
          </w:p>
        </w:tc>
        <w:tc>
          <w:tcPr>
            <w:tcW w:w="0" w:type="dxa"/>
            <w:vAlign w:val="bottom"/>
          </w:tcPr>
          <w:p>
            <w:pPr>
              <w:spacing w:after="0"/>
              <w:rPr>
                <w:sz w:val="1"/>
                <w:szCs w:val="1"/>
                <w:color w:val="auto"/>
              </w:rPr>
            </w:pPr>
          </w:p>
        </w:tc>
      </w:tr>
      <w:tr>
        <w:trPr>
          <w:trHeight w:val="116"/>
        </w:trPr>
        <w:tc>
          <w:tcPr>
            <w:tcW w:w="2620" w:type="dxa"/>
            <w:vAlign w:val="bottom"/>
            <w:shd w:val="clear" w:color="auto" w:fill="CCEEFF"/>
          </w:tcPr>
          <w:p>
            <w:pPr>
              <w:ind w:left="120"/>
              <w:spacing w:after="0" w:line="116" w:lineRule="exact"/>
              <w:rPr>
                <w:sz w:val="20"/>
                <w:szCs w:val="20"/>
                <w:color w:val="auto"/>
              </w:rPr>
            </w:pPr>
            <w:r>
              <w:rPr>
                <w:rFonts w:ascii="Arial" w:cs="Arial" w:eastAsia="Arial" w:hAnsi="Arial"/>
                <w:sz w:val="12"/>
                <w:szCs w:val="12"/>
                <w:color w:val="55565A"/>
              </w:rPr>
              <w:t>Non-controlling interests on acquisition of</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158"/>
              <w:spacing w:after="0"/>
              <w:rPr>
                <w:sz w:val="20"/>
                <w:szCs w:val="20"/>
                <w:color w:val="auto"/>
              </w:rPr>
            </w:pPr>
            <w:r>
              <w:rPr>
                <w:rFonts w:ascii="Arial" w:cs="Arial" w:eastAsia="Arial" w:hAnsi="Arial"/>
                <w:sz w:val="12"/>
                <w:szCs w:val="12"/>
                <w:b w:val="1"/>
                <w:bCs w:val="1"/>
                <w:color w:val="55565A"/>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55565A"/>
              </w:rPr>
              <w:t>–</w:t>
            </w:r>
          </w:p>
        </w:tc>
        <w:tc>
          <w:tcPr>
            <w:tcW w:w="2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78"/>
              <w:spacing w:after="0"/>
              <w:rPr>
                <w:sz w:val="20"/>
                <w:szCs w:val="20"/>
                <w:color w:val="auto"/>
              </w:rPr>
            </w:pPr>
            <w:r>
              <w:rPr>
                <w:rFonts w:ascii="Arial" w:cs="Arial" w:eastAsia="Arial" w:hAnsi="Arial"/>
                <w:sz w:val="12"/>
                <w:szCs w:val="12"/>
                <w:b w:val="1"/>
                <w:bCs w:val="1"/>
                <w:color w:val="55565A"/>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55565A"/>
              </w:rPr>
              <w:t>–</w:t>
            </w:r>
          </w:p>
        </w:tc>
        <w:tc>
          <w:tcPr>
            <w:tcW w:w="3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38"/>
              <w:spacing w:after="0"/>
              <w:rPr>
                <w:sz w:val="20"/>
                <w:szCs w:val="20"/>
                <w:color w:val="auto"/>
              </w:rPr>
            </w:pPr>
            <w:r>
              <w:rPr>
                <w:rFonts w:ascii="Arial" w:cs="Arial" w:eastAsia="Arial" w:hAnsi="Arial"/>
                <w:sz w:val="12"/>
                <w:szCs w:val="12"/>
                <w:b w:val="1"/>
                <w:bCs w:val="1"/>
                <w:color w:val="55565A"/>
              </w:rPr>
              <w:t>–</w:t>
            </w:r>
          </w:p>
        </w:tc>
        <w:tc>
          <w:tcPr>
            <w:tcW w:w="3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55565A"/>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55565A"/>
              </w:rPr>
              <w:t>–</w:t>
            </w:r>
          </w:p>
        </w:tc>
        <w:tc>
          <w:tcPr>
            <w:tcW w:w="84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388</w:t>
            </w:r>
          </w:p>
        </w:tc>
        <w:tc>
          <w:tcPr>
            <w:tcW w:w="58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388</w:t>
            </w: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240"/>
              <w:spacing w:after="0"/>
              <w:rPr>
                <w:sz w:val="20"/>
                <w:szCs w:val="20"/>
                <w:color w:val="auto"/>
              </w:rPr>
            </w:pPr>
            <w:r>
              <w:rPr>
                <w:rFonts w:ascii="Arial" w:cs="Arial" w:eastAsia="Arial" w:hAnsi="Arial"/>
                <w:sz w:val="12"/>
                <w:szCs w:val="12"/>
                <w:color w:val="55565A"/>
              </w:rPr>
              <w:t>subsidiaries</w:t>
            </w: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120"/>
              <w:spacing w:after="0"/>
              <w:rPr>
                <w:sz w:val="20"/>
                <w:szCs w:val="20"/>
                <w:color w:val="auto"/>
              </w:rPr>
            </w:pPr>
            <w:r>
              <w:rPr>
                <w:rFonts w:ascii="Arial" w:cs="Arial" w:eastAsia="Arial" w:hAnsi="Arial"/>
                <w:sz w:val="12"/>
                <w:szCs w:val="12"/>
                <w:color w:val="55565A"/>
              </w:rPr>
              <w:t>Purchase of non-controlling interests</w:t>
            </w:r>
          </w:p>
        </w:tc>
        <w:tc>
          <w:tcPr>
            <w:tcW w:w="80" w:type="dxa"/>
            <w:vAlign w:val="bottom"/>
          </w:tcPr>
          <w:p>
            <w:pPr>
              <w:spacing w:after="0"/>
              <w:rPr>
                <w:sz w:val="15"/>
                <w:szCs w:val="15"/>
                <w:color w:val="auto"/>
              </w:rPr>
            </w:pPr>
          </w:p>
        </w:tc>
        <w:tc>
          <w:tcPr>
            <w:tcW w:w="560" w:type="dxa"/>
            <w:vAlign w:val="bottom"/>
          </w:tcPr>
          <w:p>
            <w:pPr>
              <w:jc w:val="right"/>
              <w:ind w:right="158"/>
              <w:spacing w:after="0"/>
              <w:rPr>
                <w:sz w:val="20"/>
                <w:szCs w:val="20"/>
                <w:color w:val="auto"/>
              </w:rPr>
            </w:pPr>
            <w:r>
              <w:rPr>
                <w:rFonts w:ascii="Arial" w:cs="Arial" w:eastAsia="Arial" w:hAnsi="Arial"/>
                <w:sz w:val="12"/>
                <w:szCs w:val="12"/>
                <w:b w:val="1"/>
                <w:bCs w:val="1"/>
                <w:color w:val="55565A"/>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55565A"/>
              </w:rPr>
              <w:t>–</w:t>
            </w:r>
          </w:p>
        </w:tc>
        <w:tc>
          <w:tcPr>
            <w:tcW w:w="240" w:type="dxa"/>
            <w:vAlign w:val="bottom"/>
          </w:tcPr>
          <w:p>
            <w:pPr>
              <w:spacing w:after="0"/>
              <w:rPr>
                <w:sz w:val="15"/>
                <w:szCs w:val="15"/>
                <w:color w:val="auto"/>
              </w:rPr>
            </w:pPr>
          </w:p>
        </w:tc>
        <w:tc>
          <w:tcPr>
            <w:tcW w:w="660" w:type="dxa"/>
            <w:vAlign w:val="bottom"/>
          </w:tcPr>
          <w:p>
            <w:pPr>
              <w:jc w:val="right"/>
              <w:ind w:right="278"/>
              <w:spacing w:after="0"/>
              <w:rPr>
                <w:sz w:val="20"/>
                <w:szCs w:val="20"/>
                <w:color w:val="auto"/>
              </w:rPr>
            </w:pPr>
            <w:r>
              <w:rPr>
                <w:rFonts w:ascii="Arial" w:cs="Arial" w:eastAsia="Arial" w:hAnsi="Arial"/>
                <w:sz w:val="12"/>
                <w:szCs w:val="12"/>
                <w:b w:val="1"/>
                <w:bCs w:val="1"/>
                <w:color w:val="55565A"/>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55565A"/>
              </w:rPr>
              <w:t>–</w:t>
            </w:r>
          </w:p>
        </w:tc>
        <w:tc>
          <w:tcPr>
            <w:tcW w:w="300" w:type="dxa"/>
            <w:vAlign w:val="bottom"/>
          </w:tcPr>
          <w:p>
            <w:pPr>
              <w:spacing w:after="0"/>
              <w:rPr>
                <w:sz w:val="15"/>
                <w:szCs w:val="15"/>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b w:val="1"/>
                <w:bCs w:val="1"/>
                <w:color w:val="55565A"/>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2"/>
                <w:szCs w:val="12"/>
                <w:b w:val="1"/>
                <w:bCs w:val="1"/>
                <w:color w:val="55565A"/>
              </w:rPr>
              <w:t>–</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55565A"/>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55565A"/>
              </w:rPr>
              <w:t>–</w:t>
            </w:r>
          </w:p>
        </w:tc>
        <w:tc>
          <w:tcPr>
            <w:tcW w:w="840" w:type="dxa"/>
            <w:vAlign w:val="bottom"/>
          </w:tcPr>
          <w:p>
            <w:pPr>
              <w:jc w:val="right"/>
              <w:ind w:right="18"/>
              <w:spacing w:after="0"/>
              <w:rPr>
                <w:sz w:val="20"/>
                <w:szCs w:val="20"/>
                <w:color w:val="auto"/>
              </w:rPr>
            </w:pPr>
            <w:r>
              <w:rPr>
                <w:rFonts w:ascii="Arial" w:cs="Arial" w:eastAsia="Arial" w:hAnsi="Arial"/>
                <w:sz w:val="12"/>
                <w:szCs w:val="12"/>
                <w:b w:val="1"/>
                <w:bCs w:val="1"/>
                <w:color w:val="55565A"/>
              </w:rPr>
              <w:t>(380)</w:t>
            </w:r>
          </w:p>
        </w:tc>
        <w:tc>
          <w:tcPr>
            <w:tcW w:w="580" w:type="dxa"/>
            <w:vAlign w:val="bottom"/>
          </w:tcPr>
          <w:p>
            <w:pPr>
              <w:jc w:val="right"/>
              <w:ind w:right="18"/>
              <w:spacing w:after="0"/>
              <w:rPr>
                <w:sz w:val="20"/>
                <w:szCs w:val="20"/>
                <w:color w:val="auto"/>
              </w:rPr>
            </w:pPr>
            <w:r>
              <w:rPr>
                <w:rFonts w:ascii="Arial" w:cs="Arial" w:eastAsia="Arial" w:hAnsi="Arial"/>
                <w:sz w:val="12"/>
                <w:szCs w:val="12"/>
                <w:b w:val="1"/>
                <w:bCs w:val="1"/>
                <w:color w:val="55565A"/>
              </w:rPr>
              <w:t>(380)</w:t>
            </w: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620" w:type="dxa"/>
            <w:vAlign w:val="bottom"/>
            <w:shd w:val="clear" w:color="auto" w:fill="CCEEFF"/>
          </w:tcPr>
          <w:p>
            <w:pPr>
              <w:ind w:left="120"/>
              <w:spacing w:after="0"/>
              <w:rPr>
                <w:sz w:val="20"/>
                <w:szCs w:val="20"/>
                <w:color w:val="auto"/>
              </w:rPr>
            </w:pPr>
            <w:r>
              <w:rPr>
                <w:rFonts w:ascii="Arial" w:cs="Arial" w:eastAsia="Arial" w:hAnsi="Arial"/>
                <w:sz w:val="12"/>
                <w:szCs w:val="12"/>
                <w:color w:val="55565A"/>
              </w:rPr>
              <w:t>Dividends declared on preference shares</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58"/>
              <w:spacing w:after="0"/>
              <w:rPr>
                <w:sz w:val="20"/>
                <w:szCs w:val="20"/>
                <w:color w:val="auto"/>
              </w:rPr>
            </w:pPr>
            <w:r>
              <w:rPr>
                <w:rFonts w:ascii="Arial" w:cs="Arial" w:eastAsia="Arial" w:hAnsi="Arial"/>
                <w:sz w:val="12"/>
                <w:szCs w:val="12"/>
                <w:b w:val="1"/>
                <w:bCs w:val="1"/>
                <w:color w:val="55565A"/>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55565A"/>
              </w:rPr>
              <w:t>–</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78"/>
              <w:spacing w:after="0"/>
              <w:rPr>
                <w:sz w:val="20"/>
                <w:szCs w:val="20"/>
                <w:color w:val="auto"/>
              </w:rPr>
            </w:pPr>
            <w:r>
              <w:rPr>
                <w:rFonts w:ascii="Arial" w:cs="Arial" w:eastAsia="Arial" w:hAnsi="Arial"/>
                <w:sz w:val="12"/>
                <w:szCs w:val="12"/>
                <w:b w:val="1"/>
                <w:bCs w:val="1"/>
                <w:color w:val="55565A"/>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55565A"/>
              </w:rPr>
              <w:t>(1)</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55565A"/>
              </w:rPr>
              <w:t>–</w:t>
            </w: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55565A"/>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55565A"/>
              </w:rPr>
              <w:t>(1)</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(1)</w:t>
            </w:r>
          </w:p>
        </w:tc>
        <w:tc>
          <w:tcPr>
            <w:tcW w:w="0" w:type="dxa"/>
            <w:vAlign w:val="bottom"/>
          </w:tcPr>
          <w:p>
            <w:pPr>
              <w:spacing w:after="0"/>
              <w:rPr>
                <w:sz w:val="1"/>
                <w:szCs w:val="1"/>
                <w:color w:val="auto"/>
              </w:rPr>
            </w:pPr>
          </w:p>
        </w:tc>
      </w:tr>
      <w:tr>
        <w:trPr>
          <w:trHeight w:val="180"/>
        </w:trPr>
        <w:tc>
          <w:tcPr>
            <w:tcW w:w="2620" w:type="dxa"/>
            <w:vAlign w:val="bottom"/>
          </w:tcPr>
          <w:p>
            <w:pPr>
              <w:ind w:left="120"/>
              <w:spacing w:after="0"/>
              <w:rPr>
                <w:sz w:val="20"/>
                <w:szCs w:val="20"/>
                <w:color w:val="auto"/>
              </w:rPr>
            </w:pPr>
            <w:r>
              <w:rPr>
                <w:rFonts w:ascii="Arial" w:cs="Arial" w:eastAsia="Arial" w:hAnsi="Arial"/>
                <w:sz w:val="12"/>
                <w:szCs w:val="12"/>
                <w:color w:val="55565A"/>
              </w:rPr>
              <w:t>Dividends declared on common shares</w:t>
            </w:r>
          </w:p>
        </w:tc>
        <w:tc>
          <w:tcPr>
            <w:tcW w:w="80" w:type="dxa"/>
            <w:vAlign w:val="bottom"/>
          </w:tcPr>
          <w:p>
            <w:pPr>
              <w:spacing w:after="0"/>
              <w:rPr>
                <w:sz w:val="15"/>
                <w:szCs w:val="15"/>
                <w:color w:val="auto"/>
              </w:rPr>
            </w:pPr>
          </w:p>
        </w:tc>
        <w:tc>
          <w:tcPr>
            <w:tcW w:w="560" w:type="dxa"/>
            <w:vAlign w:val="bottom"/>
          </w:tcPr>
          <w:p>
            <w:pPr>
              <w:jc w:val="right"/>
              <w:ind w:right="158"/>
              <w:spacing w:after="0"/>
              <w:rPr>
                <w:sz w:val="20"/>
                <w:szCs w:val="20"/>
                <w:color w:val="auto"/>
              </w:rPr>
            </w:pPr>
            <w:r>
              <w:rPr>
                <w:rFonts w:ascii="Arial" w:cs="Arial" w:eastAsia="Arial" w:hAnsi="Arial"/>
                <w:sz w:val="12"/>
                <w:szCs w:val="12"/>
                <w:b w:val="1"/>
                <w:bCs w:val="1"/>
                <w:color w:val="55565A"/>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55565A"/>
              </w:rPr>
              <w:t>–</w:t>
            </w:r>
          </w:p>
        </w:tc>
        <w:tc>
          <w:tcPr>
            <w:tcW w:w="240" w:type="dxa"/>
            <w:vAlign w:val="bottom"/>
          </w:tcPr>
          <w:p>
            <w:pPr>
              <w:spacing w:after="0"/>
              <w:rPr>
                <w:sz w:val="15"/>
                <w:szCs w:val="15"/>
                <w:color w:val="auto"/>
              </w:rPr>
            </w:pPr>
          </w:p>
        </w:tc>
        <w:tc>
          <w:tcPr>
            <w:tcW w:w="660" w:type="dxa"/>
            <w:vAlign w:val="bottom"/>
          </w:tcPr>
          <w:p>
            <w:pPr>
              <w:jc w:val="right"/>
              <w:ind w:right="278"/>
              <w:spacing w:after="0"/>
              <w:rPr>
                <w:sz w:val="20"/>
                <w:szCs w:val="20"/>
                <w:color w:val="auto"/>
              </w:rPr>
            </w:pPr>
            <w:r>
              <w:rPr>
                <w:rFonts w:ascii="Arial" w:cs="Arial" w:eastAsia="Arial" w:hAnsi="Arial"/>
                <w:sz w:val="12"/>
                <w:szCs w:val="12"/>
                <w:b w:val="1"/>
                <w:bCs w:val="1"/>
                <w:color w:val="55565A"/>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55565A"/>
              </w:rPr>
              <w:t>(244)</w:t>
            </w:r>
          </w:p>
        </w:tc>
        <w:tc>
          <w:tcPr>
            <w:tcW w:w="300" w:type="dxa"/>
            <w:vAlign w:val="bottom"/>
          </w:tcPr>
          <w:p>
            <w:pPr>
              <w:spacing w:after="0"/>
              <w:rPr>
                <w:sz w:val="15"/>
                <w:szCs w:val="15"/>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b w:val="1"/>
                <w:bCs w:val="1"/>
                <w:color w:val="55565A"/>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2"/>
                <w:szCs w:val="12"/>
                <w:b w:val="1"/>
                <w:bCs w:val="1"/>
                <w:color w:val="55565A"/>
              </w:rPr>
              <w:t>–</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55565A"/>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55565A"/>
              </w:rPr>
              <w:t>(244)</w:t>
            </w:r>
          </w:p>
        </w:tc>
        <w:tc>
          <w:tcPr>
            <w:tcW w:w="840" w:type="dxa"/>
            <w:vAlign w:val="bottom"/>
          </w:tcPr>
          <w:p>
            <w:pPr>
              <w:jc w:val="right"/>
              <w:ind w:right="18"/>
              <w:spacing w:after="0"/>
              <w:rPr>
                <w:sz w:val="20"/>
                <w:szCs w:val="20"/>
                <w:color w:val="auto"/>
              </w:rPr>
            </w:pPr>
            <w:r>
              <w:rPr>
                <w:rFonts w:ascii="Arial" w:cs="Arial" w:eastAsia="Arial" w:hAnsi="Arial"/>
                <w:sz w:val="12"/>
                <w:szCs w:val="12"/>
                <w:b w:val="1"/>
                <w:bCs w:val="1"/>
                <w:color w:val="55565A"/>
              </w:rPr>
              <w:t>–</w:t>
            </w:r>
          </w:p>
        </w:tc>
        <w:tc>
          <w:tcPr>
            <w:tcW w:w="580" w:type="dxa"/>
            <w:vAlign w:val="bottom"/>
          </w:tcPr>
          <w:p>
            <w:pPr>
              <w:jc w:val="right"/>
              <w:ind w:right="18"/>
              <w:spacing w:after="0"/>
              <w:rPr>
                <w:sz w:val="20"/>
                <w:szCs w:val="20"/>
                <w:color w:val="auto"/>
              </w:rPr>
            </w:pPr>
            <w:r>
              <w:rPr>
                <w:rFonts w:ascii="Arial" w:cs="Arial" w:eastAsia="Arial" w:hAnsi="Arial"/>
                <w:sz w:val="12"/>
                <w:szCs w:val="12"/>
                <w:b w:val="1"/>
                <w:bCs w:val="1"/>
                <w:color w:val="55565A"/>
              </w:rPr>
              <w:t>(244)</w:t>
            </w: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620" w:type="dxa"/>
            <w:vAlign w:val="bottom"/>
            <w:shd w:val="clear" w:color="auto" w:fill="CCEEFF"/>
          </w:tcPr>
          <w:p>
            <w:pPr>
              <w:ind w:left="120"/>
              <w:spacing w:after="0" w:line="116" w:lineRule="exact"/>
              <w:rPr>
                <w:sz w:val="20"/>
                <w:szCs w:val="20"/>
                <w:color w:val="auto"/>
              </w:rPr>
            </w:pPr>
            <w:r>
              <w:rPr>
                <w:rFonts w:ascii="Arial" w:cs="Arial" w:eastAsia="Arial" w:hAnsi="Arial"/>
                <w:sz w:val="12"/>
                <w:szCs w:val="12"/>
                <w:color w:val="55565A"/>
              </w:rPr>
              <w:t>Shares issued under Dividend Reinvestment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158"/>
              <w:spacing w:after="0"/>
              <w:rPr>
                <w:sz w:val="20"/>
                <w:szCs w:val="20"/>
                <w:color w:val="auto"/>
              </w:rPr>
            </w:pPr>
            <w:r>
              <w:rPr>
                <w:rFonts w:ascii="Arial" w:cs="Arial" w:eastAsia="Arial" w:hAnsi="Arial"/>
                <w:sz w:val="12"/>
                <w:szCs w:val="12"/>
                <w:b w:val="1"/>
                <w:bCs w:val="1"/>
                <w:color w:val="55565A"/>
              </w:rPr>
              <w:t>7</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55565A"/>
              </w:rPr>
              <w:t>–</w:t>
            </w:r>
          </w:p>
        </w:tc>
        <w:tc>
          <w:tcPr>
            <w:tcW w:w="2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78"/>
              <w:spacing w:after="0"/>
              <w:rPr>
                <w:sz w:val="20"/>
                <w:szCs w:val="20"/>
                <w:color w:val="auto"/>
              </w:rPr>
            </w:pPr>
            <w:r>
              <w:rPr>
                <w:rFonts w:ascii="Arial" w:cs="Arial" w:eastAsia="Arial" w:hAnsi="Arial"/>
                <w:sz w:val="12"/>
                <w:szCs w:val="12"/>
                <w:b w:val="1"/>
                <w:bCs w:val="1"/>
                <w:color w:val="55565A"/>
              </w:rPr>
              <w:t>7</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55565A"/>
              </w:rPr>
              <w:t>–</w:t>
            </w:r>
          </w:p>
        </w:tc>
        <w:tc>
          <w:tcPr>
            <w:tcW w:w="3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38"/>
              <w:spacing w:after="0"/>
              <w:rPr>
                <w:sz w:val="20"/>
                <w:szCs w:val="20"/>
                <w:color w:val="auto"/>
              </w:rPr>
            </w:pPr>
            <w:r>
              <w:rPr>
                <w:rFonts w:ascii="Arial" w:cs="Arial" w:eastAsia="Arial" w:hAnsi="Arial"/>
                <w:sz w:val="12"/>
                <w:szCs w:val="12"/>
                <w:b w:val="1"/>
                <w:bCs w:val="1"/>
                <w:color w:val="55565A"/>
              </w:rPr>
              <w:t>–</w:t>
            </w:r>
          </w:p>
        </w:tc>
        <w:tc>
          <w:tcPr>
            <w:tcW w:w="3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55565A"/>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55565A"/>
              </w:rPr>
              <w:t>7</w:t>
            </w:r>
          </w:p>
        </w:tc>
        <w:tc>
          <w:tcPr>
            <w:tcW w:w="84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w:t>
            </w:r>
          </w:p>
        </w:tc>
        <w:tc>
          <w:tcPr>
            <w:tcW w:w="58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7</w:t>
            </w: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240"/>
              <w:spacing w:after="0"/>
              <w:rPr>
                <w:sz w:val="20"/>
                <w:szCs w:val="20"/>
                <w:color w:val="auto"/>
              </w:rPr>
            </w:pPr>
            <w:r>
              <w:rPr>
                <w:rFonts w:ascii="Arial" w:cs="Arial" w:eastAsia="Arial" w:hAnsi="Arial"/>
                <w:sz w:val="12"/>
                <w:szCs w:val="12"/>
                <w:color w:val="55565A"/>
              </w:rPr>
              <w:t>Plan (“DRIP”)</w:t>
            </w: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20" w:type="dxa"/>
            <w:vAlign w:val="bottom"/>
          </w:tcPr>
          <w:p>
            <w:pPr>
              <w:ind w:left="120"/>
              <w:spacing w:after="0"/>
              <w:rPr>
                <w:sz w:val="20"/>
                <w:szCs w:val="20"/>
                <w:color w:val="auto"/>
              </w:rPr>
            </w:pPr>
            <w:r>
              <w:rPr>
                <w:rFonts w:ascii="Arial" w:cs="Arial" w:eastAsia="Arial" w:hAnsi="Arial"/>
                <w:sz w:val="12"/>
                <w:szCs w:val="12"/>
                <w:color w:val="55565A"/>
              </w:rPr>
              <w:t>Repurchases of common shares (see</w:t>
            </w:r>
          </w:p>
        </w:tc>
        <w:tc>
          <w:tcPr>
            <w:tcW w:w="80" w:type="dxa"/>
            <w:vAlign w:val="bottom"/>
          </w:tcPr>
          <w:p>
            <w:pPr>
              <w:spacing w:after="0"/>
              <w:rPr>
                <w:sz w:val="12"/>
                <w:szCs w:val="12"/>
                <w:color w:val="auto"/>
              </w:rPr>
            </w:pPr>
          </w:p>
        </w:tc>
        <w:tc>
          <w:tcPr>
            <w:tcW w:w="56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55565A"/>
              </w:rPr>
              <w:t>(5)</w:t>
            </w: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55565A"/>
              </w:rPr>
              <w:t>–</w:t>
            </w:r>
          </w:p>
        </w:tc>
        <w:tc>
          <w:tcPr>
            <w:tcW w:w="240" w:type="dxa"/>
            <w:vAlign w:val="bottom"/>
          </w:tcPr>
          <w:p>
            <w:pPr>
              <w:spacing w:after="0"/>
              <w:rPr>
                <w:sz w:val="12"/>
                <w:szCs w:val="12"/>
                <w:color w:val="auto"/>
              </w:rPr>
            </w:pPr>
          </w:p>
        </w:tc>
        <w:tc>
          <w:tcPr>
            <w:tcW w:w="660" w:type="dxa"/>
            <w:vAlign w:val="bottom"/>
            <w:vMerge w:val="restart"/>
          </w:tcPr>
          <w:p>
            <w:pPr>
              <w:jc w:val="right"/>
              <w:ind w:right="278"/>
              <w:spacing w:after="0"/>
              <w:rPr>
                <w:sz w:val="20"/>
                <w:szCs w:val="20"/>
                <w:color w:val="auto"/>
              </w:rPr>
            </w:pPr>
            <w:r>
              <w:rPr>
                <w:rFonts w:ascii="Arial" w:cs="Arial" w:eastAsia="Arial" w:hAnsi="Arial"/>
                <w:sz w:val="12"/>
                <w:szCs w:val="12"/>
                <w:b w:val="1"/>
                <w:bCs w:val="1"/>
                <w:color w:val="55565A"/>
              </w:rPr>
              <w:t>(5)</w:t>
            </w: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55565A"/>
              </w:rPr>
              <w:t>(217)</w:t>
            </w:r>
          </w:p>
        </w:tc>
        <w:tc>
          <w:tcPr>
            <w:tcW w:w="300" w:type="dxa"/>
            <w:vAlign w:val="bottom"/>
          </w:tcPr>
          <w:p>
            <w:pPr>
              <w:spacing w:after="0"/>
              <w:rPr>
                <w:sz w:val="12"/>
                <w:szCs w:val="12"/>
                <w:color w:val="auto"/>
              </w:rPr>
            </w:pPr>
          </w:p>
        </w:tc>
        <w:tc>
          <w:tcPr>
            <w:tcW w:w="76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55565A"/>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55565A"/>
              </w:rPr>
              <w:t>–</w:t>
            </w:r>
          </w:p>
        </w:tc>
        <w:tc>
          <w:tcPr>
            <w:tcW w:w="3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55565A"/>
              </w:rPr>
              <w:t>–</w:t>
            </w:r>
          </w:p>
        </w:tc>
        <w:tc>
          <w:tcPr>
            <w:tcW w:w="1020" w:type="dxa"/>
            <w:vAlign w:val="bottom"/>
            <w:vMerge w:val="restart"/>
          </w:tcPr>
          <w:p>
            <w:pPr>
              <w:jc w:val="right"/>
              <w:spacing w:after="0"/>
              <w:rPr>
                <w:sz w:val="20"/>
                <w:szCs w:val="20"/>
                <w:color w:val="auto"/>
              </w:rPr>
            </w:pPr>
            <w:r>
              <w:rPr>
                <w:rFonts w:ascii="Arial" w:cs="Arial" w:eastAsia="Arial" w:hAnsi="Arial"/>
                <w:sz w:val="12"/>
                <w:szCs w:val="12"/>
                <w:b w:val="1"/>
                <w:bCs w:val="1"/>
                <w:color w:val="55565A"/>
              </w:rPr>
              <w:t>(222)</w:t>
            </w:r>
          </w:p>
        </w:tc>
        <w:tc>
          <w:tcPr>
            <w:tcW w:w="84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55565A"/>
              </w:rPr>
              <w:t>–</w:t>
            </w:r>
          </w:p>
        </w:tc>
        <w:tc>
          <w:tcPr>
            <w:tcW w:w="58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55565A"/>
              </w:rPr>
              <w:t>(222)</w:t>
            </w:r>
          </w:p>
        </w:tc>
        <w:tc>
          <w:tcPr>
            <w:tcW w:w="0" w:type="dxa"/>
            <w:vAlign w:val="bottom"/>
          </w:tcPr>
          <w:p>
            <w:pPr>
              <w:spacing w:after="0"/>
              <w:rPr>
                <w:sz w:val="1"/>
                <w:szCs w:val="1"/>
                <w:color w:val="auto"/>
              </w:rPr>
            </w:pPr>
          </w:p>
        </w:tc>
      </w:tr>
      <w:tr>
        <w:trPr>
          <w:trHeight w:val="171"/>
        </w:trPr>
        <w:tc>
          <w:tcPr>
            <w:tcW w:w="2620" w:type="dxa"/>
            <w:vAlign w:val="bottom"/>
          </w:tcPr>
          <w:p>
            <w:pPr>
              <w:ind w:left="240"/>
              <w:spacing w:after="0"/>
              <w:rPr>
                <w:sz w:val="20"/>
                <w:szCs w:val="20"/>
                <w:color w:val="auto"/>
              </w:rPr>
            </w:pPr>
            <w:r>
              <w:rPr>
                <w:rFonts w:ascii="Arial" w:cs="Arial" w:eastAsia="Arial" w:hAnsi="Arial"/>
                <w:sz w:val="12"/>
                <w:szCs w:val="12"/>
                <w:color w:val="55565A"/>
              </w:rPr>
              <w:t>note 15)</w:t>
            </w: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620" w:type="dxa"/>
            <w:vAlign w:val="bottom"/>
            <w:tcBorders>
              <w:bottom w:val="single" w:sz="8" w:color="88888B"/>
            </w:tcBorders>
            <w:shd w:val="clear" w:color="auto" w:fill="CCEEFF"/>
          </w:tcPr>
          <w:p>
            <w:pPr>
              <w:ind w:left="120"/>
              <w:spacing w:after="0"/>
              <w:rPr>
                <w:sz w:val="20"/>
                <w:szCs w:val="20"/>
                <w:color w:val="auto"/>
              </w:rPr>
            </w:pPr>
            <w:r>
              <w:rPr>
                <w:rFonts w:ascii="Arial" w:cs="Arial" w:eastAsia="Arial" w:hAnsi="Arial"/>
                <w:sz w:val="12"/>
                <w:szCs w:val="12"/>
                <w:color w:val="55565A"/>
              </w:rPr>
              <w:t>Stock compensation plans</w:t>
            </w:r>
          </w:p>
        </w:tc>
        <w:tc>
          <w:tcPr>
            <w:tcW w:w="80" w:type="dxa"/>
            <w:vAlign w:val="bottom"/>
            <w:tcBorders>
              <w:bottom w:val="single" w:sz="8" w:color="88888B"/>
            </w:tcBorders>
            <w:shd w:val="clear" w:color="auto" w:fill="CCEEFF"/>
          </w:tcPr>
          <w:p>
            <w:pPr>
              <w:spacing w:after="0"/>
              <w:rPr>
                <w:sz w:val="13"/>
                <w:szCs w:val="13"/>
                <w:color w:val="auto"/>
              </w:rPr>
            </w:pPr>
          </w:p>
        </w:tc>
        <w:tc>
          <w:tcPr>
            <w:tcW w:w="560" w:type="dxa"/>
            <w:vAlign w:val="bottom"/>
            <w:tcBorders>
              <w:bottom w:val="single" w:sz="8" w:color="88888B"/>
            </w:tcBorders>
            <w:shd w:val="clear" w:color="auto" w:fill="CCEEFF"/>
          </w:tcPr>
          <w:p>
            <w:pPr>
              <w:jc w:val="right"/>
              <w:ind w:right="158"/>
              <w:spacing w:after="0"/>
              <w:rPr>
                <w:sz w:val="20"/>
                <w:szCs w:val="20"/>
                <w:color w:val="auto"/>
              </w:rPr>
            </w:pPr>
            <w:r>
              <w:rPr>
                <w:rFonts w:ascii="Arial" w:cs="Arial" w:eastAsia="Arial" w:hAnsi="Arial"/>
                <w:sz w:val="12"/>
                <w:szCs w:val="12"/>
                <w:b w:val="1"/>
                <w:bCs w:val="1"/>
                <w:color w:val="55565A"/>
              </w:rPr>
              <w:t>89</w:t>
            </w:r>
          </w:p>
        </w:tc>
        <w:tc>
          <w:tcPr>
            <w:tcW w:w="70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b w:val="1"/>
                <w:bCs w:val="1"/>
                <w:color w:val="55565A"/>
              </w:rPr>
              <w:t>(96)</w:t>
            </w:r>
          </w:p>
        </w:tc>
        <w:tc>
          <w:tcPr>
            <w:tcW w:w="240" w:type="dxa"/>
            <w:vAlign w:val="bottom"/>
            <w:tcBorders>
              <w:bottom w:val="single" w:sz="8" w:color="88888B"/>
            </w:tcBorders>
            <w:shd w:val="clear" w:color="auto" w:fill="CCEEFF"/>
          </w:tcPr>
          <w:p>
            <w:pPr>
              <w:spacing w:after="0"/>
              <w:rPr>
                <w:sz w:val="13"/>
                <w:szCs w:val="13"/>
                <w:color w:val="auto"/>
              </w:rPr>
            </w:pPr>
          </w:p>
        </w:tc>
        <w:tc>
          <w:tcPr>
            <w:tcW w:w="660" w:type="dxa"/>
            <w:vAlign w:val="bottom"/>
            <w:tcBorders>
              <w:bottom w:val="single" w:sz="8" w:color="88888B"/>
            </w:tcBorders>
            <w:shd w:val="clear" w:color="auto" w:fill="CCEEFF"/>
          </w:tcPr>
          <w:p>
            <w:pPr>
              <w:jc w:val="right"/>
              <w:ind w:right="278"/>
              <w:spacing w:after="0"/>
              <w:rPr>
                <w:sz w:val="20"/>
                <w:szCs w:val="20"/>
                <w:color w:val="auto"/>
              </w:rPr>
            </w:pPr>
            <w:r>
              <w:rPr>
                <w:rFonts w:ascii="Arial" w:cs="Arial" w:eastAsia="Arial" w:hAnsi="Arial"/>
                <w:sz w:val="12"/>
                <w:szCs w:val="12"/>
                <w:b w:val="1"/>
                <w:bCs w:val="1"/>
                <w:color w:val="55565A"/>
              </w:rPr>
              <w:t>(7)</w:t>
            </w:r>
          </w:p>
        </w:tc>
        <w:tc>
          <w:tcPr>
            <w:tcW w:w="62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b w:val="1"/>
                <w:bCs w:val="1"/>
                <w:color w:val="55565A"/>
              </w:rPr>
              <w:t>–</w:t>
            </w:r>
          </w:p>
        </w:tc>
        <w:tc>
          <w:tcPr>
            <w:tcW w:w="300" w:type="dxa"/>
            <w:vAlign w:val="bottom"/>
            <w:tcBorders>
              <w:bottom w:val="single" w:sz="8" w:color="88888B"/>
            </w:tcBorders>
            <w:shd w:val="clear" w:color="auto" w:fill="CCEEFF"/>
          </w:tcPr>
          <w:p>
            <w:pPr>
              <w:spacing w:after="0"/>
              <w:rPr>
                <w:sz w:val="13"/>
                <w:szCs w:val="13"/>
                <w:color w:val="auto"/>
              </w:rPr>
            </w:pPr>
          </w:p>
        </w:tc>
        <w:tc>
          <w:tcPr>
            <w:tcW w:w="760" w:type="dxa"/>
            <w:vAlign w:val="bottom"/>
            <w:tcBorders>
              <w:bottom w:val="single" w:sz="8" w:color="88888B"/>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w:t>
            </w:r>
          </w:p>
        </w:tc>
        <w:tc>
          <w:tcPr>
            <w:tcW w:w="100" w:type="dxa"/>
            <w:vAlign w:val="bottom"/>
            <w:tcBorders>
              <w:bottom w:val="single" w:sz="8" w:color="88888B"/>
            </w:tcBorders>
            <w:shd w:val="clear" w:color="auto" w:fill="CCEEFF"/>
          </w:tcPr>
          <w:p>
            <w:pPr>
              <w:spacing w:after="0"/>
              <w:rPr>
                <w:sz w:val="13"/>
                <w:szCs w:val="13"/>
                <w:color w:val="auto"/>
              </w:rPr>
            </w:pPr>
          </w:p>
        </w:tc>
        <w:tc>
          <w:tcPr>
            <w:tcW w:w="240" w:type="dxa"/>
            <w:vAlign w:val="bottom"/>
            <w:tcBorders>
              <w:bottom w:val="single" w:sz="8" w:color="88888B"/>
            </w:tcBorders>
            <w:shd w:val="clear" w:color="auto" w:fill="CCEEFF"/>
          </w:tcPr>
          <w:p>
            <w:pPr>
              <w:spacing w:after="0"/>
              <w:rPr>
                <w:sz w:val="13"/>
                <w:szCs w:val="13"/>
                <w:color w:val="auto"/>
              </w:rPr>
            </w:pPr>
          </w:p>
        </w:tc>
        <w:tc>
          <w:tcPr>
            <w:tcW w:w="560" w:type="dxa"/>
            <w:vAlign w:val="bottom"/>
            <w:tcBorders>
              <w:bottom w:val="single" w:sz="8" w:color="88888B"/>
            </w:tcBorders>
            <w:shd w:val="clear" w:color="auto" w:fill="CCEEFF"/>
          </w:tcPr>
          <w:p>
            <w:pPr>
              <w:jc w:val="right"/>
              <w:ind w:right="38"/>
              <w:spacing w:after="0"/>
              <w:rPr>
                <w:sz w:val="20"/>
                <w:szCs w:val="20"/>
                <w:color w:val="auto"/>
              </w:rPr>
            </w:pPr>
            <w:r>
              <w:rPr>
                <w:rFonts w:ascii="Arial" w:cs="Arial" w:eastAsia="Arial" w:hAnsi="Arial"/>
                <w:sz w:val="12"/>
                <w:szCs w:val="12"/>
                <w:b w:val="1"/>
                <w:bCs w:val="1"/>
                <w:color w:val="55565A"/>
              </w:rPr>
              <w:t>–</w:t>
            </w:r>
          </w:p>
        </w:tc>
        <w:tc>
          <w:tcPr>
            <w:tcW w:w="320" w:type="dxa"/>
            <w:vAlign w:val="bottom"/>
            <w:tcBorders>
              <w:bottom w:val="single" w:sz="8" w:color="88888B"/>
            </w:tcBorders>
            <w:shd w:val="clear" w:color="auto" w:fill="CCEEFF"/>
          </w:tcPr>
          <w:p>
            <w:pPr>
              <w:spacing w:after="0"/>
              <w:rPr>
                <w:sz w:val="13"/>
                <w:szCs w:val="13"/>
                <w:color w:val="auto"/>
              </w:rPr>
            </w:pPr>
          </w:p>
        </w:tc>
        <w:tc>
          <w:tcPr>
            <w:tcW w:w="72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b w:val="1"/>
                <w:bCs w:val="1"/>
                <w:color w:val="55565A"/>
              </w:rPr>
              <w:t>–</w:t>
            </w:r>
          </w:p>
        </w:tc>
        <w:tc>
          <w:tcPr>
            <w:tcW w:w="102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b w:val="1"/>
                <w:bCs w:val="1"/>
                <w:color w:val="55565A"/>
              </w:rPr>
              <w:t>(7)</w:t>
            </w:r>
          </w:p>
        </w:tc>
        <w:tc>
          <w:tcPr>
            <w:tcW w:w="840" w:type="dxa"/>
            <w:vAlign w:val="bottom"/>
            <w:tcBorders>
              <w:bottom w:val="single" w:sz="8" w:color="88888B"/>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w:t>
            </w:r>
          </w:p>
        </w:tc>
        <w:tc>
          <w:tcPr>
            <w:tcW w:w="580" w:type="dxa"/>
            <w:vAlign w:val="bottom"/>
            <w:tcBorders>
              <w:bottom w:val="single" w:sz="8" w:color="88888B"/>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5565A"/>
              </w:rPr>
              <w:t>(7)</w:t>
            </w:r>
          </w:p>
        </w:tc>
        <w:tc>
          <w:tcPr>
            <w:tcW w:w="0" w:type="dxa"/>
            <w:vAlign w:val="bottom"/>
          </w:tcPr>
          <w:p>
            <w:pPr>
              <w:spacing w:after="0"/>
              <w:rPr>
                <w:sz w:val="1"/>
                <w:szCs w:val="1"/>
                <w:color w:val="auto"/>
              </w:rPr>
            </w:pPr>
          </w:p>
        </w:tc>
      </w:tr>
      <w:tr>
        <w:trPr>
          <w:trHeight w:val="166"/>
        </w:trPr>
        <w:tc>
          <w:tcPr>
            <w:tcW w:w="2620" w:type="dxa"/>
            <w:vAlign w:val="bottom"/>
            <w:tcBorders>
              <w:bottom w:val="single" w:sz="8" w:color="88888B"/>
            </w:tcBorders>
          </w:tcPr>
          <w:p>
            <w:pPr>
              <w:ind w:left="120"/>
              <w:spacing w:after="0"/>
              <w:rPr>
                <w:sz w:val="20"/>
                <w:szCs w:val="20"/>
                <w:color w:val="auto"/>
              </w:rPr>
            </w:pPr>
            <w:r>
              <w:rPr>
                <w:rFonts w:ascii="Arial" w:cs="Arial" w:eastAsia="Arial" w:hAnsi="Arial"/>
                <w:sz w:val="12"/>
                <w:szCs w:val="12"/>
                <w:color w:val="55565A"/>
              </w:rPr>
              <w:t>Balance, March 31, 2024</w:t>
            </w:r>
          </w:p>
        </w:tc>
        <w:tc>
          <w:tcPr>
            <w:tcW w:w="80" w:type="dxa"/>
            <w:vAlign w:val="bottom"/>
            <w:tcBorders>
              <w:bottom w:val="single" w:sz="8" w:color="88888B"/>
            </w:tcBorders>
          </w:tcPr>
          <w:p>
            <w:pPr>
              <w:spacing w:after="0"/>
              <w:rPr>
                <w:sz w:val="14"/>
                <w:szCs w:val="14"/>
                <w:color w:val="auto"/>
              </w:rPr>
            </w:pPr>
          </w:p>
        </w:tc>
        <w:tc>
          <w:tcPr>
            <w:tcW w:w="560" w:type="dxa"/>
            <w:vAlign w:val="bottom"/>
            <w:tcBorders>
              <w:bottom w:val="single" w:sz="8" w:color="88888B"/>
            </w:tcBorders>
          </w:tcPr>
          <w:p>
            <w:pPr>
              <w:jc w:val="right"/>
              <w:ind w:right="158"/>
              <w:spacing w:after="0"/>
              <w:rPr>
                <w:sz w:val="20"/>
                <w:szCs w:val="20"/>
                <w:color w:val="auto"/>
              </w:rPr>
            </w:pPr>
            <w:r>
              <w:rPr>
                <w:rFonts w:ascii="Arial" w:cs="Arial" w:eastAsia="Arial" w:hAnsi="Arial"/>
                <w:sz w:val="12"/>
                <w:szCs w:val="12"/>
                <w:b w:val="1"/>
                <w:bCs w:val="1"/>
                <w:color w:val="55565A"/>
              </w:rPr>
              <w:t>1,992</w:t>
            </w:r>
          </w:p>
        </w:tc>
        <w:tc>
          <w:tcPr>
            <w:tcW w:w="700" w:type="dxa"/>
            <w:vAlign w:val="bottom"/>
            <w:tcBorders>
              <w:bottom w:val="single" w:sz="8" w:color="88888B"/>
            </w:tcBorders>
          </w:tcPr>
          <w:p>
            <w:pPr>
              <w:jc w:val="right"/>
              <w:spacing w:after="0"/>
              <w:rPr>
                <w:sz w:val="20"/>
                <w:szCs w:val="20"/>
                <w:color w:val="auto"/>
              </w:rPr>
            </w:pPr>
            <w:r>
              <w:rPr>
                <w:rFonts w:ascii="Arial" w:cs="Arial" w:eastAsia="Arial" w:hAnsi="Arial"/>
                <w:sz w:val="12"/>
                <w:szCs w:val="12"/>
                <w:b w:val="1"/>
                <w:bCs w:val="1"/>
                <w:color w:val="55565A"/>
              </w:rPr>
              <w:t>1,408</w:t>
            </w:r>
          </w:p>
        </w:tc>
        <w:tc>
          <w:tcPr>
            <w:tcW w:w="240" w:type="dxa"/>
            <w:vAlign w:val="bottom"/>
            <w:tcBorders>
              <w:bottom w:val="single" w:sz="8" w:color="88888B"/>
            </w:tcBorders>
          </w:tcPr>
          <w:p>
            <w:pPr>
              <w:spacing w:after="0"/>
              <w:rPr>
                <w:sz w:val="14"/>
                <w:szCs w:val="14"/>
                <w:color w:val="auto"/>
              </w:rPr>
            </w:pPr>
          </w:p>
        </w:tc>
        <w:tc>
          <w:tcPr>
            <w:tcW w:w="660" w:type="dxa"/>
            <w:vAlign w:val="bottom"/>
            <w:tcBorders>
              <w:bottom w:val="single" w:sz="8" w:color="88888B"/>
            </w:tcBorders>
          </w:tcPr>
          <w:p>
            <w:pPr>
              <w:jc w:val="right"/>
              <w:ind w:right="278"/>
              <w:spacing w:after="0"/>
              <w:rPr>
                <w:sz w:val="20"/>
                <w:szCs w:val="20"/>
                <w:color w:val="auto"/>
              </w:rPr>
            </w:pPr>
            <w:r>
              <w:rPr>
                <w:rFonts w:ascii="Arial" w:cs="Arial" w:eastAsia="Arial" w:hAnsi="Arial"/>
                <w:sz w:val="12"/>
                <w:szCs w:val="12"/>
                <w:b w:val="1"/>
                <w:bCs w:val="1"/>
                <w:color w:val="55565A"/>
                <w:w w:val="99"/>
              </w:rPr>
              <w:t>3,400</w:t>
            </w:r>
          </w:p>
        </w:tc>
        <w:tc>
          <w:tcPr>
            <w:tcW w:w="620" w:type="dxa"/>
            <w:vAlign w:val="bottom"/>
            <w:tcBorders>
              <w:bottom w:val="single" w:sz="8" w:color="88888B"/>
            </w:tcBorders>
          </w:tcPr>
          <w:p>
            <w:pPr>
              <w:jc w:val="right"/>
              <w:spacing w:after="0"/>
              <w:rPr>
                <w:sz w:val="20"/>
                <w:szCs w:val="20"/>
                <w:color w:val="auto"/>
              </w:rPr>
            </w:pPr>
            <w:r>
              <w:rPr>
                <w:rFonts w:ascii="Arial" w:cs="Arial" w:eastAsia="Arial" w:hAnsi="Arial"/>
                <w:sz w:val="12"/>
                <w:szCs w:val="12"/>
                <w:b w:val="1"/>
                <w:bCs w:val="1"/>
                <w:color w:val="55565A"/>
              </w:rPr>
              <w:t>8,712</w:t>
            </w:r>
          </w:p>
        </w:tc>
        <w:tc>
          <w:tcPr>
            <w:tcW w:w="300" w:type="dxa"/>
            <w:vAlign w:val="bottom"/>
            <w:tcBorders>
              <w:bottom w:val="single" w:sz="8" w:color="88888B"/>
            </w:tcBorders>
          </w:tcPr>
          <w:p>
            <w:pPr>
              <w:spacing w:after="0"/>
              <w:rPr>
                <w:sz w:val="14"/>
                <w:szCs w:val="14"/>
                <w:color w:val="auto"/>
              </w:rPr>
            </w:pPr>
          </w:p>
        </w:tc>
        <w:tc>
          <w:tcPr>
            <w:tcW w:w="760" w:type="dxa"/>
            <w:vAlign w:val="bottom"/>
            <w:tcBorders>
              <w:bottom w:val="single" w:sz="8" w:color="88888B"/>
            </w:tcBorders>
          </w:tcPr>
          <w:p>
            <w:pPr>
              <w:jc w:val="right"/>
              <w:ind w:right="18"/>
              <w:spacing w:after="0"/>
              <w:rPr>
                <w:sz w:val="20"/>
                <w:szCs w:val="20"/>
                <w:color w:val="auto"/>
              </w:rPr>
            </w:pPr>
            <w:r>
              <w:rPr>
                <w:rFonts w:ascii="Arial" w:cs="Arial" w:eastAsia="Arial" w:hAnsi="Arial"/>
                <w:sz w:val="12"/>
                <w:szCs w:val="12"/>
                <w:b w:val="1"/>
                <w:bCs w:val="1"/>
                <w:color w:val="55565A"/>
              </w:rPr>
              <w:t>31</w:t>
            </w:r>
          </w:p>
        </w:tc>
        <w:tc>
          <w:tcPr>
            <w:tcW w:w="100" w:type="dxa"/>
            <w:vAlign w:val="bottom"/>
            <w:tcBorders>
              <w:bottom w:val="single" w:sz="8" w:color="88888B"/>
            </w:tcBorders>
          </w:tcPr>
          <w:p>
            <w:pPr>
              <w:spacing w:after="0"/>
              <w:rPr>
                <w:sz w:val="14"/>
                <w:szCs w:val="14"/>
                <w:color w:val="auto"/>
              </w:rPr>
            </w:pPr>
          </w:p>
        </w:tc>
        <w:tc>
          <w:tcPr>
            <w:tcW w:w="240" w:type="dxa"/>
            <w:vAlign w:val="bottom"/>
            <w:tcBorders>
              <w:bottom w:val="single" w:sz="8" w:color="88888B"/>
            </w:tcBorders>
          </w:tcPr>
          <w:p>
            <w:pPr>
              <w:spacing w:after="0"/>
              <w:rPr>
                <w:sz w:val="14"/>
                <w:szCs w:val="14"/>
                <w:color w:val="auto"/>
              </w:rPr>
            </w:pPr>
          </w:p>
        </w:tc>
        <w:tc>
          <w:tcPr>
            <w:tcW w:w="560" w:type="dxa"/>
            <w:vAlign w:val="bottom"/>
            <w:tcBorders>
              <w:bottom w:val="single" w:sz="8" w:color="88888B"/>
            </w:tcBorders>
          </w:tcPr>
          <w:p>
            <w:pPr>
              <w:jc w:val="right"/>
              <w:ind w:right="38"/>
              <w:spacing w:after="0"/>
              <w:rPr>
                <w:sz w:val="20"/>
                <w:szCs w:val="20"/>
                <w:color w:val="auto"/>
              </w:rPr>
            </w:pPr>
            <w:r>
              <w:rPr>
                <w:rFonts w:ascii="Arial" w:cs="Arial" w:eastAsia="Arial" w:hAnsi="Arial"/>
                <w:sz w:val="12"/>
                <w:szCs w:val="12"/>
                <w:b w:val="1"/>
                <w:bCs w:val="1"/>
                <w:color w:val="55565A"/>
              </w:rPr>
              <w:t>(1,108)</w:t>
            </w:r>
          </w:p>
        </w:tc>
        <w:tc>
          <w:tcPr>
            <w:tcW w:w="320" w:type="dxa"/>
            <w:vAlign w:val="bottom"/>
            <w:tcBorders>
              <w:bottom w:val="single" w:sz="8" w:color="88888B"/>
            </w:tcBorders>
          </w:tcPr>
          <w:p>
            <w:pPr>
              <w:spacing w:after="0"/>
              <w:rPr>
                <w:sz w:val="14"/>
                <w:szCs w:val="14"/>
                <w:color w:val="auto"/>
              </w:rPr>
            </w:pPr>
          </w:p>
        </w:tc>
        <w:tc>
          <w:tcPr>
            <w:tcW w:w="720" w:type="dxa"/>
            <w:vAlign w:val="bottom"/>
            <w:tcBorders>
              <w:bottom w:val="single" w:sz="8" w:color="88888B"/>
            </w:tcBorders>
          </w:tcPr>
          <w:p>
            <w:pPr>
              <w:jc w:val="right"/>
              <w:spacing w:after="0"/>
              <w:rPr>
                <w:sz w:val="20"/>
                <w:szCs w:val="20"/>
                <w:color w:val="auto"/>
              </w:rPr>
            </w:pPr>
            <w:r>
              <w:rPr>
                <w:rFonts w:ascii="Arial" w:cs="Arial" w:eastAsia="Arial" w:hAnsi="Arial"/>
                <w:sz w:val="12"/>
                <w:szCs w:val="12"/>
                <w:b w:val="1"/>
                <w:bCs w:val="1"/>
                <w:color w:val="55565A"/>
              </w:rPr>
              <w:t>(1,077)</w:t>
            </w:r>
          </w:p>
        </w:tc>
        <w:tc>
          <w:tcPr>
            <w:tcW w:w="1020" w:type="dxa"/>
            <w:vAlign w:val="bottom"/>
            <w:tcBorders>
              <w:bottom w:val="single" w:sz="8" w:color="88888B"/>
            </w:tcBorders>
          </w:tcPr>
          <w:p>
            <w:pPr>
              <w:jc w:val="right"/>
              <w:spacing w:after="0"/>
              <w:rPr>
                <w:sz w:val="20"/>
                <w:szCs w:val="20"/>
                <w:color w:val="auto"/>
              </w:rPr>
            </w:pPr>
            <w:r>
              <w:rPr>
                <w:rFonts w:ascii="Arial" w:cs="Arial" w:eastAsia="Arial" w:hAnsi="Arial"/>
                <w:sz w:val="12"/>
                <w:szCs w:val="12"/>
                <w:b w:val="1"/>
                <w:bCs w:val="1"/>
                <w:color w:val="55565A"/>
              </w:rPr>
              <w:t>11,035</w:t>
            </w:r>
          </w:p>
        </w:tc>
        <w:tc>
          <w:tcPr>
            <w:tcW w:w="840" w:type="dxa"/>
            <w:vAlign w:val="bottom"/>
            <w:tcBorders>
              <w:bottom w:val="single" w:sz="8" w:color="88888B"/>
            </w:tcBorders>
          </w:tcPr>
          <w:p>
            <w:pPr>
              <w:jc w:val="right"/>
              <w:ind w:right="18"/>
              <w:spacing w:after="0"/>
              <w:rPr>
                <w:sz w:val="20"/>
                <w:szCs w:val="20"/>
                <w:color w:val="auto"/>
              </w:rPr>
            </w:pPr>
            <w:r>
              <w:rPr>
                <w:rFonts w:ascii="Arial" w:cs="Arial" w:eastAsia="Arial" w:hAnsi="Arial"/>
                <w:sz w:val="12"/>
                <w:szCs w:val="12"/>
                <w:b w:val="1"/>
                <w:bCs w:val="1"/>
                <w:color w:val="55565A"/>
              </w:rPr>
              <w:t>–</w:t>
            </w:r>
          </w:p>
        </w:tc>
        <w:tc>
          <w:tcPr>
            <w:tcW w:w="580" w:type="dxa"/>
            <w:vAlign w:val="bottom"/>
            <w:tcBorders>
              <w:bottom w:val="single" w:sz="8" w:color="88888B"/>
            </w:tcBorders>
          </w:tcPr>
          <w:p>
            <w:pPr>
              <w:jc w:val="right"/>
              <w:ind w:right="18"/>
              <w:spacing w:after="0"/>
              <w:rPr>
                <w:sz w:val="20"/>
                <w:szCs w:val="20"/>
                <w:color w:val="auto"/>
              </w:rPr>
            </w:pPr>
            <w:r>
              <w:rPr>
                <w:rFonts w:ascii="Arial" w:cs="Arial" w:eastAsia="Arial" w:hAnsi="Arial"/>
                <w:sz w:val="12"/>
                <w:szCs w:val="12"/>
                <w:b w:val="1"/>
                <w:bCs w:val="1"/>
                <w:color w:val="55565A"/>
              </w:rPr>
              <w:t>11,035</w:t>
            </w:r>
          </w:p>
        </w:tc>
        <w:tc>
          <w:tcPr>
            <w:tcW w:w="0" w:type="dxa"/>
            <w:vAlign w:val="bottom"/>
          </w:tcPr>
          <w:p>
            <w:pPr>
              <w:spacing w:after="0"/>
              <w:rPr>
                <w:sz w:val="1"/>
                <w:szCs w:val="1"/>
                <w:color w:val="auto"/>
              </w:rPr>
            </w:pPr>
          </w:p>
        </w:tc>
      </w:tr>
      <w:tr>
        <w:trPr>
          <w:trHeight w:val="405"/>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vMerge w:val="restart"/>
          </w:tcPr>
          <w:p>
            <w:pPr>
              <w:jc w:val="center"/>
              <w:ind w:left="78"/>
              <w:spacing w:after="0"/>
              <w:rPr>
                <w:sz w:val="20"/>
                <w:szCs w:val="20"/>
                <w:color w:val="auto"/>
              </w:rPr>
            </w:pPr>
            <w:r>
              <w:rPr>
                <w:rFonts w:ascii="Arial" w:cs="Arial" w:eastAsia="Arial" w:hAnsi="Arial"/>
                <w:sz w:val="12"/>
                <w:szCs w:val="12"/>
                <w:b w:val="1"/>
                <w:bCs w:val="1"/>
                <w:color w:val="55565A"/>
              </w:rPr>
              <w:t>Stated</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3"/>
          </w:tcPr>
          <w:p>
            <w:pPr>
              <w:jc w:val="center"/>
              <w:ind w:left="18"/>
              <w:spacing w:after="0"/>
              <w:rPr>
                <w:sz w:val="20"/>
                <w:szCs w:val="20"/>
                <w:color w:val="auto"/>
              </w:rPr>
            </w:pPr>
            <w:r>
              <w:rPr>
                <w:rFonts w:ascii="Arial" w:cs="Arial" w:eastAsia="Arial" w:hAnsi="Arial"/>
                <w:sz w:val="12"/>
                <w:szCs w:val="12"/>
                <w:b w:val="1"/>
                <w:bCs w:val="1"/>
                <w:color w:val="55565A"/>
              </w:rPr>
              <w:t>Unrecognized</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55565A"/>
              </w:rPr>
              <w:t>Foreign</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55565A"/>
              </w:rPr>
              <w:t>Non-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55565A"/>
              </w:rPr>
              <w:t>Contributed</w:t>
            </w:r>
          </w:p>
        </w:tc>
        <w:tc>
          <w:tcPr>
            <w:tcW w:w="66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55565A"/>
              </w:rPr>
              <w:t>Total</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55565A"/>
              </w:rPr>
              <w:t>Retained</w:t>
            </w:r>
          </w:p>
        </w:tc>
        <w:tc>
          <w:tcPr>
            <w:tcW w:w="1100" w:type="dxa"/>
            <w:vAlign w:val="bottom"/>
            <w:gridSpan w:val="3"/>
          </w:tcPr>
          <w:p>
            <w:pPr>
              <w:jc w:val="center"/>
              <w:ind w:left="18"/>
              <w:spacing w:after="0" w:line="134" w:lineRule="exact"/>
              <w:rPr>
                <w:sz w:val="20"/>
                <w:szCs w:val="20"/>
                <w:color w:val="auto"/>
              </w:rPr>
            </w:pPr>
            <w:r>
              <w:rPr>
                <w:rFonts w:ascii="Arial" w:cs="Arial" w:eastAsia="Arial" w:hAnsi="Arial"/>
                <w:sz w:val="12"/>
                <w:szCs w:val="12"/>
                <w:b w:val="1"/>
                <w:bCs w:val="1"/>
                <w:color w:val="55565A"/>
              </w:rPr>
              <w:t>gain (loss) on</w:t>
            </w:r>
          </w:p>
        </w:tc>
        <w:tc>
          <w:tcPr>
            <w:tcW w:w="8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55565A"/>
              </w:rPr>
              <w:t>currency</w:t>
            </w:r>
          </w:p>
        </w:tc>
        <w:tc>
          <w:tcPr>
            <w:tcW w:w="720" w:type="dxa"/>
            <w:vAlign w:val="bottom"/>
          </w:tcPr>
          <w:p>
            <w:pPr>
              <w:spacing w:after="0"/>
              <w:rPr>
                <w:sz w:val="11"/>
                <w:szCs w:val="11"/>
                <w:color w:val="auto"/>
              </w:rPr>
            </w:pPr>
          </w:p>
        </w:tc>
        <w:tc>
          <w:tcPr>
            <w:tcW w:w="102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55565A"/>
              </w:rPr>
              <w:t>Shareholders’</w:t>
            </w:r>
          </w:p>
        </w:tc>
        <w:tc>
          <w:tcPr>
            <w:tcW w:w="840" w:type="dxa"/>
            <w:vAlign w:val="bottom"/>
            <w:vMerge w:val="continue"/>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55565A"/>
              </w:rPr>
              <w:t>Total</w:t>
            </w:r>
          </w:p>
        </w:tc>
        <w:tc>
          <w:tcPr>
            <w:tcW w:w="0" w:type="dxa"/>
            <w:vAlign w:val="bottom"/>
          </w:tcPr>
          <w:p>
            <w:pPr>
              <w:spacing w:after="0"/>
              <w:rPr>
                <w:sz w:val="1"/>
                <w:szCs w:val="1"/>
                <w:color w:val="auto"/>
              </w:rPr>
            </w:pPr>
          </w:p>
        </w:tc>
      </w:tr>
      <w:tr>
        <w:trPr>
          <w:trHeight w:val="134"/>
        </w:trPr>
        <w:tc>
          <w:tcPr>
            <w:tcW w:w="2620" w:type="dxa"/>
            <w:vAlign w:val="bottom"/>
            <w:vMerge w:val="restart"/>
          </w:tcPr>
          <w:p>
            <w:pPr>
              <w:spacing w:after="0"/>
              <w:rPr>
                <w:sz w:val="20"/>
                <w:szCs w:val="20"/>
                <w:color w:val="auto"/>
              </w:rPr>
            </w:pPr>
            <w:r>
              <w:rPr>
                <w:rFonts w:ascii="Arial" w:cs="Arial" w:eastAsia="Arial" w:hAnsi="Arial"/>
                <w:sz w:val="12"/>
                <w:szCs w:val="12"/>
                <w:b w:val="1"/>
                <w:bCs w:val="1"/>
                <w:color w:val="55565A"/>
              </w:rPr>
              <w:t>(millions of U.S. dollars)</w:t>
            </w:r>
          </w:p>
        </w:tc>
        <w:tc>
          <w:tcPr>
            <w:tcW w:w="80" w:type="dxa"/>
            <w:vAlign w:val="bottom"/>
          </w:tcPr>
          <w:p>
            <w:pPr>
              <w:spacing w:after="0"/>
              <w:rPr>
                <w:sz w:val="11"/>
                <w:szCs w:val="11"/>
                <w:color w:val="auto"/>
              </w:rPr>
            </w:pPr>
          </w:p>
        </w:tc>
        <w:tc>
          <w:tcPr>
            <w:tcW w:w="560" w:type="dxa"/>
            <w:vAlign w:val="bottom"/>
          </w:tcPr>
          <w:p>
            <w:pPr>
              <w:jc w:val="center"/>
              <w:ind w:left="58"/>
              <w:spacing w:after="0" w:line="134" w:lineRule="exact"/>
              <w:rPr>
                <w:sz w:val="20"/>
                <w:szCs w:val="20"/>
                <w:color w:val="auto"/>
              </w:rPr>
            </w:pPr>
            <w:r>
              <w:rPr>
                <w:rFonts w:ascii="Arial" w:cs="Arial" w:eastAsia="Arial" w:hAnsi="Arial"/>
                <w:sz w:val="12"/>
                <w:szCs w:val="12"/>
                <w:b w:val="1"/>
                <w:bCs w:val="1"/>
                <w:color w:val="55565A"/>
                <w:w w:val="99"/>
              </w:rPr>
              <w:t>share</w:t>
            </w:r>
          </w:p>
        </w:tc>
        <w:tc>
          <w:tcPr>
            <w:tcW w:w="9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60" w:type="dxa"/>
            <w:vAlign w:val="bottom"/>
            <w:gridSpan w:val="2"/>
          </w:tcPr>
          <w:p>
            <w:pPr>
              <w:jc w:val="center"/>
              <w:ind w:left="258"/>
              <w:spacing w:after="0" w:line="134" w:lineRule="exact"/>
              <w:rPr>
                <w:sz w:val="20"/>
                <w:szCs w:val="20"/>
                <w:color w:val="auto"/>
              </w:rPr>
            </w:pPr>
            <w:r>
              <w:rPr>
                <w:rFonts w:ascii="Arial" w:cs="Arial" w:eastAsia="Arial" w:hAnsi="Arial"/>
                <w:sz w:val="12"/>
                <w:szCs w:val="12"/>
                <w:b w:val="1"/>
                <w:bCs w:val="1"/>
                <w:color w:val="55565A"/>
              </w:rPr>
              <w:t>financial</w:t>
            </w:r>
          </w:p>
        </w:tc>
        <w:tc>
          <w:tcPr>
            <w:tcW w:w="240" w:type="dxa"/>
            <w:vAlign w:val="bottom"/>
          </w:tcPr>
          <w:p>
            <w:pPr>
              <w:spacing w:after="0"/>
              <w:rPr>
                <w:sz w:val="11"/>
                <w:szCs w:val="11"/>
                <w:color w:val="auto"/>
              </w:rPr>
            </w:pPr>
          </w:p>
        </w:tc>
        <w:tc>
          <w:tcPr>
            <w:tcW w:w="8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55565A"/>
              </w:rPr>
              <w:t>translation</w:t>
            </w:r>
          </w:p>
        </w:tc>
        <w:tc>
          <w:tcPr>
            <w:tcW w:w="720" w:type="dxa"/>
            <w:vAlign w:val="bottom"/>
            <w:vMerge w:val="restart"/>
          </w:tcPr>
          <w:p>
            <w:pPr>
              <w:jc w:val="right"/>
              <w:ind w:right="118"/>
              <w:spacing w:after="0"/>
              <w:rPr>
                <w:sz w:val="20"/>
                <w:szCs w:val="20"/>
                <w:color w:val="auto"/>
              </w:rPr>
            </w:pPr>
            <w:r>
              <w:rPr>
                <w:rFonts w:ascii="Arial" w:cs="Arial" w:eastAsia="Arial" w:hAnsi="Arial"/>
                <w:sz w:val="12"/>
                <w:szCs w:val="12"/>
                <w:b w:val="1"/>
                <w:bCs w:val="1"/>
                <w:color w:val="55565A"/>
              </w:rPr>
              <w:t>AOCL</w:t>
            </w:r>
          </w:p>
        </w:tc>
        <w:tc>
          <w:tcPr>
            <w:tcW w:w="1020" w:type="dxa"/>
            <w:vAlign w:val="bottom"/>
            <w:vMerge w:val="continue"/>
          </w:tcPr>
          <w:p>
            <w:pPr>
              <w:spacing w:after="0"/>
              <w:rPr>
                <w:sz w:val="11"/>
                <w:szCs w:val="11"/>
                <w:color w:val="auto"/>
              </w:rPr>
            </w:pPr>
          </w:p>
        </w:tc>
        <w:tc>
          <w:tcPr>
            <w:tcW w:w="840" w:type="dxa"/>
            <w:vAlign w:val="bottom"/>
          </w:tcPr>
          <w:p>
            <w:pPr>
              <w:jc w:val="center"/>
              <w:ind w:right="18"/>
              <w:spacing w:after="0" w:line="134" w:lineRule="exact"/>
              <w:rPr>
                <w:sz w:val="20"/>
                <w:szCs w:val="20"/>
                <w:color w:val="auto"/>
              </w:rPr>
            </w:pPr>
            <w:r>
              <w:rPr>
                <w:rFonts w:ascii="Arial" w:cs="Arial" w:eastAsia="Arial" w:hAnsi="Arial"/>
                <w:sz w:val="12"/>
                <w:szCs w:val="12"/>
                <w:b w:val="1"/>
                <w:bCs w:val="1"/>
                <w:color w:val="55565A"/>
              </w:rPr>
              <w:t>controlling</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left="58"/>
              <w:spacing w:after="0"/>
              <w:rPr>
                <w:sz w:val="20"/>
                <w:szCs w:val="20"/>
                <w:color w:val="auto"/>
              </w:rPr>
            </w:pPr>
            <w:r>
              <w:rPr>
                <w:rFonts w:ascii="Arial" w:cs="Arial" w:eastAsia="Arial" w:hAnsi="Arial"/>
                <w:sz w:val="12"/>
                <w:szCs w:val="12"/>
                <w:b w:val="1"/>
                <w:bCs w:val="1"/>
                <w:color w:val="55565A"/>
              </w:rPr>
              <w:t>capital</w:t>
            </w:r>
          </w:p>
        </w:tc>
        <w:tc>
          <w:tcPr>
            <w:tcW w:w="940" w:type="dxa"/>
            <w:vAlign w:val="bottom"/>
            <w:gridSpan w:val="2"/>
          </w:tcPr>
          <w:p>
            <w:pPr>
              <w:jc w:val="right"/>
              <w:ind w:right="78"/>
              <w:spacing w:after="0"/>
              <w:rPr>
                <w:sz w:val="20"/>
                <w:szCs w:val="20"/>
                <w:color w:val="auto"/>
              </w:rPr>
            </w:pPr>
            <w:r>
              <w:rPr>
                <w:rFonts w:ascii="Arial" w:cs="Arial" w:eastAsia="Arial" w:hAnsi="Arial"/>
                <w:sz w:val="12"/>
                <w:szCs w:val="12"/>
                <w:b w:val="1"/>
                <w:bCs w:val="1"/>
                <w:color w:val="55565A"/>
              </w:rPr>
              <w:t>surplus</w:t>
            </w:r>
          </w:p>
        </w:tc>
        <w:tc>
          <w:tcPr>
            <w:tcW w:w="660" w:type="dxa"/>
            <w:vAlign w:val="bottom"/>
          </w:tcPr>
          <w:p>
            <w:pPr>
              <w:jc w:val="right"/>
              <w:ind w:right="18"/>
              <w:spacing w:after="0"/>
              <w:rPr>
                <w:sz w:val="20"/>
                <w:szCs w:val="20"/>
                <w:color w:val="auto"/>
              </w:rPr>
            </w:pPr>
            <w:r>
              <w:rPr>
                <w:rFonts w:ascii="Arial" w:cs="Arial" w:eastAsia="Arial" w:hAnsi="Arial"/>
                <w:sz w:val="12"/>
                <w:szCs w:val="12"/>
                <w:b w:val="1"/>
                <w:bCs w:val="1"/>
                <w:color w:val="55565A"/>
              </w:rPr>
              <w:t>capital</w:t>
            </w:r>
          </w:p>
        </w:tc>
        <w:tc>
          <w:tcPr>
            <w:tcW w:w="920" w:type="dxa"/>
            <w:vAlign w:val="bottom"/>
            <w:gridSpan w:val="2"/>
          </w:tcPr>
          <w:p>
            <w:pPr>
              <w:jc w:val="right"/>
              <w:spacing w:after="0"/>
              <w:rPr>
                <w:sz w:val="20"/>
                <w:szCs w:val="20"/>
                <w:color w:val="auto"/>
              </w:rPr>
            </w:pPr>
            <w:r>
              <w:rPr>
                <w:rFonts w:ascii="Arial" w:cs="Arial" w:eastAsia="Arial" w:hAnsi="Arial"/>
                <w:sz w:val="12"/>
                <w:szCs w:val="12"/>
                <w:b w:val="1"/>
                <w:bCs w:val="1"/>
                <w:color w:val="55565A"/>
              </w:rPr>
              <w:t>earnings</w:t>
            </w:r>
          </w:p>
        </w:tc>
        <w:tc>
          <w:tcPr>
            <w:tcW w:w="1100" w:type="dxa"/>
            <w:vAlign w:val="bottom"/>
            <w:gridSpan w:val="3"/>
          </w:tcPr>
          <w:p>
            <w:pPr>
              <w:jc w:val="center"/>
              <w:ind w:left="38"/>
              <w:spacing w:after="0"/>
              <w:rPr>
                <w:sz w:val="20"/>
                <w:szCs w:val="20"/>
                <w:color w:val="auto"/>
              </w:rPr>
            </w:pPr>
            <w:r>
              <w:rPr>
                <w:rFonts w:ascii="Arial" w:cs="Arial" w:eastAsia="Arial" w:hAnsi="Arial"/>
                <w:sz w:val="12"/>
                <w:szCs w:val="12"/>
                <w:b w:val="1"/>
                <w:bCs w:val="1"/>
                <w:color w:val="55565A"/>
              </w:rPr>
              <w:t>instruments</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55565A"/>
              </w:rPr>
              <w:t>adjustments</w:t>
            </w:r>
          </w:p>
        </w:tc>
        <w:tc>
          <w:tcPr>
            <w:tcW w:w="720" w:type="dxa"/>
            <w:vAlign w:val="bottom"/>
            <w:vMerge w:val="continue"/>
          </w:tcPr>
          <w:p>
            <w:pPr>
              <w:spacing w:after="0"/>
              <w:rPr>
                <w:sz w:val="14"/>
                <w:szCs w:val="14"/>
                <w:color w:val="auto"/>
              </w:rPr>
            </w:pPr>
          </w:p>
        </w:tc>
        <w:tc>
          <w:tcPr>
            <w:tcW w:w="1020" w:type="dxa"/>
            <w:vAlign w:val="bottom"/>
          </w:tcPr>
          <w:p>
            <w:pPr>
              <w:jc w:val="right"/>
              <w:ind w:right="298"/>
              <w:spacing w:after="0"/>
              <w:rPr>
                <w:sz w:val="20"/>
                <w:szCs w:val="20"/>
                <w:color w:val="auto"/>
              </w:rPr>
            </w:pPr>
            <w:r>
              <w:rPr>
                <w:rFonts w:ascii="Arial" w:cs="Arial" w:eastAsia="Arial" w:hAnsi="Arial"/>
                <w:sz w:val="12"/>
                <w:szCs w:val="12"/>
                <w:b w:val="1"/>
                <w:bCs w:val="1"/>
                <w:color w:val="55565A"/>
              </w:rPr>
              <w:t>equity</w:t>
            </w:r>
          </w:p>
        </w:tc>
        <w:tc>
          <w:tcPr>
            <w:tcW w:w="840" w:type="dxa"/>
            <w:vAlign w:val="bottom"/>
          </w:tcPr>
          <w:p>
            <w:pPr>
              <w:jc w:val="center"/>
              <w:ind w:right="18"/>
              <w:spacing w:after="0"/>
              <w:rPr>
                <w:sz w:val="20"/>
                <w:szCs w:val="20"/>
                <w:color w:val="auto"/>
              </w:rPr>
            </w:pPr>
            <w:r>
              <w:rPr>
                <w:rFonts w:ascii="Arial" w:cs="Arial" w:eastAsia="Arial" w:hAnsi="Arial"/>
                <w:sz w:val="12"/>
                <w:szCs w:val="12"/>
                <w:b w:val="1"/>
                <w:bCs w:val="1"/>
                <w:color w:val="55565A"/>
              </w:rPr>
              <w:t>interests</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55565A"/>
              </w:rPr>
              <w:t>equity</w:t>
            </w:r>
          </w:p>
        </w:tc>
        <w:tc>
          <w:tcPr>
            <w:tcW w:w="0" w:type="dxa"/>
            <w:vAlign w:val="bottom"/>
          </w:tcPr>
          <w:p>
            <w:pPr>
              <w:spacing w:after="0"/>
              <w:rPr>
                <w:sz w:val="1"/>
                <w:szCs w:val="1"/>
                <w:color w:val="auto"/>
              </w:rPr>
            </w:pPr>
          </w:p>
        </w:tc>
      </w:tr>
      <w:tr>
        <w:trPr>
          <w:trHeight w:val="68"/>
        </w:trPr>
        <w:tc>
          <w:tcPr>
            <w:tcW w:w="2620" w:type="dxa"/>
            <w:vAlign w:val="bottom"/>
            <w:tcBorders>
              <w:bottom w:val="single" w:sz="8" w:color="88888B"/>
            </w:tcBorders>
          </w:tcPr>
          <w:p>
            <w:pPr>
              <w:spacing w:after="0"/>
              <w:rPr>
                <w:sz w:val="5"/>
                <w:szCs w:val="5"/>
                <w:color w:val="auto"/>
              </w:rPr>
            </w:pPr>
          </w:p>
        </w:tc>
        <w:tc>
          <w:tcPr>
            <w:tcW w:w="80" w:type="dxa"/>
            <w:vAlign w:val="bottom"/>
            <w:tcBorders>
              <w:bottom w:val="single" w:sz="8" w:color="88888B"/>
            </w:tcBorders>
          </w:tcPr>
          <w:p>
            <w:pPr>
              <w:spacing w:after="0"/>
              <w:rPr>
                <w:sz w:val="5"/>
                <w:szCs w:val="5"/>
                <w:color w:val="auto"/>
              </w:rPr>
            </w:pPr>
          </w:p>
        </w:tc>
        <w:tc>
          <w:tcPr>
            <w:tcW w:w="560" w:type="dxa"/>
            <w:vAlign w:val="bottom"/>
            <w:tcBorders>
              <w:bottom w:val="single" w:sz="8" w:color="88888B"/>
            </w:tcBorders>
          </w:tcPr>
          <w:p>
            <w:pPr>
              <w:spacing w:after="0"/>
              <w:rPr>
                <w:sz w:val="5"/>
                <w:szCs w:val="5"/>
                <w:color w:val="auto"/>
              </w:rPr>
            </w:pPr>
          </w:p>
        </w:tc>
        <w:tc>
          <w:tcPr>
            <w:tcW w:w="940" w:type="dxa"/>
            <w:vAlign w:val="bottom"/>
            <w:tcBorders>
              <w:bottom w:val="single" w:sz="8" w:color="88888B"/>
            </w:tcBorders>
            <w:gridSpan w:val="2"/>
          </w:tcPr>
          <w:p>
            <w:pPr>
              <w:spacing w:after="0"/>
              <w:rPr>
                <w:sz w:val="5"/>
                <w:szCs w:val="5"/>
                <w:color w:val="auto"/>
              </w:rPr>
            </w:pPr>
          </w:p>
        </w:tc>
        <w:tc>
          <w:tcPr>
            <w:tcW w:w="660" w:type="dxa"/>
            <w:vAlign w:val="bottom"/>
            <w:tcBorders>
              <w:bottom w:val="single" w:sz="8" w:color="88888B"/>
            </w:tcBorders>
          </w:tcPr>
          <w:p>
            <w:pPr>
              <w:spacing w:after="0"/>
              <w:rPr>
                <w:sz w:val="5"/>
                <w:szCs w:val="5"/>
                <w:color w:val="auto"/>
              </w:rPr>
            </w:pPr>
          </w:p>
        </w:tc>
        <w:tc>
          <w:tcPr>
            <w:tcW w:w="920" w:type="dxa"/>
            <w:vAlign w:val="bottom"/>
            <w:tcBorders>
              <w:bottom w:val="single" w:sz="8" w:color="88888B"/>
            </w:tcBorders>
            <w:gridSpan w:val="2"/>
          </w:tcPr>
          <w:p>
            <w:pPr>
              <w:spacing w:after="0"/>
              <w:rPr>
                <w:sz w:val="5"/>
                <w:szCs w:val="5"/>
                <w:color w:val="auto"/>
              </w:rPr>
            </w:pPr>
          </w:p>
        </w:tc>
        <w:tc>
          <w:tcPr>
            <w:tcW w:w="760" w:type="dxa"/>
            <w:vAlign w:val="bottom"/>
            <w:tcBorders>
              <w:bottom w:val="single" w:sz="8" w:color="88888B"/>
            </w:tcBorders>
          </w:tcPr>
          <w:p>
            <w:pPr>
              <w:spacing w:after="0"/>
              <w:rPr>
                <w:sz w:val="5"/>
                <w:szCs w:val="5"/>
                <w:color w:val="auto"/>
              </w:rPr>
            </w:pPr>
          </w:p>
        </w:tc>
        <w:tc>
          <w:tcPr>
            <w:tcW w:w="100" w:type="dxa"/>
            <w:vAlign w:val="bottom"/>
            <w:tcBorders>
              <w:bottom w:val="single" w:sz="8" w:color="88888B"/>
            </w:tcBorders>
          </w:tcPr>
          <w:p>
            <w:pPr>
              <w:spacing w:after="0"/>
              <w:rPr>
                <w:sz w:val="5"/>
                <w:szCs w:val="5"/>
                <w:color w:val="auto"/>
              </w:rPr>
            </w:pPr>
          </w:p>
        </w:tc>
        <w:tc>
          <w:tcPr>
            <w:tcW w:w="240" w:type="dxa"/>
            <w:vAlign w:val="bottom"/>
            <w:tcBorders>
              <w:bottom w:val="single" w:sz="8" w:color="88888B"/>
            </w:tcBorders>
          </w:tcPr>
          <w:p>
            <w:pPr>
              <w:spacing w:after="0"/>
              <w:rPr>
                <w:sz w:val="5"/>
                <w:szCs w:val="5"/>
                <w:color w:val="auto"/>
              </w:rPr>
            </w:pPr>
          </w:p>
        </w:tc>
        <w:tc>
          <w:tcPr>
            <w:tcW w:w="880" w:type="dxa"/>
            <w:vAlign w:val="bottom"/>
            <w:tcBorders>
              <w:bottom w:val="single" w:sz="8" w:color="88888B"/>
            </w:tcBorders>
            <w:gridSpan w:val="2"/>
          </w:tcPr>
          <w:p>
            <w:pPr>
              <w:spacing w:after="0"/>
              <w:rPr>
                <w:sz w:val="5"/>
                <w:szCs w:val="5"/>
                <w:color w:val="auto"/>
              </w:rPr>
            </w:pPr>
          </w:p>
        </w:tc>
        <w:tc>
          <w:tcPr>
            <w:tcW w:w="720" w:type="dxa"/>
            <w:vAlign w:val="bottom"/>
            <w:tcBorders>
              <w:bottom w:val="single" w:sz="8" w:color="88888B"/>
            </w:tcBorders>
          </w:tcPr>
          <w:p>
            <w:pPr>
              <w:spacing w:after="0"/>
              <w:rPr>
                <w:sz w:val="5"/>
                <w:szCs w:val="5"/>
                <w:color w:val="auto"/>
              </w:rPr>
            </w:pPr>
          </w:p>
        </w:tc>
        <w:tc>
          <w:tcPr>
            <w:tcW w:w="1020" w:type="dxa"/>
            <w:vAlign w:val="bottom"/>
            <w:tcBorders>
              <w:bottom w:val="single" w:sz="8" w:color="88888B"/>
            </w:tcBorders>
          </w:tcPr>
          <w:p>
            <w:pPr>
              <w:spacing w:after="0"/>
              <w:rPr>
                <w:sz w:val="5"/>
                <w:szCs w:val="5"/>
                <w:color w:val="auto"/>
              </w:rPr>
            </w:pPr>
          </w:p>
        </w:tc>
        <w:tc>
          <w:tcPr>
            <w:tcW w:w="840" w:type="dxa"/>
            <w:vAlign w:val="bottom"/>
            <w:tcBorders>
              <w:bottom w:val="single" w:sz="8" w:color="88888B"/>
            </w:tcBorders>
          </w:tcPr>
          <w:p>
            <w:pPr>
              <w:spacing w:after="0"/>
              <w:rPr>
                <w:sz w:val="5"/>
                <w:szCs w:val="5"/>
                <w:color w:val="auto"/>
              </w:rPr>
            </w:pPr>
          </w:p>
        </w:tc>
        <w:tc>
          <w:tcPr>
            <w:tcW w:w="580" w:type="dxa"/>
            <w:vAlign w:val="bottom"/>
            <w:tcBorders>
              <w:bottom w:val="single" w:sz="8" w:color="88888B"/>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20"/>
              <w:spacing w:after="0"/>
              <w:rPr>
                <w:sz w:val="20"/>
                <w:szCs w:val="20"/>
                <w:color w:val="auto"/>
              </w:rPr>
            </w:pPr>
            <w:r>
              <w:rPr>
                <w:rFonts w:ascii="Arial" w:cs="Arial" w:eastAsia="Arial" w:hAnsi="Arial"/>
                <w:sz w:val="12"/>
                <w:szCs w:val="12"/>
                <w:color w:val="55565A"/>
              </w:rPr>
              <w:t>Balance, December 31, 2022</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55565A"/>
              </w:rPr>
              <w:t>3,864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55565A"/>
              </w:rPr>
              <w:t>1,534</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55565A"/>
              </w:rPr>
              <w:t>5,398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55565A"/>
              </w:rPr>
              <w:t>7,642</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55565A"/>
                <w:w w:val="89"/>
              </w:rPr>
              <w:t>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55565A"/>
              </w:rPr>
              <w:t>(1,172)</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55565A"/>
              </w:rPr>
              <w:t>(1,155)</w:t>
            </w: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55565A"/>
              </w:rPr>
              <w:t>11,885</w:t>
            </w: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55565A"/>
              </w:rPr>
              <w:t>–</w:t>
            </w: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55565A"/>
              </w:rPr>
              <w:t>11,885</w:t>
            </w:r>
          </w:p>
        </w:tc>
        <w:tc>
          <w:tcPr>
            <w:tcW w:w="0" w:type="dxa"/>
            <w:vAlign w:val="bottom"/>
          </w:tcPr>
          <w:p>
            <w:pPr>
              <w:spacing w:after="0"/>
              <w:rPr>
                <w:sz w:val="1"/>
                <w:szCs w:val="1"/>
                <w:color w:val="auto"/>
              </w:rPr>
            </w:pPr>
          </w:p>
        </w:tc>
      </w:tr>
      <w:tr>
        <w:trPr>
          <w:trHeight w:val="174"/>
        </w:trPr>
        <w:tc>
          <w:tcPr>
            <w:tcW w:w="2620" w:type="dxa"/>
            <w:vAlign w:val="bottom"/>
          </w:tcPr>
          <w:p>
            <w:pPr>
              <w:ind w:left="120"/>
              <w:spacing w:after="0"/>
              <w:rPr>
                <w:sz w:val="20"/>
                <w:szCs w:val="20"/>
                <w:color w:val="auto"/>
              </w:rPr>
            </w:pPr>
            <w:r>
              <w:rPr>
                <w:rFonts w:ascii="Arial" w:cs="Arial" w:eastAsia="Arial" w:hAnsi="Arial"/>
                <w:sz w:val="12"/>
                <w:szCs w:val="12"/>
                <w:color w:val="55565A"/>
              </w:rPr>
              <w:t>Net earnings</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55565A"/>
              </w:rPr>
              <w:t>–</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18"/>
              <w:spacing w:after="0"/>
              <w:rPr>
                <w:sz w:val="20"/>
                <w:szCs w:val="20"/>
                <w:color w:val="auto"/>
              </w:rPr>
            </w:pPr>
            <w:r>
              <w:rPr>
                <w:rFonts w:ascii="Arial" w:cs="Arial" w:eastAsia="Arial" w:hAnsi="Arial"/>
                <w:sz w:val="12"/>
                <w:szCs w:val="12"/>
                <w:color w:val="55565A"/>
              </w:rPr>
              <w:t>–</w:t>
            </w:r>
          </w:p>
        </w:tc>
        <w:tc>
          <w:tcPr>
            <w:tcW w:w="6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55565A"/>
              </w:rPr>
              <w:t>756</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jc w:val="right"/>
              <w:ind w:right="38"/>
              <w:spacing w:after="0"/>
              <w:rPr>
                <w:sz w:val="20"/>
                <w:szCs w:val="20"/>
                <w:color w:val="auto"/>
              </w:rPr>
            </w:pPr>
            <w:r>
              <w:rPr>
                <w:rFonts w:ascii="Arial" w:cs="Arial" w:eastAsia="Arial" w:hAnsi="Arial"/>
                <w:sz w:val="12"/>
                <w:szCs w:val="12"/>
                <w:color w:val="55565A"/>
              </w:rPr>
              <w:t>–</w:t>
            </w:r>
          </w:p>
        </w:tc>
        <w:tc>
          <w:tcPr>
            <w:tcW w:w="5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55565A"/>
              </w:rPr>
              <w:t>–</w:t>
            </w:r>
          </w:p>
        </w:tc>
        <w:tc>
          <w:tcPr>
            <w:tcW w:w="720" w:type="dxa"/>
            <w:vAlign w:val="bottom"/>
          </w:tcPr>
          <w:p>
            <w:pPr>
              <w:jc w:val="right"/>
              <w:ind w:right="78"/>
              <w:spacing w:after="0"/>
              <w:rPr>
                <w:sz w:val="20"/>
                <w:szCs w:val="20"/>
                <w:color w:val="auto"/>
              </w:rPr>
            </w:pPr>
            <w:r>
              <w:rPr>
                <w:rFonts w:ascii="Arial" w:cs="Arial" w:eastAsia="Arial" w:hAnsi="Arial"/>
                <w:sz w:val="12"/>
                <w:szCs w:val="12"/>
                <w:color w:val="55565A"/>
              </w:rPr>
              <w:t>–</w:t>
            </w:r>
          </w:p>
        </w:tc>
        <w:tc>
          <w:tcPr>
            <w:tcW w:w="1020" w:type="dxa"/>
            <w:vAlign w:val="bottom"/>
          </w:tcPr>
          <w:p>
            <w:pPr>
              <w:jc w:val="right"/>
              <w:ind w:right="78"/>
              <w:spacing w:after="0"/>
              <w:rPr>
                <w:sz w:val="20"/>
                <w:szCs w:val="20"/>
                <w:color w:val="auto"/>
              </w:rPr>
            </w:pPr>
            <w:r>
              <w:rPr>
                <w:rFonts w:ascii="Arial" w:cs="Arial" w:eastAsia="Arial" w:hAnsi="Arial"/>
                <w:sz w:val="12"/>
                <w:szCs w:val="12"/>
                <w:color w:val="55565A"/>
              </w:rPr>
              <w:t>756</w:t>
            </w:r>
          </w:p>
        </w:tc>
        <w:tc>
          <w:tcPr>
            <w:tcW w:w="840" w:type="dxa"/>
            <w:vAlign w:val="bottom"/>
          </w:tcPr>
          <w:p>
            <w:pPr>
              <w:jc w:val="right"/>
              <w:ind w:right="58"/>
              <w:spacing w:after="0"/>
              <w:rPr>
                <w:sz w:val="20"/>
                <w:szCs w:val="20"/>
                <w:color w:val="auto"/>
              </w:rPr>
            </w:pPr>
            <w:r>
              <w:rPr>
                <w:rFonts w:ascii="Arial" w:cs="Arial" w:eastAsia="Arial" w:hAnsi="Arial"/>
                <w:sz w:val="12"/>
                <w:szCs w:val="12"/>
                <w:color w:val="55565A"/>
              </w:rPr>
              <w:t>–</w:t>
            </w:r>
          </w:p>
        </w:tc>
        <w:tc>
          <w:tcPr>
            <w:tcW w:w="580" w:type="dxa"/>
            <w:vAlign w:val="bottom"/>
          </w:tcPr>
          <w:p>
            <w:pPr>
              <w:jc w:val="right"/>
              <w:ind w:right="38"/>
              <w:spacing w:after="0"/>
              <w:rPr>
                <w:sz w:val="20"/>
                <w:szCs w:val="20"/>
                <w:color w:val="auto"/>
              </w:rPr>
            </w:pPr>
            <w:r>
              <w:rPr>
                <w:rFonts w:ascii="Arial" w:cs="Arial" w:eastAsia="Arial" w:hAnsi="Arial"/>
                <w:sz w:val="12"/>
                <w:szCs w:val="12"/>
                <w:color w:val="55565A"/>
              </w:rPr>
              <w:t>756</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88888B"/>
            </w:tcBorders>
            <w:shd w:val="clear" w:color="auto" w:fill="CCEEFF"/>
          </w:tcPr>
          <w:p>
            <w:pPr>
              <w:ind w:left="120"/>
              <w:spacing w:after="0"/>
              <w:rPr>
                <w:sz w:val="20"/>
                <w:szCs w:val="20"/>
                <w:color w:val="auto"/>
              </w:rPr>
            </w:pPr>
            <w:r>
              <w:rPr>
                <w:rFonts w:ascii="Arial" w:cs="Arial" w:eastAsia="Arial" w:hAnsi="Arial"/>
                <w:sz w:val="12"/>
                <w:szCs w:val="12"/>
                <w:color w:val="55565A"/>
              </w:rPr>
              <w:t>Other comprehensive income (loss)</w:t>
            </w:r>
          </w:p>
        </w:tc>
        <w:tc>
          <w:tcPr>
            <w:tcW w:w="80" w:type="dxa"/>
            <w:vAlign w:val="bottom"/>
            <w:tcBorders>
              <w:bottom w:val="single" w:sz="8" w:color="88888B"/>
            </w:tcBorders>
            <w:shd w:val="clear" w:color="auto" w:fill="CCEEFF"/>
          </w:tcPr>
          <w:p>
            <w:pPr>
              <w:spacing w:after="0"/>
              <w:rPr>
                <w:sz w:val="13"/>
                <w:szCs w:val="13"/>
                <w:color w:val="auto"/>
              </w:rPr>
            </w:pPr>
          </w:p>
        </w:tc>
        <w:tc>
          <w:tcPr>
            <w:tcW w:w="56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color w:val="55565A"/>
              </w:rPr>
              <w:t>–</w:t>
            </w:r>
          </w:p>
        </w:tc>
        <w:tc>
          <w:tcPr>
            <w:tcW w:w="700" w:type="dxa"/>
            <w:vAlign w:val="bottom"/>
            <w:tcBorders>
              <w:bottom w:val="single" w:sz="8" w:color="88888B"/>
            </w:tcBorders>
            <w:shd w:val="clear" w:color="auto" w:fill="CCEEFF"/>
          </w:tcPr>
          <w:p>
            <w:pPr>
              <w:spacing w:after="0"/>
              <w:rPr>
                <w:sz w:val="13"/>
                <w:szCs w:val="13"/>
                <w:color w:val="auto"/>
              </w:rPr>
            </w:pPr>
          </w:p>
        </w:tc>
        <w:tc>
          <w:tcPr>
            <w:tcW w:w="240" w:type="dxa"/>
            <w:vAlign w:val="bottom"/>
            <w:tcBorders>
              <w:bottom w:val="single" w:sz="8" w:color="88888B"/>
            </w:tcBorders>
            <w:shd w:val="clear" w:color="auto" w:fill="CCEEFF"/>
          </w:tcPr>
          <w:p>
            <w:pPr>
              <w:spacing w:after="0"/>
              <w:rPr>
                <w:sz w:val="13"/>
                <w:szCs w:val="13"/>
                <w:color w:val="auto"/>
              </w:rPr>
            </w:pPr>
          </w:p>
        </w:tc>
        <w:tc>
          <w:tcPr>
            <w:tcW w:w="660" w:type="dxa"/>
            <w:vAlign w:val="bottom"/>
            <w:tcBorders>
              <w:bottom w:val="single" w:sz="8" w:color="88888B"/>
            </w:tcBorders>
            <w:shd w:val="clear" w:color="auto" w:fill="CCEEFF"/>
          </w:tcPr>
          <w:p>
            <w:pPr>
              <w:jc w:val="right"/>
              <w:ind w:right="18"/>
              <w:spacing w:after="0"/>
              <w:rPr>
                <w:sz w:val="20"/>
                <w:szCs w:val="20"/>
                <w:color w:val="auto"/>
              </w:rPr>
            </w:pPr>
            <w:r>
              <w:rPr>
                <w:rFonts w:ascii="Arial" w:cs="Arial" w:eastAsia="Arial" w:hAnsi="Arial"/>
                <w:sz w:val="12"/>
                <w:szCs w:val="12"/>
                <w:color w:val="55565A"/>
              </w:rPr>
              <w:t>–</w:t>
            </w:r>
          </w:p>
        </w:tc>
        <w:tc>
          <w:tcPr>
            <w:tcW w:w="620" w:type="dxa"/>
            <w:vAlign w:val="bottom"/>
            <w:tcBorders>
              <w:bottom w:val="single" w:sz="8" w:color="88888B"/>
            </w:tcBorders>
            <w:shd w:val="clear" w:color="auto" w:fill="CCEEFF"/>
          </w:tcPr>
          <w:p>
            <w:pPr>
              <w:spacing w:after="0"/>
              <w:rPr>
                <w:sz w:val="13"/>
                <w:szCs w:val="13"/>
                <w:color w:val="auto"/>
              </w:rPr>
            </w:pPr>
          </w:p>
        </w:tc>
        <w:tc>
          <w:tcPr>
            <w:tcW w:w="30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color w:val="55565A"/>
              </w:rPr>
              <w:t>4</w:t>
            </w:r>
          </w:p>
        </w:tc>
        <w:tc>
          <w:tcPr>
            <w:tcW w:w="760" w:type="dxa"/>
            <w:vAlign w:val="bottom"/>
            <w:tcBorders>
              <w:bottom w:val="single" w:sz="8" w:color="88888B"/>
            </w:tcBorders>
            <w:shd w:val="clear" w:color="auto" w:fill="CCEEFF"/>
          </w:tcPr>
          <w:p>
            <w:pPr>
              <w:spacing w:after="0"/>
              <w:rPr>
                <w:sz w:val="13"/>
                <w:szCs w:val="13"/>
                <w:color w:val="auto"/>
              </w:rPr>
            </w:pPr>
          </w:p>
        </w:tc>
        <w:tc>
          <w:tcPr>
            <w:tcW w:w="100" w:type="dxa"/>
            <w:vAlign w:val="bottom"/>
            <w:tcBorders>
              <w:bottom w:val="single" w:sz="8" w:color="88888B"/>
            </w:tcBorders>
            <w:shd w:val="clear" w:color="auto" w:fill="CCEEFF"/>
          </w:tcPr>
          <w:p>
            <w:pPr>
              <w:spacing w:after="0"/>
              <w:rPr>
                <w:sz w:val="13"/>
                <w:szCs w:val="13"/>
                <w:color w:val="auto"/>
              </w:rPr>
            </w:pPr>
          </w:p>
        </w:tc>
        <w:tc>
          <w:tcPr>
            <w:tcW w:w="240" w:type="dxa"/>
            <w:vAlign w:val="bottom"/>
            <w:tcBorders>
              <w:bottom w:val="single" w:sz="8" w:color="88888B"/>
            </w:tcBorders>
            <w:shd w:val="clear" w:color="auto" w:fill="CCEEFF"/>
          </w:tcPr>
          <w:p>
            <w:pPr>
              <w:jc w:val="right"/>
              <w:ind w:right="38"/>
              <w:spacing w:after="0"/>
              <w:rPr>
                <w:sz w:val="20"/>
                <w:szCs w:val="20"/>
                <w:color w:val="auto"/>
              </w:rPr>
            </w:pPr>
            <w:r>
              <w:rPr>
                <w:rFonts w:ascii="Arial" w:cs="Arial" w:eastAsia="Arial" w:hAnsi="Arial"/>
                <w:sz w:val="12"/>
                <w:szCs w:val="12"/>
                <w:color w:val="55565A"/>
                <w:w w:val="81"/>
              </w:rPr>
              <w:t>(4)</w:t>
            </w:r>
          </w:p>
        </w:tc>
        <w:tc>
          <w:tcPr>
            <w:tcW w:w="560" w:type="dxa"/>
            <w:vAlign w:val="bottom"/>
            <w:tcBorders>
              <w:bottom w:val="single" w:sz="8" w:color="88888B"/>
            </w:tcBorders>
            <w:shd w:val="clear" w:color="auto" w:fill="CCEEFF"/>
          </w:tcPr>
          <w:p>
            <w:pPr>
              <w:spacing w:after="0"/>
              <w:rPr>
                <w:sz w:val="13"/>
                <w:szCs w:val="13"/>
                <w:color w:val="auto"/>
              </w:rPr>
            </w:pPr>
          </w:p>
        </w:tc>
        <w:tc>
          <w:tcPr>
            <w:tcW w:w="32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color w:val="55565A"/>
              </w:rPr>
              <w:t>69</w:t>
            </w:r>
          </w:p>
        </w:tc>
        <w:tc>
          <w:tcPr>
            <w:tcW w:w="720" w:type="dxa"/>
            <w:vAlign w:val="bottom"/>
            <w:tcBorders>
              <w:bottom w:val="single" w:sz="8" w:color="88888B"/>
            </w:tcBorders>
            <w:shd w:val="clear" w:color="auto" w:fill="CCEEFF"/>
          </w:tcPr>
          <w:p>
            <w:pPr>
              <w:jc w:val="right"/>
              <w:ind w:right="78"/>
              <w:spacing w:after="0"/>
              <w:rPr>
                <w:sz w:val="20"/>
                <w:szCs w:val="20"/>
                <w:color w:val="auto"/>
              </w:rPr>
            </w:pPr>
            <w:r>
              <w:rPr>
                <w:rFonts w:ascii="Arial" w:cs="Arial" w:eastAsia="Arial" w:hAnsi="Arial"/>
                <w:sz w:val="12"/>
                <w:szCs w:val="12"/>
                <w:color w:val="55565A"/>
              </w:rPr>
              <w:t>65</w:t>
            </w:r>
          </w:p>
        </w:tc>
        <w:tc>
          <w:tcPr>
            <w:tcW w:w="1020" w:type="dxa"/>
            <w:vAlign w:val="bottom"/>
            <w:tcBorders>
              <w:bottom w:val="single" w:sz="8" w:color="88888B"/>
            </w:tcBorders>
            <w:shd w:val="clear" w:color="auto" w:fill="CCEEFF"/>
          </w:tcPr>
          <w:p>
            <w:pPr>
              <w:jc w:val="right"/>
              <w:ind w:right="78"/>
              <w:spacing w:after="0"/>
              <w:rPr>
                <w:sz w:val="20"/>
                <w:szCs w:val="20"/>
                <w:color w:val="auto"/>
              </w:rPr>
            </w:pPr>
            <w:r>
              <w:rPr>
                <w:rFonts w:ascii="Arial" w:cs="Arial" w:eastAsia="Arial" w:hAnsi="Arial"/>
                <w:sz w:val="12"/>
                <w:szCs w:val="12"/>
                <w:color w:val="55565A"/>
              </w:rPr>
              <w:t>69</w:t>
            </w:r>
          </w:p>
        </w:tc>
        <w:tc>
          <w:tcPr>
            <w:tcW w:w="840" w:type="dxa"/>
            <w:vAlign w:val="bottom"/>
            <w:tcBorders>
              <w:bottom w:val="single" w:sz="8" w:color="88888B"/>
            </w:tcBorders>
            <w:shd w:val="clear" w:color="auto" w:fill="CCEEFF"/>
          </w:tcPr>
          <w:p>
            <w:pPr>
              <w:jc w:val="right"/>
              <w:ind w:right="58"/>
              <w:spacing w:after="0"/>
              <w:rPr>
                <w:sz w:val="20"/>
                <w:szCs w:val="20"/>
                <w:color w:val="auto"/>
              </w:rPr>
            </w:pPr>
            <w:r>
              <w:rPr>
                <w:rFonts w:ascii="Arial" w:cs="Arial" w:eastAsia="Arial" w:hAnsi="Arial"/>
                <w:sz w:val="12"/>
                <w:szCs w:val="12"/>
                <w:color w:val="55565A"/>
              </w:rPr>
              <w:t>–</w:t>
            </w:r>
          </w:p>
        </w:tc>
        <w:tc>
          <w:tcPr>
            <w:tcW w:w="580" w:type="dxa"/>
            <w:vAlign w:val="bottom"/>
            <w:tcBorders>
              <w:bottom w:val="single" w:sz="8" w:color="88888B"/>
            </w:tcBorders>
            <w:shd w:val="clear" w:color="auto" w:fill="CCEEFF"/>
          </w:tcPr>
          <w:p>
            <w:pPr>
              <w:jc w:val="right"/>
              <w:ind w:right="38"/>
              <w:spacing w:after="0"/>
              <w:rPr>
                <w:sz w:val="20"/>
                <w:szCs w:val="20"/>
                <w:color w:val="auto"/>
              </w:rPr>
            </w:pPr>
            <w:r>
              <w:rPr>
                <w:rFonts w:ascii="Arial" w:cs="Arial" w:eastAsia="Arial" w:hAnsi="Arial"/>
                <w:sz w:val="12"/>
                <w:szCs w:val="12"/>
                <w:color w:val="55565A"/>
              </w:rPr>
              <w:t>69</w:t>
            </w:r>
          </w:p>
        </w:tc>
        <w:tc>
          <w:tcPr>
            <w:tcW w:w="0" w:type="dxa"/>
            <w:vAlign w:val="bottom"/>
          </w:tcPr>
          <w:p>
            <w:pPr>
              <w:spacing w:after="0"/>
              <w:rPr>
                <w:sz w:val="1"/>
                <w:szCs w:val="1"/>
                <w:color w:val="auto"/>
              </w:rPr>
            </w:pPr>
          </w:p>
        </w:tc>
      </w:tr>
      <w:tr>
        <w:trPr>
          <w:trHeight w:val="174"/>
        </w:trPr>
        <w:tc>
          <w:tcPr>
            <w:tcW w:w="2620" w:type="dxa"/>
            <w:vAlign w:val="bottom"/>
            <w:tcBorders>
              <w:bottom w:val="single" w:sz="8" w:color="88888B"/>
            </w:tcBorders>
          </w:tcPr>
          <w:p>
            <w:pPr>
              <w:ind w:left="120"/>
              <w:spacing w:after="0"/>
              <w:rPr>
                <w:sz w:val="20"/>
                <w:szCs w:val="20"/>
                <w:color w:val="auto"/>
              </w:rPr>
            </w:pPr>
            <w:r>
              <w:rPr>
                <w:rFonts w:ascii="Arial" w:cs="Arial" w:eastAsia="Arial" w:hAnsi="Arial"/>
                <w:sz w:val="12"/>
                <w:szCs w:val="12"/>
                <w:color w:val="55565A"/>
              </w:rPr>
              <w:t>Total comprehensive income (loss)</w:t>
            </w:r>
          </w:p>
        </w:tc>
        <w:tc>
          <w:tcPr>
            <w:tcW w:w="80" w:type="dxa"/>
            <w:vAlign w:val="bottom"/>
            <w:tcBorders>
              <w:bottom w:val="single" w:sz="8" w:color="88888B"/>
            </w:tcBorders>
          </w:tcPr>
          <w:p>
            <w:pPr>
              <w:spacing w:after="0"/>
              <w:rPr>
                <w:sz w:val="15"/>
                <w:szCs w:val="15"/>
                <w:color w:val="auto"/>
              </w:rPr>
            </w:pPr>
          </w:p>
        </w:tc>
        <w:tc>
          <w:tcPr>
            <w:tcW w:w="560" w:type="dxa"/>
            <w:vAlign w:val="bottom"/>
            <w:tcBorders>
              <w:bottom w:val="single" w:sz="8" w:color="88888B"/>
            </w:tcBorders>
          </w:tcPr>
          <w:p>
            <w:pPr>
              <w:jc w:val="right"/>
              <w:spacing w:after="0"/>
              <w:rPr>
                <w:sz w:val="20"/>
                <w:szCs w:val="20"/>
                <w:color w:val="auto"/>
              </w:rPr>
            </w:pPr>
            <w:r>
              <w:rPr>
                <w:rFonts w:ascii="Arial" w:cs="Arial" w:eastAsia="Arial" w:hAnsi="Arial"/>
                <w:sz w:val="12"/>
                <w:szCs w:val="12"/>
                <w:color w:val="55565A"/>
              </w:rPr>
              <w:t>–</w:t>
            </w:r>
          </w:p>
        </w:tc>
        <w:tc>
          <w:tcPr>
            <w:tcW w:w="700" w:type="dxa"/>
            <w:vAlign w:val="bottom"/>
            <w:tcBorders>
              <w:bottom w:val="single" w:sz="8" w:color="88888B"/>
            </w:tcBorders>
          </w:tcPr>
          <w:p>
            <w:pPr>
              <w:spacing w:after="0"/>
              <w:rPr>
                <w:sz w:val="15"/>
                <w:szCs w:val="15"/>
                <w:color w:val="auto"/>
              </w:rPr>
            </w:pPr>
          </w:p>
        </w:tc>
        <w:tc>
          <w:tcPr>
            <w:tcW w:w="240" w:type="dxa"/>
            <w:vAlign w:val="bottom"/>
            <w:tcBorders>
              <w:bottom w:val="single" w:sz="8" w:color="88888B"/>
            </w:tcBorders>
          </w:tcPr>
          <w:p>
            <w:pPr>
              <w:spacing w:after="0"/>
              <w:rPr>
                <w:sz w:val="15"/>
                <w:szCs w:val="15"/>
                <w:color w:val="auto"/>
              </w:rPr>
            </w:pPr>
          </w:p>
        </w:tc>
        <w:tc>
          <w:tcPr>
            <w:tcW w:w="660" w:type="dxa"/>
            <w:vAlign w:val="bottom"/>
            <w:tcBorders>
              <w:bottom w:val="single" w:sz="8" w:color="88888B"/>
            </w:tcBorders>
          </w:tcPr>
          <w:p>
            <w:pPr>
              <w:jc w:val="right"/>
              <w:ind w:right="18"/>
              <w:spacing w:after="0"/>
              <w:rPr>
                <w:sz w:val="20"/>
                <w:szCs w:val="20"/>
                <w:color w:val="auto"/>
              </w:rPr>
            </w:pPr>
            <w:r>
              <w:rPr>
                <w:rFonts w:ascii="Arial" w:cs="Arial" w:eastAsia="Arial" w:hAnsi="Arial"/>
                <w:sz w:val="12"/>
                <w:szCs w:val="12"/>
                <w:color w:val="55565A"/>
              </w:rPr>
              <w:t>–</w:t>
            </w:r>
          </w:p>
        </w:tc>
        <w:tc>
          <w:tcPr>
            <w:tcW w:w="620" w:type="dxa"/>
            <w:vAlign w:val="bottom"/>
            <w:tcBorders>
              <w:bottom w:val="single" w:sz="8" w:color="88888B"/>
            </w:tcBorders>
          </w:tcPr>
          <w:p>
            <w:pPr>
              <w:spacing w:after="0"/>
              <w:rPr>
                <w:sz w:val="15"/>
                <w:szCs w:val="15"/>
                <w:color w:val="auto"/>
              </w:rPr>
            </w:pPr>
          </w:p>
        </w:tc>
        <w:tc>
          <w:tcPr>
            <w:tcW w:w="300" w:type="dxa"/>
            <w:vAlign w:val="bottom"/>
            <w:tcBorders>
              <w:bottom w:val="single" w:sz="8" w:color="88888B"/>
            </w:tcBorders>
          </w:tcPr>
          <w:p>
            <w:pPr>
              <w:jc w:val="right"/>
              <w:spacing w:after="0"/>
              <w:rPr>
                <w:sz w:val="20"/>
                <w:szCs w:val="20"/>
                <w:color w:val="auto"/>
              </w:rPr>
            </w:pPr>
            <w:r>
              <w:rPr>
                <w:rFonts w:ascii="Arial" w:cs="Arial" w:eastAsia="Arial" w:hAnsi="Arial"/>
                <w:sz w:val="12"/>
                <w:szCs w:val="12"/>
                <w:color w:val="55565A"/>
              </w:rPr>
              <w:t>760</w:t>
            </w:r>
          </w:p>
        </w:tc>
        <w:tc>
          <w:tcPr>
            <w:tcW w:w="760" w:type="dxa"/>
            <w:vAlign w:val="bottom"/>
            <w:tcBorders>
              <w:bottom w:val="single" w:sz="8" w:color="88888B"/>
            </w:tcBorders>
          </w:tcPr>
          <w:p>
            <w:pPr>
              <w:spacing w:after="0"/>
              <w:rPr>
                <w:sz w:val="15"/>
                <w:szCs w:val="15"/>
                <w:color w:val="auto"/>
              </w:rPr>
            </w:pPr>
          </w:p>
        </w:tc>
        <w:tc>
          <w:tcPr>
            <w:tcW w:w="100" w:type="dxa"/>
            <w:vAlign w:val="bottom"/>
            <w:tcBorders>
              <w:bottom w:val="single" w:sz="8" w:color="88888B"/>
            </w:tcBorders>
          </w:tcPr>
          <w:p>
            <w:pPr>
              <w:spacing w:after="0"/>
              <w:rPr>
                <w:sz w:val="15"/>
                <w:szCs w:val="15"/>
                <w:color w:val="auto"/>
              </w:rPr>
            </w:pPr>
          </w:p>
        </w:tc>
        <w:tc>
          <w:tcPr>
            <w:tcW w:w="240" w:type="dxa"/>
            <w:vAlign w:val="bottom"/>
            <w:tcBorders>
              <w:bottom w:val="single" w:sz="8" w:color="88888B"/>
            </w:tcBorders>
          </w:tcPr>
          <w:p>
            <w:pPr>
              <w:jc w:val="right"/>
              <w:ind w:right="38"/>
              <w:spacing w:after="0"/>
              <w:rPr>
                <w:sz w:val="20"/>
                <w:szCs w:val="20"/>
                <w:color w:val="auto"/>
              </w:rPr>
            </w:pPr>
            <w:r>
              <w:rPr>
                <w:rFonts w:ascii="Arial" w:cs="Arial" w:eastAsia="Arial" w:hAnsi="Arial"/>
                <w:sz w:val="12"/>
                <w:szCs w:val="12"/>
                <w:color w:val="55565A"/>
                <w:w w:val="81"/>
              </w:rPr>
              <w:t>(4)</w:t>
            </w:r>
          </w:p>
        </w:tc>
        <w:tc>
          <w:tcPr>
            <w:tcW w:w="560" w:type="dxa"/>
            <w:vAlign w:val="bottom"/>
            <w:tcBorders>
              <w:bottom w:val="single" w:sz="8" w:color="88888B"/>
            </w:tcBorders>
          </w:tcPr>
          <w:p>
            <w:pPr>
              <w:spacing w:after="0"/>
              <w:rPr>
                <w:sz w:val="15"/>
                <w:szCs w:val="15"/>
                <w:color w:val="auto"/>
              </w:rPr>
            </w:pPr>
          </w:p>
        </w:tc>
        <w:tc>
          <w:tcPr>
            <w:tcW w:w="320" w:type="dxa"/>
            <w:vAlign w:val="bottom"/>
            <w:tcBorders>
              <w:bottom w:val="single" w:sz="8" w:color="88888B"/>
            </w:tcBorders>
          </w:tcPr>
          <w:p>
            <w:pPr>
              <w:jc w:val="right"/>
              <w:spacing w:after="0"/>
              <w:rPr>
                <w:sz w:val="20"/>
                <w:szCs w:val="20"/>
                <w:color w:val="auto"/>
              </w:rPr>
            </w:pPr>
            <w:r>
              <w:rPr>
                <w:rFonts w:ascii="Arial" w:cs="Arial" w:eastAsia="Arial" w:hAnsi="Arial"/>
                <w:sz w:val="12"/>
                <w:szCs w:val="12"/>
                <w:color w:val="55565A"/>
              </w:rPr>
              <w:t>69</w:t>
            </w:r>
          </w:p>
        </w:tc>
        <w:tc>
          <w:tcPr>
            <w:tcW w:w="720" w:type="dxa"/>
            <w:vAlign w:val="bottom"/>
            <w:tcBorders>
              <w:bottom w:val="single" w:sz="8" w:color="88888B"/>
            </w:tcBorders>
          </w:tcPr>
          <w:p>
            <w:pPr>
              <w:jc w:val="right"/>
              <w:ind w:right="78"/>
              <w:spacing w:after="0"/>
              <w:rPr>
                <w:sz w:val="20"/>
                <w:szCs w:val="20"/>
                <w:color w:val="auto"/>
              </w:rPr>
            </w:pPr>
            <w:r>
              <w:rPr>
                <w:rFonts w:ascii="Arial" w:cs="Arial" w:eastAsia="Arial" w:hAnsi="Arial"/>
                <w:sz w:val="12"/>
                <w:szCs w:val="12"/>
                <w:color w:val="55565A"/>
              </w:rPr>
              <w:t>65</w:t>
            </w:r>
          </w:p>
        </w:tc>
        <w:tc>
          <w:tcPr>
            <w:tcW w:w="1020" w:type="dxa"/>
            <w:vAlign w:val="bottom"/>
            <w:tcBorders>
              <w:bottom w:val="single" w:sz="8" w:color="88888B"/>
            </w:tcBorders>
          </w:tcPr>
          <w:p>
            <w:pPr>
              <w:jc w:val="right"/>
              <w:ind w:right="78"/>
              <w:spacing w:after="0"/>
              <w:rPr>
                <w:sz w:val="20"/>
                <w:szCs w:val="20"/>
                <w:color w:val="auto"/>
              </w:rPr>
            </w:pPr>
            <w:r>
              <w:rPr>
                <w:rFonts w:ascii="Arial" w:cs="Arial" w:eastAsia="Arial" w:hAnsi="Arial"/>
                <w:sz w:val="12"/>
                <w:szCs w:val="12"/>
                <w:color w:val="55565A"/>
              </w:rPr>
              <w:t>825</w:t>
            </w:r>
          </w:p>
        </w:tc>
        <w:tc>
          <w:tcPr>
            <w:tcW w:w="840" w:type="dxa"/>
            <w:vAlign w:val="bottom"/>
            <w:tcBorders>
              <w:bottom w:val="single" w:sz="8" w:color="88888B"/>
            </w:tcBorders>
          </w:tcPr>
          <w:p>
            <w:pPr>
              <w:jc w:val="right"/>
              <w:ind w:right="58"/>
              <w:spacing w:after="0"/>
              <w:rPr>
                <w:sz w:val="20"/>
                <w:szCs w:val="20"/>
                <w:color w:val="auto"/>
              </w:rPr>
            </w:pPr>
            <w:r>
              <w:rPr>
                <w:rFonts w:ascii="Arial" w:cs="Arial" w:eastAsia="Arial" w:hAnsi="Arial"/>
                <w:sz w:val="12"/>
                <w:szCs w:val="12"/>
                <w:color w:val="55565A"/>
              </w:rPr>
              <w:t>–</w:t>
            </w:r>
          </w:p>
        </w:tc>
        <w:tc>
          <w:tcPr>
            <w:tcW w:w="580" w:type="dxa"/>
            <w:vAlign w:val="bottom"/>
            <w:tcBorders>
              <w:bottom w:val="single" w:sz="8" w:color="88888B"/>
            </w:tcBorders>
          </w:tcPr>
          <w:p>
            <w:pPr>
              <w:jc w:val="right"/>
              <w:ind w:right="38"/>
              <w:spacing w:after="0"/>
              <w:rPr>
                <w:sz w:val="20"/>
                <w:szCs w:val="20"/>
                <w:color w:val="auto"/>
              </w:rPr>
            </w:pPr>
            <w:r>
              <w:rPr>
                <w:rFonts w:ascii="Arial" w:cs="Arial" w:eastAsia="Arial" w:hAnsi="Arial"/>
                <w:sz w:val="12"/>
                <w:szCs w:val="12"/>
                <w:color w:val="55565A"/>
              </w:rPr>
              <w:t>825</w:t>
            </w: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20"/>
              <w:spacing w:after="0"/>
              <w:rPr>
                <w:sz w:val="20"/>
                <w:szCs w:val="20"/>
                <w:color w:val="auto"/>
              </w:rPr>
            </w:pPr>
            <w:r>
              <w:rPr>
                <w:rFonts w:ascii="Arial" w:cs="Arial" w:eastAsia="Arial" w:hAnsi="Arial"/>
                <w:sz w:val="12"/>
                <w:szCs w:val="12"/>
                <w:color w:val="55565A"/>
              </w:rPr>
              <w:t>Dividends declared on preference shares</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55565A"/>
              </w:rPr>
              <w:t>–</w:t>
            </w: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55565A"/>
              </w:rPr>
              <w:t>–</w:t>
            </w: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55565A"/>
              </w:rPr>
              <w:t>(1)</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55565A"/>
              </w:rPr>
              <w:t>–</w:t>
            </w: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55565A"/>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55565A"/>
              </w:rPr>
              <w:t>–</w:t>
            </w: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55565A"/>
              </w:rPr>
              <w:t>(1)</w:t>
            </w: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55565A"/>
              </w:rPr>
              <w:t>–</w:t>
            </w: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55565A"/>
              </w:rPr>
              <w:t>(1)</w:t>
            </w:r>
          </w:p>
        </w:tc>
        <w:tc>
          <w:tcPr>
            <w:tcW w:w="0" w:type="dxa"/>
            <w:vAlign w:val="bottom"/>
          </w:tcPr>
          <w:p>
            <w:pPr>
              <w:spacing w:after="0"/>
              <w:rPr>
                <w:sz w:val="1"/>
                <w:szCs w:val="1"/>
                <w:color w:val="auto"/>
              </w:rPr>
            </w:pPr>
          </w:p>
        </w:tc>
      </w:tr>
      <w:tr>
        <w:trPr>
          <w:trHeight w:val="174"/>
        </w:trPr>
        <w:tc>
          <w:tcPr>
            <w:tcW w:w="2620" w:type="dxa"/>
            <w:vAlign w:val="bottom"/>
          </w:tcPr>
          <w:p>
            <w:pPr>
              <w:ind w:left="120"/>
              <w:spacing w:after="0"/>
              <w:rPr>
                <w:sz w:val="20"/>
                <w:szCs w:val="20"/>
                <w:color w:val="auto"/>
              </w:rPr>
            </w:pPr>
            <w:r>
              <w:rPr>
                <w:rFonts w:ascii="Arial" w:cs="Arial" w:eastAsia="Arial" w:hAnsi="Arial"/>
                <w:sz w:val="12"/>
                <w:szCs w:val="12"/>
                <w:color w:val="55565A"/>
              </w:rPr>
              <w:t>Dividends declared on common shares</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55565A"/>
              </w:rPr>
              <w:t>–</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18"/>
              <w:spacing w:after="0"/>
              <w:rPr>
                <w:sz w:val="20"/>
                <w:szCs w:val="20"/>
                <w:color w:val="auto"/>
              </w:rPr>
            </w:pPr>
            <w:r>
              <w:rPr>
                <w:rFonts w:ascii="Arial" w:cs="Arial" w:eastAsia="Arial" w:hAnsi="Arial"/>
                <w:sz w:val="12"/>
                <w:szCs w:val="12"/>
                <w:color w:val="55565A"/>
              </w:rPr>
              <w:t>–</w:t>
            </w:r>
          </w:p>
        </w:tc>
        <w:tc>
          <w:tcPr>
            <w:tcW w:w="6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55565A"/>
                <w:w w:val="99"/>
              </w:rPr>
              <w:t>(232)</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jc w:val="right"/>
              <w:ind w:right="38"/>
              <w:spacing w:after="0"/>
              <w:rPr>
                <w:sz w:val="20"/>
                <w:szCs w:val="20"/>
                <w:color w:val="auto"/>
              </w:rPr>
            </w:pPr>
            <w:r>
              <w:rPr>
                <w:rFonts w:ascii="Arial" w:cs="Arial" w:eastAsia="Arial" w:hAnsi="Arial"/>
                <w:sz w:val="12"/>
                <w:szCs w:val="12"/>
                <w:color w:val="55565A"/>
              </w:rPr>
              <w:t>–</w:t>
            </w:r>
          </w:p>
        </w:tc>
        <w:tc>
          <w:tcPr>
            <w:tcW w:w="5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55565A"/>
              </w:rPr>
              <w:t>–</w:t>
            </w:r>
          </w:p>
        </w:tc>
        <w:tc>
          <w:tcPr>
            <w:tcW w:w="720" w:type="dxa"/>
            <w:vAlign w:val="bottom"/>
          </w:tcPr>
          <w:p>
            <w:pPr>
              <w:jc w:val="right"/>
              <w:ind w:right="78"/>
              <w:spacing w:after="0"/>
              <w:rPr>
                <w:sz w:val="20"/>
                <w:szCs w:val="20"/>
                <w:color w:val="auto"/>
              </w:rPr>
            </w:pPr>
            <w:r>
              <w:rPr>
                <w:rFonts w:ascii="Arial" w:cs="Arial" w:eastAsia="Arial" w:hAnsi="Arial"/>
                <w:sz w:val="12"/>
                <w:szCs w:val="12"/>
                <w:color w:val="55565A"/>
              </w:rPr>
              <w:t>–</w:t>
            </w:r>
          </w:p>
        </w:tc>
        <w:tc>
          <w:tcPr>
            <w:tcW w:w="1020" w:type="dxa"/>
            <w:vAlign w:val="bottom"/>
          </w:tcPr>
          <w:p>
            <w:pPr>
              <w:jc w:val="right"/>
              <w:ind w:right="78"/>
              <w:spacing w:after="0"/>
              <w:rPr>
                <w:sz w:val="20"/>
                <w:szCs w:val="20"/>
                <w:color w:val="auto"/>
              </w:rPr>
            </w:pPr>
            <w:r>
              <w:rPr>
                <w:rFonts w:ascii="Arial" w:cs="Arial" w:eastAsia="Arial" w:hAnsi="Arial"/>
                <w:sz w:val="12"/>
                <w:szCs w:val="12"/>
                <w:color w:val="55565A"/>
              </w:rPr>
              <w:t>(232)</w:t>
            </w:r>
          </w:p>
        </w:tc>
        <w:tc>
          <w:tcPr>
            <w:tcW w:w="840" w:type="dxa"/>
            <w:vAlign w:val="bottom"/>
          </w:tcPr>
          <w:p>
            <w:pPr>
              <w:jc w:val="right"/>
              <w:ind w:right="58"/>
              <w:spacing w:after="0"/>
              <w:rPr>
                <w:sz w:val="20"/>
                <w:szCs w:val="20"/>
                <w:color w:val="auto"/>
              </w:rPr>
            </w:pPr>
            <w:r>
              <w:rPr>
                <w:rFonts w:ascii="Arial" w:cs="Arial" w:eastAsia="Arial" w:hAnsi="Arial"/>
                <w:sz w:val="12"/>
                <w:szCs w:val="12"/>
                <w:color w:val="55565A"/>
              </w:rPr>
              <w:t>–</w:t>
            </w:r>
          </w:p>
        </w:tc>
        <w:tc>
          <w:tcPr>
            <w:tcW w:w="580" w:type="dxa"/>
            <w:vAlign w:val="bottom"/>
          </w:tcPr>
          <w:p>
            <w:pPr>
              <w:jc w:val="right"/>
              <w:ind w:right="38"/>
              <w:spacing w:after="0"/>
              <w:rPr>
                <w:sz w:val="20"/>
                <w:szCs w:val="20"/>
                <w:color w:val="auto"/>
              </w:rPr>
            </w:pPr>
            <w:r>
              <w:rPr>
                <w:rFonts w:ascii="Arial" w:cs="Arial" w:eastAsia="Arial" w:hAnsi="Arial"/>
                <w:sz w:val="12"/>
                <w:szCs w:val="12"/>
                <w:color w:val="55565A"/>
              </w:rPr>
              <w:t>(232)</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20"/>
              <w:spacing w:after="0"/>
              <w:rPr>
                <w:sz w:val="20"/>
                <w:szCs w:val="20"/>
                <w:color w:val="auto"/>
              </w:rPr>
            </w:pPr>
            <w:r>
              <w:rPr>
                <w:rFonts w:ascii="Arial" w:cs="Arial" w:eastAsia="Arial" w:hAnsi="Arial"/>
                <w:sz w:val="12"/>
                <w:szCs w:val="12"/>
                <w:color w:val="55565A"/>
              </w:rPr>
              <w:t>Shares issued under DRIP</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55565A"/>
              </w:rPr>
              <w:t>8</w:t>
            </w: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55565A"/>
              </w:rPr>
              <w:t>–</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55565A"/>
              </w:rPr>
              <w:t>8</w:t>
            </w: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55565A"/>
              </w:rPr>
              <w:t>–</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55565A"/>
              </w:rPr>
              <w:t>–</w:t>
            </w: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55565A"/>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55565A"/>
              </w:rPr>
              <w:t>–</w:t>
            </w: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55565A"/>
              </w:rPr>
              <w:t>8</w:t>
            </w: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55565A"/>
              </w:rPr>
              <w:t>–</w:t>
            </w: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55565A"/>
              </w:rPr>
              <w:t>8</w:t>
            </w:r>
          </w:p>
        </w:tc>
        <w:tc>
          <w:tcPr>
            <w:tcW w:w="0" w:type="dxa"/>
            <w:vAlign w:val="bottom"/>
          </w:tcPr>
          <w:p>
            <w:pPr>
              <w:spacing w:after="0"/>
              <w:rPr>
                <w:sz w:val="1"/>
                <w:szCs w:val="1"/>
                <w:color w:val="auto"/>
              </w:rPr>
            </w:pPr>
          </w:p>
        </w:tc>
      </w:tr>
      <w:tr>
        <w:trPr>
          <w:trHeight w:val="174"/>
        </w:trPr>
        <w:tc>
          <w:tcPr>
            <w:tcW w:w="2700" w:type="dxa"/>
            <w:vAlign w:val="bottom"/>
            <w:gridSpan w:val="2"/>
          </w:tcPr>
          <w:p>
            <w:pPr>
              <w:ind w:left="120"/>
              <w:spacing w:after="0"/>
              <w:rPr>
                <w:sz w:val="20"/>
                <w:szCs w:val="20"/>
                <w:color w:val="auto"/>
              </w:rPr>
            </w:pPr>
            <w:r>
              <w:rPr>
                <w:rFonts w:ascii="Arial" w:cs="Arial" w:eastAsia="Arial" w:hAnsi="Arial"/>
                <w:sz w:val="12"/>
                <w:szCs w:val="12"/>
                <w:color w:val="55565A"/>
              </w:rPr>
              <w:t>Repurchases of common shares (see note 15)</w:t>
            </w:r>
          </w:p>
        </w:tc>
        <w:tc>
          <w:tcPr>
            <w:tcW w:w="560" w:type="dxa"/>
            <w:vAlign w:val="bottom"/>
          </w:tcPr>
          <w:p>
            <w:pPr>
              <w:jc w:val="right"/>
              <w:spacing w:after="0"/>
              <w:rPr>
                <w:sz w:val="20"/>
                <w:szCs w:val="20"/>
                <w:color w:val="auto"/>
              </w:rPr>
            </w:pPr>
            <w:r>
              <w:rPr>
                <w:rFonts w:ascii="Arial" w:cs="Arial" w:eastAsia="Arial" w:hAnsi="Arial"/>
                <w:sz w:val="12"/>
                <w:szCs w:val="12"/>
                <w:color w:val="55565A"/>
              </w:rPr>
              <w:t>2</w:t>
            </w:r>
          </w:p>
        </w:tc>
        <w:tc>
          <w:tcPr>
            <w:tcW w:w="7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55565A"/>
              </w:rPr>
              <w:t>–</w:t>
            </w:r>
          </w:p>
        </w:tc>
        <w:tc>
          <w:tcPr>
            <w:tcW w:w="660" w:type="dxa"/>
            <w:vAlign w:val="bottom"/>
          </w:tcPr>
          <w:p>
            <w:pPr>
              <w:jc w:val="right"/>
              <w:ind w:right="18"/>
              <w:spacing w:after="0"/>
              <w:rPr>
                <w:sz w:val="20"/>
                <w:szCs w:val="20"/>
                <w:color w:val="auto"/>
              </w:rPr>
            </w:pPr>
            <w:r>
              <w:rPr>
                <w:rFonts w:ascii="Arial" w:cs="Arial" w:eastAsia="Arial" w:hAnsi="Arial"/>
                <w:sz w:val="12"/>
                <w:szCs w:val="12"/>
                <w:color w:val="55565A"/>
              </w:rPr>
              <w:t>2</w:t>
            </w:r>
          </w:p>
        </w:tc>
        <w:tc>
          <w:tcPr>
            <w:tcW w:w="6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55565A"/>
              </w:rPr>
              <w:t>(2)</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jc w:val="right"/>
              <w:ind w:right="38"/>
              <w:spacing w:after="0"/>
              <w:rPr>
                <w:sz w:val="20"/>
                <w:szCs w:val="20"/>
                <w:color w:val="auto"/>
              </w:rPr>
            </w:pPr>
            <w:r>
              <w:rPr>
                <w:rFonts w:ascii="Arial" w:cs="Arial" w:eastAsia="Arial" w:hAnsi="Arial"/>
                <w:sz w:val="12"/>
                <w:szCs w:val="12"/>
                <w:color w:val="55565A"/>
              </w:rPr>
              <w:t>–</w:t>
            </w:r>
          </w:p>
        </w:tc>
        <w:tc>
          <w:tcPr>
            <w:tcW w:w="5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55565A"/>
              </w:rPr>
              <w:t>–</w:t>
            </w:r>
          </w:p>
        </w:tc>
        <w:tc>
          <w:tcPr>
            <w:tcW w:w="720" w:type="dxa"/>
            <w:vAlign w:val="bottom"/>
          </w:tcPr>
          <w:p>
            <w:pPr>
              <w:jc w:val="right"/>
              <w:ind w:right="78"/>
              <w:spacing w:after="0"/>
              <w:rPr>
                <w:sz w:val="20"/>
                <w:szCs w:val="20"/>
                <w:color w:val="auto"/>
              </w:rPr>
            </w:pPr>
            <w:r>
              <w:rPr>
                <w:rFonts w:ascii="Arial" w:cs="Arial" w:eastAsia="Arial" w:hAnsi="Arial"/>
                <w:sz w:val="12"/>
                <w:szCs w:val="12"/>
                <w:color w:val="55565A"/>
              </w:rPr>
              <w:t>–</w:t>
            </w:r>
          </w:p>
        </w:tc>
        <w:tc>
          <w:tcPr>
            <w:tcW w:w="1020" w:type="dxa"/>
            <w:vAlign w:val="bottom"/>
          </w:tcPr>
          <w:p>
            <w:pPr>
              <w:jc w:val="right"/>
              <w:ind w:right="78"/>
              <w:spacing w:after="0"/>
              <w:rPr>
                <w:sz w:val="20"/>
                <w:szCs w:val="20"/>
                <w:color w:val="auto"/>
              </w:rPr>
            </w:pPr>
            <w:r>
              <w:rPr>
                <w:rFonts w:ascii="Arial" w:cs="Arial" w:eastAsia="Arial" w:hAnsi="Arial"/>
                <w:sz w:val="12"/>
                <w:szCs w:val="12"/>
                <w:color w:val="55565A"/>
              </w:rPr>
              <w:t>–</w:t>
            </w:r>
          </w:p>
        </w:tc>
        <w:tc>
          <w:tcPr>
            <w:tcW w:w="840" w:type="dxa"/>
            <w:vAlign w:val="bottom"/>
          </w:tcPr>
          <w:p>
            <w:pPr>
              <w:jc w:val="right"/>
              <w:ind w:right="58"/>
              <w:spacing w:after="0"/>
              <w:rPr>
                <w:sz w:val="20"/>
                <w:szCs w:val="20"/>
                <w:color w:val="auto"/>
              </w:rPr>
            </w:pPr>
            <w:r>
              <w:rPr>
                <w:rFonts w:ascii="Arial" w:cs="Arial" w:eastAsia="Arial" w:hAnsi="Arial"/>
                <w:sz w:val="12"/>
                <w:szCs w:val="12"/>
                <w:color w:val="55565A"/>
              </w:rPr>
              <w:t>–</w:t>
            </w:r>
          </w:p>
        </w:tc>
        <w:tc>
          <w:tcPr>
            <w:tcW w:w="580" w:type="dxa"/>
            <w:vAlign w:val="bottom"/>
          </w:tcPr>
          <w:p>
            <w:pPr>
              <w:jc w:val="right"/>
              <w:ind w:right="38"/>
              <w:spacing w:after="0"/>
              <w:rPr>
                <w:sz w:val="20"/>
                <w:szCs w:val="20"/>
                <w:color w:val="auto"/>
              </w:rPr>
            </w:pPr>
            <w:r>
              <w:rPr>
                <w:rFonts w:ascii="Arial" w:cs="Arial" w:eastAsia="Arial" w:hAnsi="Arial"/>
                <w:sz w:val="12"/>
                <w:szCs w:val="12"/>
                <w:color w:val="55565A"/>
              </w:rPr>
              <w:t>–</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88888B"/>
            </w:tcBorders>
            <w:shd w:val="clear" w:color="auto" w:fill="CCEEFF"/>
          </w:tcPr>
          <w:p>
            <w:pPr>
              <w:ind w:left="120"/>
              <w:spacing w:after="0"/>
              <w:rPr>
                <w:sz w:val="20"/>
                <w:szCs w:val="20"/>
                <w:color w:val="auto"/>
              </w:rPr>
            </w:pPr>
            <w:r>
              <w:rPr>
                <w:rFonts w:ascii="Arial" w:cs="Arial" w:eastAsia="Arial" w:hAnsi="Arial"/>
                <w:sz w:val="12"/>
                <w:szCs w:val="12"/>
                <w:color w:val="55565A"/>
              </w:rPr>
              <w:t>Stock compensation plans</w:t>
            </w:r>
          </w:p>
        </w:tc>
        <w:tc>
          <w:tcPr>
            <w:tcW w:w="80" w:type="dxa"/>
            <w:vAlign w:val="bottom"/>
            <w:tcBorders>
              <w:bottom w:val="single" w:sz="8" w:color="88888B"/>
            </w:tcBorders>
            <w:shd w:val="clear" w:color="auto" w:fill="CCEEFF"/>
          </w:tcPr>
          <w:p>
            <w:pPr>
              <w:spacing w:after="0"/>
              <w:rPr>
                <w:sz w:val="13"/>
                <w:szCs w:val="13"/>
                <w:color w:val="auto"/>
              </w:rPr>
            </w:pPr>
          </w:p>
        </w:tc>
        <w:tc>
          <w:tcPr>
            <w:tcW w:w="56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color w:val="55565A"/>
              </w:rPr>
              <w:t>84</w:t>
            </w:r>
          </w:p>
        </w:tc>
        <w:tc>
          <w:tcPr>
            <w:tcW w:w="700" w:type="dxa"/>
            <w:vAlign w:val="bottom"/>
            <w:tcBorders>
              <w:bottom w:val="single" w:sz="8" w:color="88888B"/>
            </w:tcBorders>
            <w:shd w:val="clear" w:color="auto" w:fill="CCEEFF"/>
          </w:tcPr>
          <w:p>
            <w:pPr>
              <w:spacing w:after="0"/>
              <w:rPr>
                <w:sz w:val="13"/>
                <w:szCs w:val="13"/>
                <w:color w:val="auto"/>
              </w:rPr>
            </w:pPr>
          </w:p>
        </w:tc>
        <w:tc>
          <w:tcPr>
            <w:tcW w:w="24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color w:val="55565A"/>
              </w:rPr>
              <w:t>(90)</w:t>
            </w:r>
          </w:p>
        </w:tc>
        <w:tc>
          <w:tcPr>
            <w:tcW w:w="660" w:type="dxa"/>
            <w:vAlign w:val="bottom"/>
            <w:tcBorders>
              <w:bottom w:val="single" w:sz="8" w:color="88888B"/>
            </w:tcBorders>
            <w:shd w:val="clear" w:color="auto" w:fill="CCEEFF"/>
          </w:tcPr>
          <w:p>
            <w:pPr>
              <w:jc w:val="right"/>
              <w:ind w:right="18"/>
              <w:spacing w:after="0"/>
              <w:rPr>
                <w:sz w:val="20"/>
                <w:szCs w:val="20"/>
                <w:color w:val="auto"/>
              </w:rPr>
            </w:pPr>
            <w:r>
              <w:rPr>
                <w:rFonts w:ascii="Arial" w:cs="Arial" w:eastAsia="Arial" w:hAnsi="Arial"/>
                <w:sz w:val="12"/>
                <w:szCs w:val="12"/>
                <w:color w:val="55565A"/>
              </w:rPr>
              <w:t>(6)</w:t>
            </w:r>
          </w:p>
        </w:tc>
        <w:tc>
          <w:tcPr>
            <w:tcW w:w="620" w:type="dxa"/>
            <w:vAlign w:val="bottom"/>
            <w:tcBorders>
              <w:bottom w:val="single" w:sz="8" w:color="88888B"/>
            </w:tcBorders>
            <w:shd w:val="clear" w:color="auto" w:fill="CCEEFF"/>
          </w:tcPr>
          <w:p>
            <w:pPr>
              <w:spacing w:after="0"/>
              <w:rPr>
                <w:sz w:val="13"/>
                <w:szCs w:val="13"/>
                <w:color w:val="auto"/>
              </w:rPr>
            </w:pPr>
          </w:p>
        </w:tc>
        <w:tc>
          <w:tcPr>
            <w:tcW w:w="30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color w:val="55565A"/>
              </w:rPr>
              <w:t>–</w:t>
            </w:r>
          </w:p>
        </w:tc>
        <w:tc>
          <w:tcPr>
            <w:tcW w:w="760" w:type="dxa"/>
            <w:vAlign w:val="bottom"/>
            <w:tcBorders>
              <w:bottom w:val="single" w:sz="8" w:color="88888B"/>
            </w:tcBorders>
            <w:shd w:val="clear" w:color="auto" w:fill="CCEEFF"/>
          </w:tcPr>
          <w:p>
            <w:pPr>
              <w:spacing w:after="0"/>
              <w:rPr>
                <w:sz w:val="13"/>
                <w:szCs w:val="13"/>
                <w:color w:val="auto"/>
              </w:rPr>
            </w:pPr>
          </w:p>
        </w:tc>
        <w:tc>
          <w:tcPr>
            <w:tcW w:w="100" w:type="dxa"/>
            <w:vAlign w:val="bottom"/>
            <w:tcBorders>
              <w:bottom w:val="single" w:sz="8" w:color="88888B"/>
            </w:tcBorders>
            <w:shd w:val="clear" w:color="auto" w:fill="CCEEFF"/>
          </w:tcPr>
          <w:p>
            <w:pPr>
              <w:spacing w:after="0"/>
              <w:rPr>
                <w:sz w:val="13"/>
                <w:szCs w:val="13"/>
                <w:color w:val="auto"/>
              </w:rPr>
            </w:pPr>
          </w:p>
        </w:tc>
        <w:tc>
          <w:tcPr>
            <w:tcW w:w="240" w:type="dxa"/>
            <w:vAlign w:val="bottom"/>
            <w:tcBorders>
              <w:bottom w:val="single" w:sz="8" w:color="88888B"/>
            </w:tcBorders>
            <w:shd w:val="clear" w:color="auto" w:fill="CCEEFF"/>
          </w:tcPr>
          <w:p>
            <w:pPr>
              <w:jc w:val="right"/>
              <w:ind w:right="38"/>
              <w:spacing w:after="0"/>
              <w:rPr>
                <w:sz w:val="20"/>
                <w:szCs w:val="20"/>
                <w:color w:val="auto"/>
              </w:rPr>
            </w:pPr>
            <w:r>
              <w:rPr>
                <w:rFonts w:ascii="Arial" w:cs="Arial" w:eastAsia="Arial" w:hAnsi="Arial"/>
                <w:sz w:val="12"/>
                <w:szCs w:val="12"/>
                <w:color w:val="55565A"/>
              </w:rPr>
              <w:t>–</w:t>
            </w:r>
          </w:p>
        </w:tc>
        <w:tc>
          <w:tcPr>
            <w:tcW w:w="560" w:type="dxa"/>
            <w:vAlign w:val="bottom"/>
            <w:tcBorders>
              <w:bottom w:val="single" w:sz="8" w:color="88888B"/>
            </w:tcBorders>
            <w:shd w:val="clear" w:color="auto" w:fill="CCEEFF"/>
          </w:tcPr>
          <w:p>
            <w:pPr>
              <w:spacing w:after="0"/>
              <w:rPr>
                <w:sz w:val="13"/>
                <w:szCs w:val="13"/>
                <w:color w:val="auto"/>
              </w:rPr>
            </w:pPr>
          </w:p>
        </w:tc>
        <w:tc>
          <w:tcPr>
            <w:tcW w:w="32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2"/>
                <w:szCs w:val="12"/>
                <w:color w:val="55565A"/>
              </w:rPr>
              <w:t>–</w:t>
            </w:r>
          </w:p>
        </w:tc>
        <w:tc>
          <w:tcPr>
            <w:tcW w:w="720" w:type="dxa"/>
            <w:vAlign w:val="bottom"/>
            <w:tcBorders>
              <w:bottom w:val="single" w:sz="8" w:color="88888B"/>
            </w:tcBorders>
            <w:shd w:val="clear" w:color="auto" w:fill="CCEEFF"/>
          </w:tcPr>
          <w:p>
            <w:pPr>
              <w:jc w:val="right"/>
              <w:ind w:right="78"/>
              <w:spacing w:after="0"/>
              <w:rPr>
                <w:sz w:val="20"/>
                <w:szCs w:val="20"/>
                <w:color w:val="auto"/>
              </w:rPr>
            </w:pPr>
            <w:r>
              <w:rPr>
                <w:rFonts w:ascii="Arial" w:cs="Arial" w:eastAsia="Arial" w:hAnsi="Arial"/>
                <w:sz w:val="12"/>
                <w:szCs w:val="12"/>
                <w:color w:val="55565A"/>
              </w:rPr>
              <w:t>–</w:t>
            </w:r>
          </w:p>
        </w:tc>
        <w:tc>
          <w:tcPr>
            <w:tcW w:w="1020" w:type="dxa"/>
            <w:vAlign w:val="bottom"/>
            <w:tcBorders>
              <w:bottom w:val="single" w:sz="8" w:color="88888B"/>
            </w:tcBorders>
            <w:shd w:val="clear" w:color="auto" w:fill="CCEEFF"/>
          </w:tcPr>
          <w:p>
            <w:pPr>
              <w:jc w:val="right"/>
              <w:ind w:right="78"/>
              <w:spacing w:after="0"/>
              <w:rPr>
                <w:sz w:val="20"/>
                <w:szCs w:val="20"/>
                <w:color w:val="auto"/>
              </w:rPr>
            </w:pPr>
            <w:r>
              <w:rPr>
                <w:rFonts w:ascii="Arial" w:cs="Arial" w:eastAsia="Arial" w:hAnsi="Arial"/>
                <w:sz w:val="12"/>
                <w:szCs w:val="12"/>
                <w:color w:val="55565A"/>
              </w:rPr>
              <w:t>(6)</w:t>
            </w:r>
          </w:p>
        </w:tc>
        <w:tc>
          <w:tcPr>
            <w:tcW w:w="840" w:type="dxa"/>
            <w:vAlign w:val="bottom"/>
            <w:tcBorders>
              <w:bottom w:val="single" w:sz="8" w:color="88888B"/>
            </w:tcBorders>
            <w:shd w:val="clear" w:color="auto" w:fill="CCEEFF"/>
          </w:tcPr>
          <w:p>
            <w:pPr>
              <w:jc w:val="right"/>
              <w:ind w:right="58"/>
              <w:spacing w:after="0"/>
              <w:rPr>
                <w:sz w:val="20"/>
                <w:szCs w:val="20"/>
                <w:color w:val="auto"/>
              </w:rPr>
            </w:pPr>
            <w:r>
              <w:rPr>
                <w:rFonts w:ascii="Arial" w:cs="Arial" w:eastAsia="Arial" w:hAnsi="Arial"/>
                <w:sz w:val="12"/>
                <w:szCs w:val="12"/>
                <w:color w:val="55565A"/>
              </w:rPr>
              <w:t>–</w:t>
            </w:r>
          </w:p>
        </w:tc>
        <w:tc>
          <w:tcPr>
            <w:tcW w:w="580" w:type="dxa"/>
            <w:vAlign w:val="bottom"/>
            <w:tcBorders>
              <w:bottom w:val="single" w:sz="8" w:color="88888B"/>
            </w:tcBorders>
            <w:shd w:val="clear" w:color="auto" w:fill="CCEEFF"/>
          </w:tcPr>
          <w:p>
            <w:pPr>
              <w:jc w:val="right"/>
              <w:ind w:right="38"/>
              <w:spacing w:after="0"/>
              <w:rPr>
                <w:sz w:val="20"/>
                <w:szCs w:val="20"/>
                <w:color w:val="auto"/>
              </w:rPr>
            </w:pPr>
            <w:r>
              <w:rPr>
                <w:rFonts w:ascii="Arial" w:cs="Arial" w:eastAsia="Arial" w:hAnsi="Arial"/>
                <w:sz w:val="12"/>
                <w:szCs w:val="12"/>
                <w:color w:val="55565A"/>
              </w:rPr>
              <w:t>(6)</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88888B"/>
            </w:tcBorders>
          </w:tcPr>
          <w:p>
            <w:pPr>
              <w:ind w:left="120"/>
              <w:spacing w:after="0"/>
              <w:rPr>
                <w:sz w:val="20"/>
                <w:szCs w:val="20"/>
                <w:color w:val="auto"/>
              </w:rPr>
            </w:pPr>
            <w:r>
              <w:rPr>
                <w:rFonts w:ascii="Arial" w:cs="Arial" w:eastAsia="Arial" w:hAnsi="Arial"/>
                <w:sz w:val="12"/>
                <w:szCs w:val="12"/>
                <w:color w:val="55565A"/>
              </w:rPr>
              <w:t>Balance, March 31, 2023</w:t>
            </w:r>
          </w:p>
        </w:tc>
        <w:tc>
          <w:tcPr>
            <w:tcW w:w="80" w:type="dxa"/>
            <w:vAlign w:val="bottom"/>
            <w:tcBorders>
              <w:bottom w:val="single" w:sz="8" w:color="88888B"/>
            </w:tcBorders>
          </w:tcPr>
          <w:p>
            <w:pPr>
              <w:spacing w:after="0"/>
              <w:rPr>
                <w:sz w:val="14"/>
                <w:szCs w:val="14"/>
                <w:color w:val="auto"/>
              </w:rPr>
            </w:pPr>
          </w:p>
        </w:tc>
        <w:tc>
          <w:tcPr>
            <w:tcW w:w="560" w:type="dxa"/>
            <w:vAlign w:val="bottom"/>
            <w:tcBorders>
              <w:bottom w:val="single" w:sz="8" w:color="88888B"/>
            </w:tcBorders>
          </w:tcPr>
          <w:p>
            <w:pPr>
              <w:jc w:val="right"/>
              <w:spacing w:after="0"/>
              <w:rPr>
                <w:sz w:val="20"/>
                <w:szCs w:val="20"/>
                <w:color w:val="auto"/>
              </w:rPr>
            </w:pPr>
            <w:r>
              <w:rPr>
                <w:rFonts w:ascii="Arial" w:cs="Arial" w:eastAsia="Arial" w:hAnsi="Arial"/>
                <w:sz w:val="12"/>
                <w:szCs w:val="12"/>
                <w:color w:val="55565A"/>
              </w:rPr>
              <w:t>3,958</w:t>
            </w:r>
          </w:p>
        </w:tc>
        <w:tc>
          <w:tcPr>
            <w:tcW w:w="940" w:type="dxa"/>
            <w:vAlign w:val="bottom"/>
            <w:tcBorders>
              <w:bottom w:val="single" w:sz="8" w:color="88888B"/>
            </w:tcBorders>
            <w:gridSpan w:val="2"/>
          </w:tcPr>
          <w:p>
            <w:pPr>
              <w:jc w:val="right"/>
              <w:spacing w:after="0"/>
              <w:rPr>
                <w:sz w:val="20"/>
                <w:szCs w:val="20"/>
                <w:color w:val="auto"/>
              </w:rPr>
            </w:pPr>
            <w:r>
              <w:rPr>
                <w:rFonts w:ascii="Arial" w:cs="Arial" w:eastAsia="Arial" w:hAnsi="Arial"/>
                <w:sz w:val="12"/>
                <w:szCs w:val="12"/>
                <w:color w:val="55565A"/>
              </w:rPr>
              <w:t>1,444</w:t>
            </w:r>
          </w:p>
        </w:tc>
        <w:tc>
          <w:tcPr>
            <w:tcW w:w="660" w:type="dxa"/>
            <w:vAlign w:val="bottom"/>
            <w:tcBorders>
              <w:bottom w:val="single" w:sz="8" w:color="88888B"/>
            </w:tcBorders>
          </w:tcPr>
          <w:p>
            <w:pPr>
              <w:jc w:val="right"/>
              <w:ind w:right="18"/>
              <w:spacing w:after="0"/>
              <w:rPr>
                <w:sz w:val="20"/>
                <w:szCs w:val="20"/>
                <w:color w:val="auto"/>
              </w:rPr>
            </w:pPr>
            <w:r>
              <w:rPr>
                <w:rFonts w:ascii="Arial" w:cs="Arial" w:eastAsia="Arial" w:hAnsi="Arial"/>
                <w:sz w:val="12"/>
                <w:szCs w:val="12"/>
                <w:color w:val="55565A"/>
              </w:rPr>
              <w:t>5,402</w:t>
            </w:r>
          </w:p>
        </w:tc>
        <w:tc>
          <w:tcPr>
            <w:tcW w:w="920" w:type="dxa"/>
            <w:vAlign w:val="bottom"/>
            <w:tcBorders>
              <w:bottom w:val="single" w:sz="8" w:color="88888B"/>
            </w:tcBorders>
            <w:gridSpan w:val="2"/>
          </w:tcPr>
          <w:p>
            <w:pPr>
              <w:jc w:val="right"/>
              <w:spacing w:after="0"/>
              <w:rPr>
                <w:sz w:val="20"/>
                <w:szCs w:val="20"/>
                <w:color w:val="auto"/>
              </w:rPr>
            </w:pPr>
            <w:r>
              <w:rPr>
                <w:rFonts w:ascii="Arial" w:cs="Arial" w:eastAsia="Arial" w:hAnsi="Arial"/>
                <w:sz w:val="12"/>
                <w:szCs w:val="12"/>
                <w:color w:val="55565A"/>
              </w:rPr>
              <w:t>8,167</w:t>
            </w:r>
          </w:p>
        </w:tc>
        <w:tc>
          <w:tcPr>
            <w:tcW w:w="760" w:type="dxa"/>
            <w:vAlign w:val="bottom"/>
            <w:tcBorders>
              <w:bottom w:val="single" w:sz="8" w:color="88888B"/>
            </w:tcBorders>
          </w:tcPr>
          <w:p>
            <w:pPr>
              <w:spacing w:after="0"/>
              <w:rPr>
                <w:sz w:val="14"/>
                <w:szCs w:val="14"/>
                <w:color w:val="auto"/>
              </w:rPr>
            </w:pPr>
          </w:p>
        </w:tc>
        <w:tc>
          <w:tcPr>
            <w:tcW w:w="100" w:type="dxa"/>
            <w:vAlign w:val="bottom"/>
            <w:tcBorders>
              <w:bottom w:val="single" w:sz="8" w:color="88888B"/>
            </w:tcBorders>
          </w:tcPr>
          <w:p>
            <w:pPr>
              <w:spacing w:after="0"/>
              <w:rPr>
                <w:sz w:val="14"/>
                <w:szCs w:val="14"/>
                <w:color w:val="auto"/>
              </w:rPr>
            </w:pPr>
          </w:p>
        </w:tc>
        <w:tc>
          <w:tcPr>
            <w:tcW w:w="240" w:type="dxa"/>
            <w:vAlign w:val="bottom"/>
            <w:tcBorders>
              <w:bottom w:val="single" w:sz="8" w:color="88888B"/>
            </w:tcBorders>
          </w:tcPr>
          <w:p>
            <w:pPr>
              <w:jc w:val="right"/>
              <w:ind w:right="38"/>
              <w:spacing w:after="0"/>
              <w:rPr>
                <w:sz w:val="20"/>
                <w:szCs w:val="20"/>
                <w:color w:val="auto"/>
              </w:rPr>
            </w:pPr>
            <w:r>
              <w:rPr>
                <w:rFonts w:ascii="Arial" w:cs="Arial" w:eastAsia="Arial" w:hAnsi="Arial"/>
                <w:sz w:val="12"/>
                <w:szCs w:val="12"/>
                <w:color w:val="55565A"/>
                <w:w w:val="89"/>
              </w:rPr>
              <w:t>13</w:t>
            </w:r>
          </w:p>
        </w:tc>
        <w:tc>
          <w:tcPr>
            <w:tcW w:w="880" w:type="dxa"/>
            <w:vAlign w:val="bottom"/>
            <w:tcBorders>
              <w:bottom w:val="single" w:sz="8" w:color="88888B"/>
            </w:tcBorders>
            <w:gridSpan w:val="2"/>
          </w:tcPr>
          <w:p>
            <w:pPr>
              <w:jc w:val="right"/>
              <w:spacing w:after="0"/>
              <w:rPr>
                <w:sz w:val="20"/>
                <w:szCs w:val="20"/>
                <w:color w:val="auto"/>
              </w:rPr>
            </w:pPr>
            <w:r>
              <w:rPr>
                <w:rFonts w:ascii="Arial" w:cs="Arial" w:eastAsia="Arial" w:hAnsi="Arial"/>
                <w:sz w:val="12"/>
                <w:szCs w:val="12"/>
                <w:color w:val="55565A"/>
              </w:rPr>
              <w:t>(1,103)</w:t>
            </w:r>
          </w:p>
        </w:tc>
        <w:tc>
          <w:tcPr>
            <w:tcW w:w="720" w:type="dxa"/>
            <w:vAlign w:val="bottom"/>
            <w:tcBorders>
              <w:bottom w:val="single" w:sz="8" w:color="88888B"/>
            </w:tcBorders>
          </w:tcPr>
          <w:p>
            <w:pPr>
              <w:jc w:val="right"/>
              <w:ind w:right="78"/>
              <w:spacing w:after="0"/>
              <w:rPr>
                <w:sz w:val="20"/>
                <w:szCs w:val="20"/>
                <w:color w:val="auto"/>
              </w:rPr>
            </w:pPr>
            <w:r>
              <w:rPr>
                <w:rFonts w:ascii="Arial" w:cs="Arial" w:eastAsia="Arial" w:hAnsi="Arial"/>
                <w:sz w:val="12"/>
                <w:szCs w:val="12"/>
                <w:color w:val="55565A"/>
              </w:rPr>
              <w:t>(1,090)</w:t>
            </w:r>
          </w:p>
        </w:tc>
        <w:tc>
          <w:tcPr>
            <w:tcW w:w="1020" w:type="dxa"/>
            <w:vAlign w:val="bottom"/>
            <w:tcBorders>
              <w:bottom w:val="single" w:sz="8" w:color="88888B"/>
            </w:tcBorders>
          </w:tcPr>
          <w:p>
            <w:pPr>
              <w:jc w:val="right"/>
              <w:ind w:right="78"/>
              <w:spacing w:after="0"/>
              <w:rPr>
                <w:sz w:val="20"/>
                <w:szCs w:val="20"/>
                <w:color w:val="auto"/>
              </w:rPr>
            </w:pPr>
            <w:r>
              <w:rPr>
                <w:rFonts w:ascii="Arial" w:cs="Arial" w:eastAsia="Arial" w:hAnsi="Arial"/>
                <w:sz w:val="12"/>
                <w:szCs w:val="12"/>
                <w:color w:val="55565A"/>
              </w:rPr>
              <w:t>12,479</w:t>
            </w:r>
          </w:p>
        </w:tc>
        <w:tc>
          <w:tcPr>
            <w:tcW w:w="840" w:type="dxa"/>
            <w:vAlign w:val="bottom"/>
            <w:tcBorders>
              <w:bottom w:val="single" w:sz="8" w:color="88888B"/>
            </w:tcBorders>
          </w:tcPr>
          <w:p>
            <w:pPr>
              <w:jc w:val="right"/>
              <w:ind w:right="58"/>
              <w:spacing w:after="0"/>
              <w:rPr>
                <w:sz w:val="20"/>
                <w:szCs w:val="20"/>
                <w:color w:val="auto"/>
              </w:rPr>
            </w:pPr>
            <w:r>
              <w:rPr>
                <w:rFonts w:ascii="Arial" w:cs="Arial" w:eastAsia="Arial" w:hAnsi="Arial"/>
                <w:sz w:val="12"/>
                <w:szCs w:val="12"/>
                <w:color w:val="55565A"/>
              </w:rPr>
              <w:t>–</w:t>
            </w:r>
          </w:p>
        </w:tc>
        <w:tc>
          <w:tcPr>
            <w:tcW w:w="580" w:type="dxa"/>
            <w:vAlign w:val="bottom"/>
            <w:tcBorders>
              <w:bottom w:val="single" w:sz="8" w:color="88888B"/>
            </w:tcBorders>
          </w:tcPr>
          <w:p>
            <w:pPr>
              <w:jc w:val="right"/>
              <w:ind w:right="38"/>
              <w:spacing w:after="0"/>
              <w:rPr>
                <w:sz w:val="20"/>
                <w:szCs w:val="20"/>
                <w:color w:val="auto"/>
              </w:rPr>
            </w:pPr>
            <w:r>
              <w:rPr>
                <w:rFonts w:ascii="Arial" w:cs="Arial" w:eastAsia="Arial" w:hAnsi="Arial"/>
                <w:sz w:val="12"/>
                <w:szCs w:val="12"/>
                <w:color w:val="55565A"/>
              </w:rPr>
              <w:t>12,479</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55565A"/>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55565A"/>
        </w:rPr>
        <w:t>Page 42</w:t>
      </w:r>
    </w:p>
    <w:p>
      <w:pPr>
        <w:sectPr>
          <w:pgSz w:w="11900" w:h="16838" w:orient="portrait"/>
          <w:cols w:equalWidth="0" w:num="1">
            <w:col w:w="10920"/>
          </w:cols>
          <w:pgMar w:left="480" w:top="1440" w:right="49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b w:val="1"/>
          <w:bCs w:val="1"/>
          <w:color w:val="55565A"/>
        </w:rPr>
        <w:t>Thomson Reuters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55565A"/>
        </w:rPr>
        <w:t>Notes to Consolidated Financial Statements (unaudited)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55565A"/>
        </w:rPr>
        <w:t>(unless otherwise stated, all amounts are in millions of U.S. dollars)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1: Business Description and Basis of Preparation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General business description</w:t>
      </w:r>
    </w:p>
    <w:p>
      <w:pPr>
        <w:spacing w:after="0" w:line="11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55565A"/>
        </w:rPr>
        <w:t>Thomson Reuters Corporation (the “Company” or “Thomson Reuters”) is an Ontario, Canada corporation with common shares listed on the Toronto Stock Exchange (“TSX”) and the New York Stock Exchange (“NYSE”) and Series II preference shares listed on the TSX. The Company serves professionals across legal, tax,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w:t>
      </w:r>
    </w:p>
    <w:p>
      <w:pPr>
        <w:spacing w:after="0" w:line="114" w:lineRule="exact"/>
        <w:rPr>
          <w:sz w:val="20"/>
          <w:szCs w:val="20"/>
          <w:color w:val="auto"/>
        </w:rPr>
      </w:pPr>
    </w:p>
    <w:p>
      <w:pPr>
        <w:ind w:right="660"/>
        <w:spacing w:after="0" w:line="279" w:lineRule="auto"/>
        <w:rPr>
          <w:sz w:val="20"/>
          <w:szCs w:val="20"/>
          <w:color w:val="auto"/>
        </w:rPr>
      </w:pPr>
      <w:r>
        <w:rPr>
          <w:rFonts w:ascii="Arial" w:cs="Arial" w:eastAsia="Arial" w:hAnsi="Arial"/>
          <w:sz w:val="16"/>
          <w:szCs w:val="16"/>
          <w:color w:val="55565A"/>
        </w:rPr>
        <w:t>These unaudited interim consolidated financial statements (“interim financial statements”) were approved by the Audit Committee of the Board of Directors of the Company on May 1, 2024.</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Basis of preparation</w:t>
      </w:r>
    </w:p>
    <w:p>
      <w:pPr>
        <w:spacing w:after="0" w:line="110"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55565A"/>
        </w:rPr>
        <w:t xml:space="preserve">The interim financial statements were prepared using the same accounting policies and methods as those used in the Company’s consolidated financial statements for the year ended December 31, 2023. The interim financial statements comply with International Accounting Standard 34, </w:t>
      </w:r>
      <w:r>
        <w:rPr>
          <w:rFonts w:ascii="Arial" w:cs="Arial" w:eastAsia="Arial" w:hAnsi="Arial"/>
          <w:sz w:val="16"/>
          <w:szCs w:val="16"/>
          <w:i w:val="1"/>
          <w:iCs w:val="1"/>
          <w:color w:val="55565A"/>
        </w:rPr>
        <w:t>Interim Financial</w:t>
      </w:r>
      <w:r>
        <w:rPr>
          <w:rFonts w:ascii="Arial" w:cs="Arial" w:eastAsia="Arial" w:hAnsi="Arial"/>
          <w:sz w:val="16"/>
          <w:szCs w:val="16"/>
          <w:color w:val="55565A"/>
        </w:rPr>
        <w:t xml:space="preserve"> </w:t>
      </w:r>
      <w:r>
        <w:rPr>
          <w:rFonts w:ascii="Arial" w:cs="Arial" w:eastAsia="Arial" w:hAnsi="Arial"/>
          <w:sz w:val="16"/>
          <w:szCs w:val="16"/>
          <w:i w:val="1"/>
          <w:iCs w:val="1"/>
          <w:color w:val="55565A"/>
        </w:rPr>
        <w:t xml:space="preserve">Reporting </w:t>
      </w:r>
      <w:r>
        <w:rPr>
          <w:rFonts w:ascii="Arial" w:cs="Arial" w:eastAsia="Arial" w:hAnsi="Arial"/>
          <w:sz w:val="16"/>
          <w:szCs w:val="16"/>
          <w:color w:val="55565A"/>
        </w:rPr>
        <w:t>(“IAS 34”). Accordingly, certain information and footnote disclosure normally included in annual financial statements prepared in accordance</w:t>
      </w:r>
      <w:r>
        <w:rPr>
          <w:rFonts w:ascii="Arial" w:cs="Arial" w:eastAsia="Arial" w:hAnsi="Arial"/>
          <w:sz w:val="16"/>
          <w:szCs w:val="16"/>
          <w:i w:val="1"/>
          <w:iCs w:val="1"/>
          <w:color w:val="55565A"/>
        </w:rPr>
        <w:t xml:space="preserve"> </w:t>
      </w:r>
      <w:r>
        <w:rPr>
          <w:rFonts w:ascii="Arial" w:cs="Arial" w:eastAsia="Arial" w:hAnsi="Arial"/>
          <w:sz w:val="16"/>
          <w:szCs w:val="16"/>
          <w:color w:val="55565A"/>
        </w:rPr>
        <w:t>with International Financial Reporting Standards (“IFRS”), as issued by the International Accounting Standards Board (“IASB”), have been omitted or condensed.</w:t>
      </w:r>
    </w:p>
    <w:p>
      <w:pPr>
        <w:spacing w:after="0" w:line="7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55565A"/>
        </w:rPr>
        <w:t>The preparation of financial statements in accordance with IAS 34 requires the use of certain critical accounting estimates. It also requires management to exercise judgment in applying the Company’s accounting policies. The areas involving more judgment or complexity, or areas where assumptions and estimates are significant to the consolidated financial statements have been disclosed in note 2 of the consolidated financial statements for the year ended December 31, 2023.</w:t>
      </w:r>
    </w:p>
    <w:p>
      <w:pPr>
        <w:spacing w:after="0" w:line="71"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55565A"/>
        </w:rPr>
        <w:t>The Company continues to operate in an uncertain macroeconomic environment, reflecting ongoing geopolitical risk, uneven economic growth, and an evolving interest rate and inflationary backdrop, among other factors. While the Company is closely monitoring these conditions to assess potential impacts on its businesses, some of management’s estimates and judgments may be more variable and may change materially in the future due to the significant uncertainty created by these circumstances.</w:t>
      </w:r>
    </w:p>
    <w:p>
      <w:pPr>
        <w:spacing w:after="0" w:line="7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55565A"/>
        </w:rPr>
        <w:t>The accompanying interim financial statements include all adjustments, composed of normal recurring adjustments, considered necessary by management to fairly state the Company’s results of operations, financial position and cash flows. The operating results for interim periods are not necessarily indicative of results that may be expected for any other interim period or for the full year. These interim financial statements should be read in conjunction with the Company’s consolidated financial statements for the year ended December 31, 2023, which are included in the Company’s 2023 annual report.</w:t>
      </w:r>
    </w:p>
    <w:p>
      <w:pPr>
        <w:spacing w:after="0" w:line="73"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55565A"/>
        </w:rPr>
        <w:t>References to “$” are to U.S. dollars, references to “C$” are to Canadian dollars, references to “£” are to British pounds sterling and references to SEK are to Swedish Krona.</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Recent accounting pronouncements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55565A"/>
        </w:rPr>
        <w:t xml:space="preserve">IAS 21, </w:t>
      </w:r>
      <w:r>
        <w:rPr>
          <w:rFonts w:ascii="Arial" w:cs="Arial" w:eastAsia="Arial" w:hAnsi="Arial"/>
          <w:sz w:val="16"/>
          <w:szCs w:val="16"/>
          <w:i w:val="1"/>
          <w:iCs w:val="1"/>
          <w:u w:val="single" w:color="auto"/>
          <w:color w:val="55565A"/>
        </w:rPr>
        <w:t>The Effect of Changes in Foreign Exchange Rates</w:t>
      </w:r>
    </w:p>
    <w:p>
      <w:pPr>
        <w:spacing w:after="0" w:line="110"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color w:val="55565A"/>
        </w:rPr>
        <w:t>In August 2023, the IASB issued amendments to IAS 21, which provide guidance on the determination of an exchange rate to translate transactions and financial statements denominated or presented in a currency that is not exchangeable into another currency. The amendments are effective for reporting periods beginning January 1, 2025. The Company is assessing the impact of these amendments on its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55565A"/>
        </w:rPr>
        <w:t xml:space="preserve">IFRS 18, </w:t>
      </w:r>
      <w:r>
        <w:rPr>
          <w:rFonts w:ascii="Arial" w:cs="Arial" w:eastAsia="Arial" w:hAnsi="Arial"/>
          <w:sz w:val="18"/>
          <w:szCs w:val="18"/>
          <w:i w:val="1"/>
          <w:iCs w:val="1"/>
          <w:u w:val="single" w:color="auto"/>
          <w:color w:val="55565A"/>
        </w:rPr>
        <w:t>Presentation and Disclosure in Financial Statements</w:t>
      </w:r>
    </w:p>
    <w:p>
      <w:pPr>
        <w:spacing w:after="0" w:line="10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55565A"/>
        </w:rPr>
        <w:t xml:space="preserve">In April 2024, the IASB issued IFRS 18, which will replace IAS 1, </w:t>
      </w:r>
      <w:r>
        <w:rPr>
          <w:rFonts w:ascii="Arial" w:cs="Arial" w:eastAsia="Arial" w:hAnsi="Arial"/>
          <w:sz w:val="16"/>
          <w:szCs w:val="16"/>
          <w:i w:val="1"/>
          <w:iCs w:val="1"/>
          <w:color w:val="55565A"/>
        </w:rPr>
        <w:t>Presentation of Financial Statements,</w:t>
      </w:r>
      <w:r>
        <w:rPr>
          <w:rFonts w:ascii="Arial" w:cs="Arial" w:eastAsia="Arial" w:hAnsi="Arial"/>
          <w:sz w:val="16"/>
          <w:szCs w:val="16"/>
          <w:color w:val="55565A"/>
        </w:rPr>
        <w:t xml:space="preserve"> and is effective for reporting periods beginning January 1, 2027. IFRS 18 will change the presentation of the Company’s financial statements and add new disclosure requirements. Specifically, the new standard requires:</w:t>
      </w:r>
    </w:p>
    <w:p>
      <w:pPr>
        <w:spacing w:after="0" w:line="80" w:lineRule="exact"/>
        <w:rPr>
          <w:sz w:val="20"/>
          <w:szCs w:val="20"/>
          <w:color w:val="auto"/>
        </w:rPr>
      </w:pPr>
    </w:p>
    <w:p>
      <w:pPr>
        <w:ind w:left="320" w:right="200" w:hanging="313"/>
        <w:spacing w:after="0" w:line="278" w:lineRule="auto"/>
        <w:tabs>
          <w:tab w:leader="none" w:pos="320" w:val="left"/>
        </w:tabs>
        <w:numPr>
          <w:ilvl w:val="0"/>
          <w:numId w:val="27"/>
        </w:numPr>
        <w:rPr>
          <w:rFonts w:ascii="Times New Roman" w:cs="Times New Roman" w:eastAsia="Times New Roman" w:hAnsi="Times New Roman"/>
          <w:sz w:val="16"/>
          <w:szCs w:val="16"/>
          <w:color w:val="55565A"/>
          <w:vertAlign w:val="superscript"/>
        </w:rPr>
      </w:pPr>
      <w:r>
        <w:rPr>
          <w:rFonts w:ascii="Arial" w:cs="Arial" w:eastAsia="Arial" w:hAnsi="Arial"/>
          <w:sz w:val="16"/>
          <w:szCs w:val="16"/>
          <w:color w:val="55565A"/>
        </w:rPr>
        <w:t>The consolidated income statement to be structured according to operating, investing and financing categories, and include additional subtotals for “Operating Profit” and “Profit Before Financing and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69297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43</w:t>
      </w:r>
    </w:p>
    <w:p>
      <w:pPr>
        <w:sectPr>
          <w:pgSz w:w="11900" w:h="16838" w:orient="portrait"/>
          <w:cols w:equalWidth="0" w:num="1">
            <w:col w:w="10920"/>
          </w:cols>
          <w:pgMar w:left="480" w:top="1440" w:right="499" w:bottom="1440" w:gutter="0" w:footer="0" w:header="0"/>
        </w:sectPr>
      </w:pPr>
    </w:p>
    <w:bookmarkStart w:id="47" w:name="page48"/>
    <w:bookmarkEnd w:id="47"/>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5565A"/>
        </w:rPr>
        <w: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5565A"/>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right="580"/>
        <w:spacing w:after="0" w:line="251" w:lineRule="auto"/>
        <w:rPr>
          <w:sz w:val="20"/>
          <w:szCs w:val="20"/>
          <w:color w:val="auto"/>
        </w:rPr>
      </w:pPr>
      <w:r>
        <w:rPr>
          <w:rFonts w:ascii="Arial" w:cs="Arial" w:eastAsia="Arial" w:hAnsi="Arial"/>
          <w:sz w:val="16"/>
          <w:szCs w:val="16"/>
          <w:color w:val="55565A"/>
        </w:rPr>
        <w:t>Management-defined performance measurements (“MPM’s”), which represent certain of the Company’s non-IFRS measures, to be identified, defined, and have an explanation why each one is useful. Each MPM must be reconciled to the most directly comparable IFRS subtotal. All disclosures related to MPM’s must be disclosed in a single footnote within the consolidated financial statements;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-1520190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-960120</wp:posOffset>
            </wp:positionV>
            <wp:extent cx="7094855" cy="5092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ind w:right="660"/>
        <w:spacing w:after="0" w:line="258" w:lineRule="auto"/>
        <w:rPr>
          <w:sz w:val="20"/>
          <w:szCs w:val="20"/>
          <w:color w:val="auto"/>
        </w:rPr>
      </w:pPr>
      <w:r>
        <w:rPr>
          <w:rFonts w:ascii="Arial" w:cs="Arial" w:eastAsia="Arial" w:hAnsi="Arial"/>
          <w:sz w:val="16"/>
          <w:szCs w:val="16"/>
          <w:color w:val="55565A"/>
        </w:rPr>
        <w:t>The application of enhanced guidance related to the grouping of financial information associated with amounts presented within the financial statements, otherwise known as aggregation or disaggregation.</w:t>
      </w:r>
    </w:p>
    <w:p>
      <w:pPr>
        <w:spacing w:after="0" w:line="70" w:lineRule="exact"/>
        <w:rPr>
          <w:sz w:val="20"/>
          <w:szCs w:val="20"/>
          <w:color w:val="auto"/>
        </w:rPr>
      </w:pPr>
    </w:p>
    <w:p>
      <w:pPr>
        <w:sectPr>
          <w:pgSz w:w="11900" w:h="16838" w:orient="portrait"/>
          <w:cols w:equalWidth="0" w:num="2">
            <w:col w:w="60" w:space="260"/>
            <w:col w:w="10600"/>
          </w:cols>
          <w:pgMar w:left="480" w:top="1440" w:right="499" w:bottom="1440" w:gutter="0" w:footer="0" w:header="0"/>
        </w:sectPr>
      </w:pPr>
    </w:p>
    <w:p>
      <w:pPr>
        <w:spacing w:after="0"/>
        <w:rPr>
          <w:sz w:val="20"/>
          <w:szCs w:val="20"/>
          <w:color w:val="auto"/>
        </w:rPr>
      </w:pPr>
      <w:r>
        <w:rPr>
          <w:rFonts w:ascii="Arial" w:cs="Arial" w:eastAsia="Arial" w:hAnsi="Arial"/>
          <w:sz w:val="16"/>
          <w:szCs w:val="16"/>
          <w:color w:val="55565A"/>
        </w:rPr>
        <w:t>The Company is assessing the impact of IFRS 18 on its disclosures.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55565A"/>
        </w:rPr>
        <w:t>Amendments to IAS 7</w:t>
      </w:r>
      <w:r>
        <w:rPr>
          <w:rFonts w:ascii="Arial" w:cs="Arial" w:eastAsia="Arial" w:hAnsi="Arial"/>
          <w:sz w:val="18"/>
          <w:szCs w:val="18"/>
          <w:i w:val="1"/>
          <w:iCs w:val="1"/>
          <w:u w:val="single" w:color="auto"/>
          <w:color w:val="55565A"/>
        </w:rPr>
        <w:t>, Statement of Cash Flows</w:t>
      </w:r>
    </w:p>
    <w:p>
      <w:pPr>
        <w:spacing w:after="0" w:line="105"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55565A"/>
        </w:rPr>
        <w:t>The amendments were issued to align the presentation of the statement of cash flows, as prepared under the indirect method, to the changes prescribed to the income statement under IFRS 18.</w:t>
      </w:r>
    </w:p>
    <w:p>
      <w:pPr>
        <w:spacing w:after="0" w:line="54"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55565A"/>
        </w:rPr>
        <w:t>Both IFRS 18 and the amendments to IAS 7 are disclosure related and do not impact the Company’s results of operations, financial condition, or cash flows.</w:t>
      </w:r>
    </w:p>
    <w:p>
      <w:pPr>
        <w:spacing w:after="0" w:line="5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55565A"/>
        </w:rPr>
        <w:t>Other pronouncements issued by the IASB and International Financial Reporting Interpretations Committee (“IFRIC”) are not applicable or consequential to the Company.</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2: Revenues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Revenues by type and geography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5565A"/>
        </w:rPr>
        <w:t>The following tables disaggregate revenues by type and geography and reconcile them to reportable segments (see note 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55565A"/>
              </w:rPr>
              <w:t>Revenues by type</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55565A"/>
                <w:w w:val="99"/>
              </w:rPr>
              <w:t>Tax &amp;</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60" w:type="dxa"/>
            <w:vAlign w:val="bottom"/>
            <w:gridSpan w:val="2"/>
            <w:vMerge w:val="continue"/>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55565A"/>
              </w:rPr>
              <w:t>Legal</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55565A"/>
              </w:rPr>
              <w:t>Accounting</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55565A"/>
              </w:rPr>
              <w:t>Global</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55565A"/>
              </w:rPr>
              <w:t>Eliminations/</w:t>
            </w: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60" w:type="dxa"/>
            <w:vAlign w:val="bottom"/>
            <w:gridSpan w:val="2"/>
          </w:tcPr>
          <w:p>
            <w:pPr>
              <w:spacing w:after="0"/>
              <w:rPr>
                <w:sz w:val="20"/>
                <w:szCs w:val="20"/>
                <w:color w:val="auto"/>
              </w:rPr>
            </w:pPr>
            <w:r>
              <w:rPr>
                <w:rFonts w:ascii="Arial" w:cs="Arial" w:eastAsia="Arial" w:hAnsi="Arial"/>
                <w:sz w:val="14"/>
                <w:szCs w:val="14"/>
                <w:b w:val="1"/>
                <w:bCs w:val="1"/>
                <w:color w:val="55565A"/>
              </w:rPr>
              <w:t>Three months ended</w:t>
            </w:r>
          </w:p>
        </w:tc>
        <w:tc>
          <w:tcPr>
            <w:tcW w:w="1100" w:type="dxa"/>
            <w:vAlign w:val="bottom"/>
            <w:tcBorders>
              <w:top w:val="single" w:sz="8" w:color="88888B"/>
              <w:bottom w:val="single" w:sz="8" w:color="88888B"/>
            </w:tcBorders>
            <w:gridSpan w:val="2"/>
          </w:tcPr>
          <w:p>
            <w:pPr>
              <w:jc w:val="center"/>
              <w:spacing w:after="0"/>
              <w:rPr>
                <w:sz w:val="20"/>
                <w:szCs w:val="20"/>
                <w:color w:val="auto"/>
              </w:rPr>
            </w:pPr>
            <w:r>
              <w:rPr>
                <w:rFonts w:ascii="Arial" w:cs="Arial" w:eastAsia="Arial" w:hAnsi="Arial"/>
                <w:sz w:val="14"/>
                <w:szCs w:val="14"/>
                <w:b w:val="1"/>
                <w:bCs w:val="1"/>
                <w:color w:val="55565A"/>
              </w:rPr>
              <w:t>Professionals</w:t>
            </w:r>
          </w:p>
        </w:tc>
        <w:tc>
          <w:tcPr>
            <w:tcW w:w="1360" w:type="dxa"/>
            <w:vAlign w:val="bottom"/>
            <w:tcBorders>
              <w:bottom w:val="single" w:sz="8" w:color="88888B"/>
            </w:tcBorders>
            <w:gridSpan w:val="2"/>
          </w:tcPr>
          <w:p>
            <w:pPr>
              <w:jc w:val="right"/>
              <w:ind w:right="249"/>
              <w:spacing w:after="0"/>
              <w:rPr>
                <w:sz w:val="20"/>
                <w:szCs w:val="20"/>
                <w:color w:val="auto"/>
              </w:rPr>
            </w:pPr>
            <w:r>
              <w:rPr>
                <w:rFonts w:ascii="Arial" w:cs="Arial" w:eastAsia="Arial" w:hAnsi="Arial"/>
                <w:sz w:val="14"/>
                <w:szCs w:val="14"/>
                <w:b w:val="1"/>
                <w:bCs w:val="1"/>
                <w:color w:val="55565A"/>
              </w:rPr>
              <w:t>Corporates</w:t>
            </w:r>
          </w:p>
        </w:tc>
        <w:tc>
          <w:tcPr>
            <w:tcW w:w="1100" w:type="dxa"/>
            <w:vAlign w:val="bottom"/>
            <w:tcBorders>
              <w:top w:val="single" w:sz="8" w:color="88888B"/>
              <w:bottom w:val="single" w:sz="8" w:color="88888B"/>
            </w:tcBorders>
            <w:gridSpan w:val="2"/>
          </w:tcPr>
          <w:p>
            <w:pPr>
              <w:jc w:val="center"/>
              <w:spacing w:after="0"/>
              <w:rPr>
                <w:sz w:val="20"/>
                <w:szCs w:val="20"/>
                <w:color w:val="auto"/>
              </w:rPr>
            </w:pPr>
            <w:r>
              <w:rPr>
                <w:rFonts w:ascii="Arial" w:cs="Arial" w:eastAsia="Arial" w:hAnsi="Arial"/>
                <w:sz w:val="14"/>
                <w:szCs w:val="14"/>
                <w:b w:val="1"/>
                <w:bCs w:val="1"/>
                <w:color w:val="55565A"/>
              </w:rPr>
              <w:t>Professionals</w:t>
            </w:r>
          </w:p>
        </w:tc>
        <w:tc>
          <w:tcPr>
            <w:tcW w:w="1540" w:type="dxa"/>
            <w:vAlign w:val="bottom"/>
            <w:tcBorders>
              <w:bottom w:val="single" w:sz="8" w:color="88888B"/>
            </w:tcBorders>
            <w:gridSpan w:val="2"/>
          </w:tcPr>
          <w:p>
            <w:pPr>
              <w:jc w:val="right"/>
              <w:ind w:right="249"/>
              <w:spacing w:after="0"/>
              <w:rPr>
                <w:sz w:val="20"/>
                <w:szCs w:val="20"/>
                <w:color w:val="auto"/>
              </w:rPr>
            </w:pPr>
            <w:r>
              <w:rPr>
                <w:rFonts w:ascii="Arial" w:cs="Arial" w:eastAsia="Arial" w:hAnsi="Arial"/>
                <w:sz w:val="14"/>
                <w:szCs w:val="14"/>
                <w:b w:val="1"/>
                <w:bCs w:val="1"/>
                <w:color w:val="55565A"/>
              </w:rPr>
              <w:t>Reuters News</w:t>
            </w:r>
          </w:p>
        </w:tc>
        <w:tc>
          <w:tcPr>
            <w:tcW w:w="900" w:type="dxa"/>
            <w:vAlign w:val="bottom"/>
            <w:tcBorders>
              <w:top w:val="single" w:sz="8" w:color="88888B"/>
              <w:bottom w:val="single" w:sz="8" w:color="88888B"/>
            </w:tcBorders>
            <w:gridSpan w:val="2"/>
          </w:tcPr>
          <w:p>
            <w:pPr>
              <w:jc w:val="center"/>
              <w:spacing w:after="0"/>
              <w:rPr>
                <w:sz w:val="20"/>
                <w:szCs w:val="20"/>
                <w:color w:val="auto"/>
              </w:rPr>
            </w:pPr>
            <w:r>
              <w:rPr>
                <w:rFonts w:ascii="Arial" w:cs="Arial" w:eastAsia="Arial" w:hAnsi="Arial"/>
                <w:sz w:val="14"/>
                <w:szCs w:val="14"/>
                <w:b w:val="1"/>
                <w:bCs w:val="1"/>
                <w:color w:val="55565A"/>
              </w:rPr>
              <w:t>Print</w:t>
            </w:r>
          </w:p>
        </w:tc>
        <w:tc>
          <w:tcPr>
            <w:tcW w:w="200" w:type="dxa"/>
            <w:vAlign w:val="bottom"/>
            <w:tcBorders>
              <w:bottom w:val="single" w:sz="8" w:color="88888B"/>
            </w:tcBorders>
          </w:tcPr>
          <w:p>
            <w:pPr>
              <w:spacing w:after="0"/>
              <w:rPr>
                <w:sz w:val="17"/>
                <w:szCs w:val="17"/>
                <w:color w:val="auto"/>
              </w:rPr>
            </w:pPr>
          </w:p>
        </w:tc>
        <w:tc>
          <w:tcPr>
            <w:tcW w:w="1080" w:type="dxa"/>
            <w:vAlign w:val="bottom"/>
            <w:tcBorders>
              <w:top w:val="single" w:sz="8" w:color="88888B"/>
              <w:bottom w:val="single" w:sz="8" w:color="88888B"/>
            </w:tcBorders>
            <w:gridSpan w:val="2"/>
          </w:tcPr>
          <w:p>
            <w:pPr>
              <w:jc w:val="center"/>
              <w:spacing w:after="0"/>
              <w:rPr>
                <w:sz w:val="20"/>
                <w:szCs w:val="20"/>
                <w:color w:val="auto"/>
              </w:rPr>
            </w:pPr>
            <w:r>
              <w:rPr>
                <w:rFonts w:ascii="Arial" w:cs="Arial" w:eastAsia="Arial" w:hAnsi="Arial"/>
                <w:sz w:val="14"/>
                <w:szCs w:val="14"/>
                <w:b w:val="1"/>
                <w:bCs w:val="1"/>
                <w:color w:val="55565A"/>
              </w:rPr>
              <w:t>Rounding</w:t>
            </w:r>
          </w:p>
        </w:tc>
        <w:tc>
          <w:tcPr>
            <w:tcW w:w="1480" w:type="dxa"/>
            <w:vAlign w:val="bottom"/>
            <w:tcBorders>
              <w:bottom w:val="single" w:sz="8" w:color="88888B"/>
            </w:tcBorders>
            <w:gridSpan w:val="2"/>
          </w:tcPr>
          <w:p>
            <w:pPr>
              <w:jc w:val="right"/>
              <w:ind w:right="509"/>
              <w:spacing w:after="0"/>
              <w:rPr>
                <w:sz w:val="20"/>
                <w:szCs w:val="20"/>
                <w:color w:val="auto"/>
              </w:rPr>
            </w:pPr>
            <w:r>
              <w:rPr>
                <w:rFonts w:ascii="Arial" w:cs="Arial" w:eastAsia="Arial" w:hAnsi="Arial"/>
                <w:sz w:val="14"/>
                <w:szCs w:val="14"/>
                <w:b w:val="1"/>
                <w:bCs w:val="1"/>
                <w:color w:val="55565A"/>
              </w:rPr>
              <w:t>Total</w:t>
            </w:r>
          </w:p>
        </w:tc>
        <w:tc>
          <w:tcPr>
            <w:tcW w:w="0" w:type="dxa"/>
            <w:vAlign w:val="bottom"/>
          </w:tcPr>
          <w:p>
            <w:pPr>
              <w:spacing w:after="0"/>
              <w:rPr>
                <w:sz w:val="1"/>
                <w:szCs w:val="1"/>
                <w:color w:val="auto"/>
              </w:rPr>
            </w:pPr>
          </w:p>
        </w:tc>
      </w:tr>
      <w:tr>
        <w:trPr>
          <w:trHeight w:val="207"/>
        </w:trPr>
        <w:tc>
          <w:tcPr>
            <w:tcW w:w="2160" w:type="dxa"/>
            <w:vAlign w:val="bottom"/>
            <w:gridSpan w:val="2"/>
          </w:tcPr>
          <w:p>
            <w:pPr>
              <w:spacing w:after="0"/>
              <w:rPr>
                <w:sz w:val="20"/>
                <w:szCs w:val="20"/>
                <w:color w:val="auto"/>
              </w:rPr>
            </w:pPr>
            <w:r>
              <w:rPr>
                <w:rFonts w:ascii="Arial" w:cs="Arial" w:eastAsia="Arial" w:hAnsi="Arial"/>
                <w:sz w:val="14"/>
                <w:szCs w:val="14"/>
                <w:b w:val="1"/>
                <w:bCs w:val="1"/>
                <w:color w:val="55565A"/>
              </w:rPr>
              <w:t>March 31,</w:t>
            </w: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5565A"/>
              </w:rPr>
              <w:t>2024</w:t>
            </w:r>
          </w:p>
        </w:tc>
        <w:tc>
          <w:tcPr>
            <w:tcW w:w="520" w:type="dxa"/>
            <w:vAlign w:val="bottom"/>
          </w:tcPr>
          <w:p>
            <w:pPr>
              <w:jc w:val="right"/>
              <w:ind w:right="9"/>
              <w:spacing w:after="0"/>
              <w:rPr>
                <w:sz w:val="20"/>
                <w:szCs w:val="20"/>
                <w:color w:val="auto"/>
              </w:rPr>
            </w:pPr>
            <w:r>
              <w:rPr>
                <w:rFonts w:ascii="Arial" w:cs="Arial" w:eastAsia="Arial" w:hAnsi="Arial"/>
                <w:sz w:val="14"/>
                <w:szCs w:val="14"/>
                <w:b w:val="1"/>
                <w:bCs w:val="1"/>
                <w:color w:val="55565A"/>
              </w:rPr>
              <w:t>2023</w:t>
            </w: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55565A"/>
              </w:rPr>
              <w:t>2024</w:t>
            </w:r>
          </w:p>
        </w:tc>
        <w:tc>
          <w:tcPr>
            <w:tcW w:w="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2023</w:t>
            </w: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5565A"/>
              </w:rPr>
              <w:t>2024</w:t>
            </w:r>
          </w:p>
        </w:tc>
        <w:tc>
          <w:tcPr>
            <w:tcW w:w="520" w:type="dxa"/>
            <w:vAlign w:val="bottom"/>
          </w:tcPr>
          <w:p>
            <w:pPr>
              <w:jc w:val="right"/>
              <w:ind w:right="9"/>
              <w:spacing w:after="0"/>
              <w:rPr>
                <w:sz w:val="20"/>
                <w:szCs w:val="20"/>
                <w:color w:val="auto"/>
              </w:rPr>
            </w:pPr>
            <w:r>
              <w:rPr>
                <w:rFonts w:ascii="Arial" w:cs="Arial" w:eastAsia="Arial" w:hAnsi="Arial"/>
                <w:sz w:val="14"/>
                <w:szCs w:val="14"/>
                <w:b w:val="1"/>
                <w:bCs w:val="1"/>
                <w:color w:val="55565A"/>
              </w:rPr>
              <w:t>2023</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55565A"/>
              </w:rPr>
              <w:t>2024</w:t>
            </w:r>
          </w:p>
        </w:tc>
        <w:tc>
          <w:tcPr>
            <w:tcW w:w="740" w:type="dxa"/>
            <w:vAlign w:val="bottom"/>
          </w:tcPr>
          <w:p>
            <w:pPr>
              <w:jc w:val="right"/>
              <w:ind w:right="229"/>
              <w:spacing w:after="0"/>
              <w:rPr>
                <w:sz w:val="20"/>
                <w:szCs w:val="20"/>
                <w:color w:val="auto"/>
              </w:rPr>
            </w:pPr>
            <w:r>
              <w:rPr>
                <w:rFonts w:ascii="Arial" w:cs="Arial" w:eastAsia="Arial" w:hAnsi="Arial"/>
                <w:sz w:val="14"/>
                <w:szCs w:val="14"/>
                <w:b w:val="1"/>
                <w:bCs w:val="1"/>
                <w:color w:val="55565A"/>
              </w:rPr>
              <w:t>2023</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55565A"/>
              </w:rPr>
              <w:t>2024</w:t>
            </w:r>
          </w:p>
        </w:tc>
        <w:tc>
          <w:tcPr>
            <w:tcW w:w="460" w:type="dxa"/>
            <w:vAlign w:val="bottom"/>
          </w:tcPr>
          <w:p>
            <w:pPr>
              <w:jc w:val="right"/>
              <w:ind w:right="9"/>
              <w:spacing w:after="0"/>
              <w:rPr>
                <w:sz w:val="20"/>
                <w:szCs w:val="20"/>
                <w:color w:val="auto"/>
              </w:rPr>
            </w:pPr>
            <w:r>
              <w:rPr>
                <w:rFonts w:ascii="Arial" w:cs="Arial" w:eastAsia="Arial" w:hAnsi="Arial"/>
                <w:sz w:val="14"/>
                <w:szCs w:val="14"/>
                <w:b w:val="1"/>
                <w:bCs w:val="1"/>
                <w:color w:val="55565A"/>
              </w:rPr>
              <w:t>2023</w:t>
            </w:r>
          </w:p>
        </w:tc>
        <w:tc>
          <w:tcPr>
            <w:tcW w:w="200" w:type="dxa"/>
            <w:vAlign w:val="bottom"/>
          </w:tcPr>
          <w:p>
            <w:pPr>
              <w:spacing w:after="0"/>
              <w:rPr>
                <w:sz w:val="18"/>
                <w:szCs w:val="18"/>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b w:val="1"/>
                <w:bCs w:val="1"/>
                <w:color w:val="55565A"/>
              </w:rPr>
              <w:t>2024</w:t>
            </w:r>
          </w:p>
        </w:tc>
        <w:tc>
          <w:tcPr>
            <w:tcW w:w="520" w:type="dxa"/>
            <w:vAlign w:val="bottom"/>
          </w:tcPr>
          <w:p>
            <w:pPr>
              <w:jc w:val="right"/>
              <w:ind w:right="9"/>
              <w:spacing w:after="0"/>
              <w:rPr>
                <w:sz w:val="20"/>
                <w:szCs w:val="20"/>
                <w:color w:val="auto"/>
              </w:rPr>
            </w:pPr>
            <w:r>
              <w:rPr>
                <w:rFonts w:ascii="Arial" w:cs="Arial" w:eastAsia="Arial" w:hAnsi="Arial"/>
                <w:sz w:val="14"/>
                <w:szCs w:val="14"/>
                <w:b w:val="1"/>
                <w:bCs w:val="1"/>
                <w:color w:val="55565A"/>
              </w:rPr>
              <w:t>2023</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55565A"/>
              </w:rPr>
              <w:t>2024</w:t>
            </w:r>
          </w:p>
        </w:tc>
        <w:tc>
          <w:tcPr>
            <w:tcW w:w="740" w:type="dxa"/>
            <w:vAlign w:val="bottom"/>
          </w:tcPr>
          <w:p>
            <w:pPr>
              <w:jc w:val="right"/>
              <w:ind w:right="229"/>
              <w:spacing w:after="0"/>
              <w:rPr>
                <w:sz w:val="20"/>
                <w:szCs w:val="20"/>
                <w:color w:val="auto"/>
              </w:rPr>
            </w:pPr>
            <w:r>
              <w:rPr>
                <w:rFonts w:ascii="Arial" w:cs="Arial" w:eastAsia="Arial" w:hAnsi="Arial"/>
                <w:sz w:val="14"/>
                <w:szCs w:val="14"/>
                <w:b w:val="1"/>
                <w:bCs w:val="1"/>
                <w:color w:val="55565A"/>
              </w:rPr>
              <w:t>2023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40" w:type="dxa"/>
            <w:vAlign w:val="bottom"/>
            <w:tcBorders>
              <w:top w:val="single" w:sz="8" w:color="88888B"/>
            </w:tcBorders>
            <w:shd w:val="clear" w:color="auto" w:fill="CCEEFF"/>
          </w:tcPr>
          <w:p>
            <w:pPr>
              <w:spacing w:after="0"/>
              <w:rPr>
                <w:sz w:val="20"/>
                <w:szCs w:val="20"/>
                <w:color w:val="auto"/>
              </w:rPr>
            </w:pPr>
            <w:r>
              <w:rPr>
                <w:rFonts w:ascii="Arial" w:cs="Arial" w:eastAsia="Arial" w:hAnsi="Arial"/>
                <w:sz w:val="14"/>
                <w:szCs w:val="14"/>
                <w:color w:val="55565A"/>
              </w:rPr>
              <w:t>Recurring</w:t>
            </w:r>
          </w:p>
        </w:tc>
        <w:tc>
          <w:tcPr>
            <w:tcW w:w="580" w:type="dxa"/>
            <w:vAlign w:val="bottom"/>
            <w:tcBorders>
              <w:top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698</w:t>
            </w:r>
          </w:p>
        </w:tc>
        <w:tc>
          <w:tcPr>
            <w:tcW w:w="520" w:type="dxa"/>
            <w:vAlign w:val="bottom"/>
            <w:tcBorders>
              <w:top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672</w:t>
            </w:r>
          </w:p>
        </w:tc>
        <w:tc>
          <w:tcPr>
            <w:tcW w:w="680" w:type="dxa"/>
            <w:vAlign w:val="bottom"/>
            <w:tcBorders>
              <w:top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370</w:t>
            </w:r>
          </w:p>
        </w:tc>
        <w:tc>
          <w:tcPr>
            <w:tcW w:w="680" w:type="dxa"/>
            <w:vAlign w:val="bottom"/>
            <w:tcBorders>
              <w:top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326</w:t>
            </w:r>
          </w:p>
        </w:tc>
        <w:tc>
          <w:tcPr>
            <w:tcW w:w="580" w:type="dxa"/>
            <w:vAlign w:val="bottom"/>
            <w:tcBorders>
              <w:top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199</w:t>
            </w:r>
          </w:p>
        </w:tc>
        <w:tc>
          <w:tcPr>
            <w:tcW w:w="520" w:type="dxa"/>
            <w:vAlign w:val="bottom"/>
            <w:tcBorders>
              <w:top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176</w:t>
            </w:r>
          </w:p>
        </w:tc>
        <w:tc>
          <w:tcPr>
            <w:tcW w:w="800" w:type="dxa"/>
            <w:vAlign w:val="bottom"/>
            <w:tcBorders>
              <w:top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164</w:t>
            </w:r>
          </w:p>
        </w:tc>
        <w:tc>
          <w:tcPr>
            <w:tcW w:w="740" w:type="dxa"/>
            <w:vAlign w:val="bottom"/>
            <w:tcBorders>
              <w:top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155</w:t>
            </w:r>
          </w:p>
        </w:tc>
        <w:tc>
          <w:tcPr>
            <w:tcW w:w="440" w:type="dxa"/>
            <w:vAlign w:val="bottom"/>
            <w:tcBorders>
              <w:top w:val="single" w:sz="8" w:color="88888B"/>
            </w:tcBorders>
            <w:shd w:val="clear" w:color="auto" w:fill="CCEEFF"/>
          </w:tcPr>
          <w:p>
            <w:pPr>
              <w:jc w:val="right"/>
              <w:spacing w:after="0"/>
              <w:rPr>
                <w:sz w:val="20"/>
                <w:szCs w:val="20"/>
                <w:color w:val="auto"/>
              </w:rPr>
            </w:pPr>
            <w:r>
              <w:rPr>
                <w:rFonts w:ascii="Arial" w:cs="Arial" w:eastAsia="Arial" w:hAnsi="Arial"/>
                <w:sz w:val="14"/>
                <w:szCs w:val="14"/>
                <w:b w:val="1"/>
                <w:bCs w:val="1"/>
                <w:color w:val="55565A"/>
              </w:rPr>
              <w:t>–</w:t>
            </w:r>
          </w:p>
        </w:tc>
        <w:tc>
          <w:tcPr>
            <w:tcW w:w="660" w:type="dxa"/>
            <w:vAlign w:val="bottom"/>
            <w:tcBorders>
              <w:top w:val="single" w:sz="8" w:color="88888B"/>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55565A"/>
              </w:rPr>
              <w:t>–</w:t>
            </w:r>
          </w:p>
        </w:tc>
        <w:tc>
          <w:tcPr>
            <w:tcW w:w="560" w:type="dxa"/>
            <w:vAlign w:val="bottom"/>
            <w:tcBorders>
              <w:top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(5)</w:t>
            </w:r>
          </w:p>
        </w:tc>
        <w:tc>
          <w:tcPr>
            <w:tcW w:w="520" w:type="dxa"/>
            <w:vAlign w:val="bottom"/>
            <w:tcBorders>
              <w:top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(6)</w:t>
            </w:r>
          </w:p>
        </w:tc>
        <w:tc>
          <w:tcPr>
            <w:tcW w:w="740" w:type="dxa"/>
            <w:vAlign w:val="bottom"/>
            <w:tcBorders>
              <w:top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1,426</w:t>
            </w:r>
          </w:p>
        </w:tc>
        <w:tc>
          <w:tcPr>
            <w:tcW w:w="740" w:type="dxa"/>
            <w:vAlign w:val="bottom"/>
            <w:tcBorders>
              <w:top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1,323</w:t>
            </w:r>
          </w:p>
        </w:tc>
        <w:tc>
          <w:tcPr>
            <w:tcW w:w="0" w:type="dxa"/>
            <w:vAlign w:val="bottom"/>
          </w:tcPr>
          <w:p>
            <w:pPr>
              <w:spacing w:after="0"/>
              <w:rPr>
                <w:sz w:val="1"/>
                <w:szCs w:val="1"/>
                <w:color w:val="auto"/>
              </w:rPr>
            </w:pPr>
          </w:p>
        </w:tc>
      </w:tr>
      <w:tr>
        <w:trPr>
          <w:trHeight w:val="212"/>
        </w:trPr>
        <w:tc>
          <w:tcPr>
            <w:tcW w:w="2160" w:type="dxa"/>
            <w:vAlign w:val="bottom"/>
            <w:gridSpan w:val="2"/>
          </w:tcPr>
          <w:p>
            <w:pPr>
              <w:spacing w:after="0"/>
              <w:rPr>
                <w:sz w:val="20"/>
                <w:szCs w:val="20"/>
                <w:color w:val="auto"/>
              </w:rPr>
            </w:pPr>
            <w:r>
              <w:rPr>
                <w:rFonts w:ascii="Arial" w:cs="Arial" w:eastAsia="Arial" w:hAnsi="Arial"/>
                <w:sz w:val="14"/>
                <w:szCs w:val="14"/>
                <w:color w:val="55565A"/>
              </w:rPr>
              <w:t>Transactions</w:t>
            </w: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5565A"/>
              </w:rPr>
              <w:t>23</w:t>
            </w:r>
          </w:p>
        </w:tc>
        <w:tc>
          <w:tcPr>
            <w:tcW w:w="520" w:type="dxa"/>
            <w:vAlign w:val="bottom"/>
          </w:tcPr>
          <w:p>
            <w:pPr>
              <w:jc w:val="right"/>
              <w:ind w:right="9"/>
              <w:spacing w:after="0"/>
              <w:rPr>
                <w:sz w:val="20"/>
                <w:szCs w:val="20"/>
                <w:color w:val="auto"/>
              </w:rPr>
            </w:pPr>
            <w:r>
              <w:rPr>
                <w:rFonts w:ascii="Arial" w:cs="Arial" w:eastAsia="Arial" w:hAnsi="Arial"/>
                <w:sz w:val="14"/>
                <w:szCs w:val="14"/>
                <w:color w:val="55565A"/>
              </w:rPr>
              <w:t>42</w:t>
            </w: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55565A"/>
              </w:rPr>
              <w:t>137</w:t>
            </w:r>
          </w:p>
        </w:tc>
        <w:tc>
          <w:tcPr>
            <w:tcW w:w="680" w:type="dxa"/>
            <w:vAlign w:val="bottom"/>
          </w:tcPr>
          <w:p>
            <w:pPr>
              <w:jc w:val="right"/>
              <w:ind w:right="229"/>
              <w:spacing w:after="0"/>
              <w:rPr>
                <w:sz w:val="20"/>
                <w:szCs w:val="20"/>
                <w:color w:val="auto"/>
              </w:rPr>
            </w:pPr>
            <w:r>
              <w:rPr>
                <w:rFonts w:ascii="Arial" w:cs="Arial" w:eastAsia="Arial" w:hAnsi="Arial"/>
                <w:sz w:val="14"/>
                <w:szCs w:val="14"/>
                <w:color w:val="55565A"/>
              </w:rPr>
              <w:t>109</w:t>
            </w: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5565A"/>
              </w:rPr>
              <w:t>129</w:t>
            </w:r>
          </w:p>
        </w:tc>
        <w:tc>
          <w:tcPr>
            <w:tcW w:w="520" w:type="dxa"/>
            <w:vAlign w:val="bottom"/>
          </w:tcPr>
          <w:p>
            <w:pPr>
              <w:jc w:val="right"/>
              <w:ind w:right="9"/>
              <w:spacing w:after="0"/>
              <w:rPr>
                <w:sz w:val="20"/>
                <w:szCs w:val="20"/>
                <w:color w:val="auto"/>
              </w:rPr>
            </w:pPr>
            <w:r>
              <w:rPr>
                <w:rFonts w:ascii="Arial" w:cs="Arial" w:eastAsia="Arial" w:hAnsi="Arial"/>
                <w:sz w:val="14"/>
                <w:szCs w:val="14"/>
                <w:color w:val="55565A"/>
              </w:rPr>
              <w:t>106</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55565A"/>
              </w:rPr>
              <w:t>46</w:t>
            </w:r>
          </w:p>
        </w:tc>
        <w:tc>
          <w:tcPr>
            <w:tcW w:w="740" w:type="dxa"/>
            <w:vAlign w:val="bottom"/>
          </w:tcPr>
          <w:p>
            <w:pPr>
              <w:jc w:val="right"/>
              <w:ind w:right="229"/>
              <w:spacing w:after="0"/>
              <w:rPr>
                <w:sz w:val="20"/>
                <w:szCs w:val="20"/>
                <w:color w:val="auto"/>
              </w:rPr>
            </w:pPr>
            <w:r>
              <w:rPr>
                <w:rFonts w:ascii="Arial" w:cs="Arial" w:eastAsia="Arial" w:hAnsi="Arial"/>
                <w:sz w:val="14"/>
                <w:szCs w:val="14"/>
                <w:color w:val="55565A"/>
              </w:rPr>
              <w:t>20</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55565A"/>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55565A"/>
              </w:rPr>
              <w:t>–</w:t>
            </w:r>
          </w:p>
        </w:tc>
        <w:tc>
          <w:tcPr>
            <w:tcW w:w="560" w:type="dxa"/>
            <w:vAlign w:val="bottom"/>
          </w:tcPr>
          <w:p>
            <w:pPr>
              <w:jc w:val="right"/>
              <w:ind w:right="49"/>
              <w:spacing w:after="0"/>
              <w:rPr>
                <w:sz w:val="20"/>
                <w:szCs w:val="20"/>
                <w:color w:val="auto"/>
              </w:rPr>
            </w:pPr>
            <w:r>
              <w:rPr>
                <w:rFonts w:ascii="Arial" w:cs="Arial" w:eastAsia="Arial" w:hAnsi="Arial"/>
                <w:sz w:val="14"/>
                <w:szCs w:val="14"/>
                <w:b w:val="1"/>
                <w:bCs w:val="1"/>
                <w:color w:val="55565A"/>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55565A"/>
              </w:rPr>
              <w:t>–</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55565A"/>
              </w:rPr>
              <w:t>335</w:t>
            </w:r>
          </w:p>
        </w:tc>
        <w:tc>
          <w:tcPr>
            <w:tcW w:w="740" w:type="dxa"/>
            <w:vAlign w:val="bottom"/>
          </w:tcPr>
          <w:p>
            <w:pPr>
              <w:jc w:val="right"/>
              <w:ind w:right="229"/>
              <w:spacing w:after="0"/>
              <w:rPr>
                <w:sz w:val="20"/>
                <w:szCs w:val="20"/>
                <w:color w:val="auto"/>
              </w:rPr>
            </w:pPr>
            <w:r>
              <w:rPr>
                <w:rFonts w:ascii="Arial" w:cs="Arial" w:eastAsia="Arial" w:hAnsi="Arial"/>
                <w:sz w:val="14"/>
                <w:szCs w:val="14"/>
                <w:color w:val="55565A"/>
              </w:rPr>
              <w:t>277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Global Print</w:t>
            </w:r>
          </w:p>
        </w:tc>
        <w:tc>
          <w:tcPr>
            <w:tcW w:w="58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52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w:t>
            </w:r>
          </w:p>
        </w:tc>
        <w:tc>
          <w:tcPr>
            <w:tcW w:w="68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w:t>
            </w:r>
          </w:p>
        </w:tc>
        <w:tc>
          <w:tcPr>
            <w:tcW w:w="68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w:t>
            </w:r>
          </w:p>
        </w:tc>
        <w:tc>
          <w:tcPr>
            <w:tcW w:w="58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52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w:t>
            </w:r>
          </w:p>
        </w:tc>
        <w:tc>
          <w:tcPr>
            <w:tcW w:w="80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74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w:t>
            </w:r>
          </w:p>
        </w:tc>
        <w:tc>
          <w:tcPr>
            <w:tcW w:w="44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4"/>
                <w:szCs w:val="14"/>
                <w:b w:val="1"/>
                <w:bCs w:val="1"/>
                <w:color w:val="55565A"/>
              </w:rPr>
              <w:t>124</w:t>
            </w:r>
          </w:p>
        </w:tc>
        <w:tc>
          <w:tcPr>
            <w:tcW w:w="46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138</w:t>
            </w:r>
          </w:p>
        </w:tc>
        <w:tc>
          <w:tcPr>
            <w:tcW w:w="200" w:type="dxa"/>
            <w:vAlign w:val="bottom"/>
            <w:tcBorders>
              <w:bottom w:val="single" w:sz="8" w:color="88888B"/>
            </w:tcBorders>
            <w:shd w:val="clear" w:color="auto" w:fill="CCEEFF"/>
          </w:tcPr>
          <w:p>
            <w:pPr>
              <w:spacing w:after="0"/>
              <w:rPr>
                <w:sz w:val="14"/>
                <w:szCs w:val="14"/>
                <w:color w:val="auto"/>
              </w:rPr>
            </w:pPr>
          </w:p>
        </w:tc>
        <w:tc>
          <w:tcPr>
            <w:tcW w:w="56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52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w:t>
            </w:r>
          </w:p>
        </w:tc>
        <w:tc>
          <w:tcPr>
            <w:tcW w:w="74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124</w:t>
            </w:r>
          </w:p>
        </w:tc>
        <w:tc>
          <w:tcPr>
            <w:tcW w:w="74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138</w:t>
            </w:r>
          </w:p>
        </w:tc>
        <w:tc>
          <w:tcPr>
            <w:tcW w:w="0" w:type="dxa"/>
            <w:vAlign w:val="bottom"/>
          </w:tcPr>
          <w:p>
            <w:pPr>
              <w:spacing w:after="0"/>
              <w:rPr>
                <w:sz w:val="1"/>
                <w:szCs w:val="1"/>
                <w:color w:val="auto"/>
              </w:rPr>
            </w:pPr>
          </w:p>
        </w:tc>
      </w:tr>
      <w:tr>
        <w:trPr>
          <w:trHeight w:val="154"/>
        </w:trPr>
        <w:tc>
          <w:tcPr>
            <w:tcW w:w="20" w:type="dxa"/>
            <w:vAlign w:val="bottom"/>
            <w:tcBorders>
              <w:bottom w:val="single" w:sz="8" w:color="88888B"/>
            </w:tcBorders>
          </w:tcPr>
          <w:p>
            <w:pPr>
              <w:spacing w:after="0"/>
              <w:rPr>
                <w:sz w:val="13"/>
                <w:szCs w:val="13"/>
                <w:color w:val="auto"/>
              </w:rPr>
            </w:pPr>
          </w:p>
        </w:tc>
        <w:tc>
          <w:tcPr>
            <w:tcW w:w="2140" w:type="dxa"/>
            <w:vAlign w:val="bottom"/>
            <w:tcBorders>
              <w:bottom w:val="single" w:sz="8" w:color="88888B"/>
            </w:tcBorders>
          </w:tcPr>
          <w:p>
            <w:pPr>
              <w:spacing w:after="0" w:line="154" w:lineRule="exact"/>
              <w:rPr>
                <w:sz w:val="20"/>
                <w:szCs w:val="20"/>
                <w:color w:val="auto"/>
              </w:rPr>
            </w:pPr>
            <w:r>
              <w:rPr>
                <w:rFonts w:ascii="Arial" w:cs="Arial" w:eastAsia="Arial" w:hAnsi="Arial"/>
                <w:sz w:val="14"/>
                <w:szCs w:val="14"/>
                <w:color w:val="55565A"/>
              </w:rPr>
              <w:t>Total</w:t>
            </w:r>
          </w:p>
        </w:tc>
        <w:tc>
          <w:tcPr>
            <w:tcW w:w="580" w:type="dxa"/>
            <w:vAlign w:val="bottom"/>
            <w:tcBorders>
              <w:bottom w:val="single" w:sz="8" w:color="88888B"/>
            </w:tcBorders>
          </w:tcPr>
          <w:p>
            <w:pPr>
              <w:jc w:val="right"/>
              <w:ind w:right="49"/>
              <w:spacing w:after="0" w:line="154" w:lineRule="exact"/>
              <w:rPr>
                <w:sz w:val="20"/>
                <w:szCs w:val="20"/>
                <w:color w:val="auto"/>
              </w:rPr>
            </w:pPr>
            <w:r>
              <w:rPr>
                <w:rFonts w:ascii="Arial" w:cs="Arial" w:eastAsia="Arial" w:hAnsi="Arial"/>
                <w:sz w:val="14"/>
                <w:szCs w:val="14"/>
                <w:b w:val="1"/>
                <w:bCs w:val="1"/>
                <w:color w:val="55565A"/>
              </w:rPr>
              <w:t>721</w:t>
            </w:r>
          </w:p>
        </w:tc>
        <w:tc>
          <w:tcPr>
            <w:tcW w:w="520" w:type="dxa"/>
            <w:vAlign w:val="bottom"/>
            <w:tcBorders>
              <w:bottom w:val="single" w:sz="8" w:color="88888B"/>
            </w:tcBorders>
          </w:tcPr>
          <w:p>
            <w:pPr>
              <w:jc w:val="right"/>
              <w:ind w:right="9"/>
              <w:spacing w:after="0" w:line="154" w:lineRule="exact"/>
              <w:rPr>
                <w:sz w:val="20"/>
                <w:szCs w:val="20"/>
                <w:color w:val="auto"/>
              </w:rPr>
            </w:pPr>
            <w:r>
              <w:rPr>
                <w:rFonts w:ascii="Arial" w:cs="Arial" w:eastAsia="Arial" w:hAnsi="Arial"/>
                <w:sz w:val="14"/>
                <w:szCs w:val="14"/>
                <w:color w:val="55565A"/>
              </w:rPr>
              <w:t>714</w:t>
            </w:r>
          </w:p>
        </w:tc>
        <w:tc>
          <w:tcPr>
            <w:tcW w:w="680" w:type="dxa"/>
            <w:vAlign w:val="bottom"/>
            <w:tcBorders>
              <w:bottom w:val="single" w:sz="8" w:color="88888B"/>
            </w:tcBorders>
          </w:tcPr>
          <w:p>
            <w:pPr>
              <w:jc w:val="right"/>
              <w:ind w:right="9"/>
              <w:spacing w:after="0" w:line="154" w:lineRule="exact"/>
              <w:rPr>
                <w:sz w:val="20"/>
                <w:szCs w:val="20"/>
                <w:color w:val="auto"/>
              </w:rPr>
            </w:pPr>
            <w:r>
              <w:rPr>
                <w:rFonts w:ascii="Arial" w:cs="Arial" w:eastAsia="Arial" w:hAnsi="Arial"/>
                <w:sz w:val="14"/>
                <w:szCs w:val="14"/>
                <w:b w:val="1"/>
                <w:bCs w:val="1"/>
                <w:color w:val="55565A"/>
              </w:rPr>
              <w:t>507</w:t>
            </w:r>
          </w:p>
        </w:tc>
        <w:tc>
          <w:tcPr>
            <w:tcW w:w="680" w:type="dxa"/>
            <w:vAlign w:val="bottom"/>
            <w:tcBorders>
              <w:bottom w:val="single" w:sz="8" w:color="88888B"/>
            </w:tcBorders>
          </w:tcPr>
          <w:p>
            <w:pPr>
              <w:jc w:val="right"/>
              <w:ind w:right="229"/>
              <w:spacing w:after="0" w:line="154" w:lineRule="exact"/>
              <w:rPr>
                <w:sz w:val="20"/>
                <w:szCs w:val="20"/>
                <w:color w:val="auto"/>
              </w:rPr>
            </w:pPr>
            <w:r>
              <w:rPr>
                <w:rFonts w:ascii="Arial" w:cs="Arial" w:eastAsia="Arial" w:hAnsi="Arial"/>
                <w:sz w:val="14"/>
                <w:szCs w:val="14"/>
                <w:color w:val="55565A"/>
              </w:rPr>
              <w:t>435</w:t>
            </w:r>
          </w:p>
        </w:tc>
        <w:tc>
          <w:tcPr>
            <w:tcW w:w="580" w:type="dxa"/>
            <w:vAlign w:val="bottom"/>
            <w:tcBorders>
              <w:bottom w:val="single" w:sz="8" w:color="88888B"/>
            </w:tcBorders>
          </w:tcPr>
          <w:p>
            <w:pPr>
              <w:jc w:val="right"/>
              <w:ind w:right="49"/>
              <w:spacing w:after="0" w:line="154" w:lineRule="exact"/>
              <w:rPr>
                <w:sz w:val="20"/>
                <w:szCs w:val="20"/>
                <w:color w:val="auto"/>
              </w:rPr>
            </w:pPr>
            <w:r>
              <w:rPr>
                <w:rFonts w:ascii="Arial" w:cs="Arial" w:eastAsia="Arial" w:hAnsi="Arial"/>
                <w:sz w:val="14"/>
                <w:szCs w:val="14"/>
                <w:b w:val="1"/>
                <w:bCs w:val="1"/>
                <w:color w:val="55565A"/>
              </w:rPr>
              <w:t>328</w:t>
            </w:r>
          </w:p>
        </w:tc>
        <w:tc>
          <w:tcPr>
            <w:tcW w:w="520" w:type="dxa"/>
            <w:vAlign w:val="bottom"/>
            <w:tcBorders>
              <w:bottom w:val="single" w:sz="8" w:color="88888B"/>
            </w:tcBorders>
          </w:tcPr>
          <w:p>
            <w:pPr>
              <w:jc w:val="right"/>
              <w:ind w:right="9"/>
              <w:spacing w:after="0" w:line="154" w:lineRule="exact"/>
              <w:rPr>
                <w:sz w:val="20"/>
                <w:szCs w:val="20"/>
                <w:color w:val="auto"/>
              </w:rPr>
            </w:pPr>
            <w:r>
              <w:rPr>
                <w:rFonts w:ascii="Arial" w:cs="Arial" w:eastAsia="Arial" w:hAnsi="Arial"/>
                <w:sz w:val="14"/>
                <w:szCs w:val="14"/>
                <w:color w:val="55565A"/>
              </w:rPr>
              <w:t>282</w:t>
            </w:r>
          </w:p>
        </w:tc>
        <w:tc>
          <w:tcPr>
            <w:tcW w:w="800" w:type="dxa"/>
            <w:vAlign w:val="bottom"/>
            <w:tcBorders>
              <w:bottom w:val="single" w:sz="8" w:color="88888B"/>
            </w:tcBorders>
          </w:tcPr>
          <w:p>
            <w:pPr>
              <w:jc w:val="right"/>
              <w:ind w:right="49"/>
              <w:spacing w:after="0" w:line="154" w:lineRule="exact"/>
              <w:rPr>
                <w:sz w:val="20"/>
                <w:szCs w:val="20"/>
                <w:color w:val="auto"/>
              </w:rPr>
            </w:pPr>
            <w:r>
              <w:rPr>
                <w:rFonts w:ascii="Arial" w:cs="Arial" w:eastAsia="Arial" w:hAnsi="Arial"/>
                <w:sz w:val="14"/>
                <w:szCs w:val="14"/>
                <w:b w:val="1"/>
                <w:bCs w:val="1"/>
                <w:color w:val="55565A"/>
              </w:rPr>
              <w:t>210</w:t>
            </w:r>
          </w:p>
        </w:tc>
        <w:tc>
          <w:tcPr>
            <w:tcW w:w="740" w:type="dxa"/>
            <w:vAlign w:val="bottom"/>
            <w:tcBorders>
              <w:bottom w:val="single" w:sz="8" w:color="88888B"/>
            </w:tcBorders>
          </w:tcPr>
          <w:p>
            <w:pPr>
              <w:jc w:val="right"/>
              <w:ind w:right="229"/>
              <w:spacing w:after="0" w:line="154" w:lineRule="exact"/>
              <w:rPr>
                <w:sz w:val="20"/>
                <w:szCs w:val="20"/>
                <w:color w:val="auto"/>
              </w:rPr>
            </w:pPr>
            <w:r>
              <w:rPr>
                <w:rFonts w:ascii="Arial" w:cs="Arial" w:eastAsia="Arial" w:hAnsi="Arial"/>
                <w:sz w:val="14"/>
                <w:szCs w:val="14"/>
                <w:color w:val="55565A"/>
              </w:rPr>
              <w:t>175</w:t>
            </w:r>
          </w:p>
        </w:tc>
        <w:tc>
          <w:tcPr>
            <w:tcW w:w="440" w:type="dxa"/>
            <w:vAlign w:val="bottom"/>
            <w:tcBorders>
              <w:bottom w:val="single" w:sz="8" w:color="88888B"/>
            </w:tcBorders>
          </w:tcPr>
          <w:p>
            <w:pPr>
              <w:jc w:val="right"/>
              <w:spacing w:after="0" w:line="154" w:lineRule="exact"/>
              <w:rPr>
                <w:sz w:val="20"/>
                <w:szCs w:val="20"/>
                <w:color w:val="auto"/>
              </w:rPr>
            </w:pPr>
            <w:r>
              <w:rPr>
                <w:rFonts w:ascii="Arial" w:cs="Arial" w:eastAsia="Arial" w:hAnsi="Arial"/>
                <w:sz w:val="14"/>
                <w:szCs w:val="14"/>
                <w:b w:val="1"/>
                <w:bCs w:val="1"/>
                <w:color w:val="55565A"/>
              </w:rPr>
              <w:t>124</w:t>
            </w:r>
          </w:p>
        </w:tc>
        <w:tc>
          <w:tcPr>
            <w:tcW w:w="460" w:type="dxa"/>
            <w:vAlign w:val="bottom"/>
            <w:tcBorders>
              <w:bottom w:val="single" w:sz="8" w:color="88888B"/>
            </w:tcBorders>
          </w:tcPr>
          <w:p>
            <w:pPr>
              <w:jc w:val="right"/>
              <w:ind w:right="9"/>
              <w:spacing w:after="0" w:line="154" w:lineRule="exact"/>
              <w:rPr>
                <w:sz w:val="20"/>
                <w:szCs w:val="20"/>
                <w:color w:val="auto"/>
              </w:rPr>
            </w:pPr>
            <w:r>
              <w:rPr>
                <w:rFonts w:ascii="Arial" w:cs="Arial" w:eastAsia="Arial" w:hAnsi="Arial"/>
                <w:sz w:val="14"/>
                <w:szCs w:val="14"/>
                <w:color w:val="55565A"/>
              </w:rPr>
              <w:t>138</w:t>
            </w:r>
          </w:p>
        </w:tc>
        <w:tc>
          <w:tcPr>
            <w:tcW w:w="200" w:type="dxa"/>
            <w:vAlign w:val="bottom"/>
            <w:tcBorders>
              <w:bottom w:val="single" w:sz="8" w:color="88888B"/>
            </w:tcBorders>
          </w:tcPr>
          <w:p>
            <w:pPr>
              <w:spacing w:after="0"/>
              <w:rPr>
                <w:sz w:val="13"/>
                <w:szCs w:val="13"/>
                <w:color w:val="auto"/>
              </w:rPr>
            </w:pPr>
          </w:p>
        </w:tc>
        <w:tc>
          <w:tcPr>
            <w:tcW w:w="560" w:type="dxa"/>
            <w:vAlign w:val="bottom"/>
            <w:tcBorders>
              <w:bottom w:val="single" w:sz="8" w:color="88888B"/>
            </w:tcBorders>
          </w:tcPr>
          <w:p>
            <w:pPr>
              <w:jc w:val="right"/>
              <w:ind w:right="49"/>
              <w:spacing w:after="0" w:line="154" w:lineRule="exact"/>
              <w:rPr>
                <w:sz w:val="20"/>
                <w:szCs w:val="20"/>
                <w:color w:val="auto"/>
              </w:rPr>
            </w:pPr>
            <w:r>
              <w:rPr>
                <w:rFonts w:ascii="Arial" w:cs="Arial" w:eastAsia="Arial" w:hAnsi="Arial"/>
                <w:sz w:val="14"/>
                <w:szCs w:val="14"/>
                <w:b w:val="1"/>
                <w:bCs w:val="1"/>
                <w:color w:val="55565A"/>
              </w:rPr>
              <w:t>(5)</w:t>
            </w:r>
          </w:p>
        </w:tc>
        <w:tc>
          <w:tcPr>
            <w:tcW w:w="520" w:type="dxa"/>
            <w:vAlign w:val="bottom"/>
            <w:tcBorders>
              <w:bottom w:val="single" w:sz="8" w:color="88888B"/>
            </w:tcBorders>
          </w:tcPr>
          <w:p>
            <w:pPr>
              <w:jc w:val="right"/>
              <w:ind w:right="9"/>
              <w:spacing w:after="0" w:line="154" w:lineRule="exact"/>
              <w:rPr>
                <w:sz w:val="20"/>
                <w:szCs w:val="20"/>
                <w:color w:val="auto"/>
              </w:rPr>
            </w:pPr>
            <w:r>
              <w:rPr>
                <w:rFonts w:ascii="Arial" w:cs="Arial" w:eastAsia="Arial" w:hAnsi="Arial"/>
                <w:sz w:val="14"/>
                <w:szCs w:val="14"/>
                <w:color w:val="55565A"/>
              </w:rPr>
              <w:t>(6)</w:t>
            </w:r>
          </w:p>
        </w:tc>
        <w:tc>
          <w:tcPr>
            <w:tcW w:w="740" w:type="dxa"/>
            <w:vAlign w:val="bottom"/>
            <w:tcBorders>
              <w:bottom w:val="single" w:sz="8" w:color="88888B"/>
            </w:tcBorders>
          </w:tcPr>
          <w:p>
            <w:pPr>
              <w:jc w:val="right"/>
              <w:ind w:right="9"/>
              <w:spacing w:after="0" w:line="154" w:lineRule="exact"/>
              <w:rPr>
                <w:sz w:val="20"/>
                <w:szCs w:val="20"/>
                <w:color w:val="auto"/>
              </w:rPr>
            </w:pPr>
            <w:r>
              <w:rPr>
                <w:rFonts w:ascii="Arial" w:cs="Arial" w:eastAsia="Arial" w:hAnsi="Arial"/>
                <w:sz w:val="14"/>
                <w:szCs w:val="14"/>
                <w:b w:val="1"/>
                <w:bCs w:val="1"/>
                <w:color w:val="55565A"/>
              </w:rPr>
              <w:t>1,885</w:t>
            </w:r>
          </w:p>
        </w:tc>
        <w:tc>
          <w:tcPr>
            <w:tcW w:w="740" w:type="dxa"/>
            <w:vAlign w:val="bottom"/>
            <w:tcBorders>
              <w:bottom w:val="single" w:sz="8" w:color="88888B"/>
            </w:tcBorders>
          </w:tcPr>
          <w:p>
            <w:pPr>
              <w:jc w:val="right"/>
              <w:ind w:right="229"/>
              <w:spacing w:after="0" w:line="154" w:lineRule="exact"/>
              <w:rPr>
                <w:sz w:val="20"/>
                <w:szCs w:val="20"/>
                <w:color w:val="auto"/>
              </w:rPr>
            </w:pPr>
            <w:r>
              <w:rPr>
                <w:rFonts w:ascii="Arial" w:cs="Arial" w:eastAsia="Arial" w:hAnsi="Arial"/>
                <w:sz w:val="14"/>
                <w:szCs w:val="14"/>
                <w:color w:val="55565A"/>
              </w:rPr>
              <w:t>1,738</w:t>
            </w:r>
          </w:p>
        </w:tc>
        <w:tc>
          <w:tcPr>
            <w:tcW w:w="0" w:type="dxa"/>
            <w:vAlign w:val="bottom"/>
          </w:tcPr>
          <w:p>
            <w:pPr>
              <w:spacing w:after="0"/>
              <w:rPr>
                <w:sz w:val="1"/>
                <w:szCs w:val="1"/>
                <w:color w:val="auto"/>
              </w:rPr>
            </w:pPr>
          </w:p>
        </w:tc>
      </w:tr>
      <w:tr>
        <w:trPr>
          <w:trHeight w:val="346"/>
        </w:trPr>
        <w:tc>
          <w:tcPr>
            <w:tcW w:w="2160" w:type="dxa"/>
            <w:vAlign w:val="bottom"/>
            <w:gridSpan w:val="2"/>
          </w:tcPr>
          <w:p>
            <w:pPr>
              <w:spacing w:after="0"/>
              <w:rPr>
                <w:sz w:val="20"/>
                <w:szCs w:val="20"/>
                <w:color w:val="auto"/>
              </w:rPr>
            </w:pPr>
            <w:r>
              <w:rPr>
                <w:rFonts w:ascii="Arial" w:cs="Arial" w:eastAsia="Arial" w:hAnsi="Arial"/>
                <w:sz w:val="14"/>
                <w:szCs w:val="14"/>
                <w:b w:val="1"/>
                <w:bCs w:val="1"/>
                <w:color w:val="55565A"/>
              </w:rPr>
              <w:t>Revenues by geography</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55565A"/>
                <w:w w:val="99"/>
              </w:rPr>
              <w:t>Tax &amp;</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160" w:type="dxa"/>
            <w:vAlign w:val="bottom"/>
            <w:gridSpan w:val="2"/>
          </w:tcPr>
          <w:p>
            <w:pPr>
              <w:spacing w:after="0"/>
              <w:rPr>
                <w:sz w:val="20"/>
                <w:szCs w:val="20"/>
                <w:color w:val="auto"/>
              </w:rPr>
            </w:pPr>
            <w:r>
              <w:rPr>
                <w:rFonts w:ascii="Arial" w:cs="Arial" w:eastAsia="Arial" w:hAnsi="Arial"/>
                <w:sz w:val="14"/>
                <w:szCs w:val="14"/>
                <w:b w:val="1"/>
                <w:bCs w:val="1"/>
                <w:color w:val="55565A"/>
              </w:rPr>
              <w:t>(country of destination)</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55565A"/>
              </w:rPr>
              <w:t>Legal</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55565A"/>
              </w:rPr>
              <w:t>Accounting</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55565A"/>
              </w:rPr>
              <w:t>Global</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55565A"/>
              </w:rPr>
              <w:t>Eliminations/</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160" w:type="dxa"/>
            <w:vAlign w:val="bottom"/>
            <w:gridSpan w:val="2"/>
          </w:tcPr>
          <w:p>
            <w:pPr>
              <w:spacing w:after="0"/>
              <w:rPr>
                <w:sz w:val="20"/>
                <w:szCs w:val="20"/>
                <w:color w:val="auto"/>
              </w:rPr>
            </w:pPr>
            <w:r>
              <w:rPr>
                <w:rFonts w:ascii="Arial" w:cs="Arial" w:eastAsia="Arial" w:hAnsi="Arial"/>
                <w:sz w:val="14"/>
                <w:szCs w:val="14"/>
                <w:b w:val="1"/>
                <w:bCs w:val="1"/>
                <w:color w:val="55565A"/>
              </w:rPr>
              <w:t>Three months ended</w:t>
            </w:r>
          </w:p>
        </w:tc>
        <w:tc>
          <w:tcPr>
            <w:tcW w:w="1100" w:type="dxa"/>
            <w:vAlign w:val="bottom"/>
            <w:tcBorders>
              <w:top w:val="single" w:sz="8" w:color="88888B"/>
              <w:bottom w:val="single" w:sz="8" w:color="88888B"/>
            </w:tcBorders>
            <w:gridSpan w:val="2"/>
          </w:tcPr>
          <w:p>
            <w:pPr>
              <w:jc w:val="center"/>
              <w:spacing w:after="0"/>
              <w:rPr>
                <w:sz w:val="20"/>
                <w:szCs w:val="20"/>
                <w:color w:val="auto"/>
              </w:rPr>
            </w:pPr>
            <w:r>
              <w:rPr>
                <w:rFonts w:ascii="Arial" w:cs="Arial" w:eastAsia="Arial" w:hAnsi="Arial"/>
                <w:sz w:val="14"/>
                <w:szCs w:val="14"/>
                <w:b w:val="1"/>
                <w:bCs w:val="1"/>
                <w:color w:val="55565A"/>
              </w:rPr>
              <w:t>Professionals</w:t>
            </w:r>
          </w:p>
        </w:tc>
        <w:tc>
          <w:tcPr>
            <w:tcW w:w="1360" w:type="dxa"/>
            <w:vAlign w:val="bottom"/>
            <w:tcBorders>
              <w:bottom w:val="single" w:sz="8" w:color="88888B"/>
            </w:tcBorders>
            <w:gridSpan w:val="2"/>
          </w:tcPr>
          <w:p>
            <w:pPr>
              <w:jc w:val="right"/>
              <w:ind w:right="249"/>
              <w:spacing w:after="0"/>
              <w:rPr>
                <w:sz w:val="20"/>
                <w:szCs w:val="20"/>
                <w:color w:val="auto"/>
              </w:rPr>
            </w:pPr>
            <w:r>
              <w:rPr>
                <w:rFonts w:ascii="Arial" w:cs="Arial" w:eastAsia="Arial" w:hAnsi="Arial"/>
                <w:sz w:val="14"/>
                <w:szCs w:val="14"/>
                <w:b w:val="1"/>
                <w:bCs w:val="1"/>
                <w:color w:val="55565A"/>
              </w:rPr>
              <w:t>Corporates</w:t>
            </w:r>
          </w:p>
        </w:tc>
        <w:tc>
          <w:tcPr>
            <w:tcW w:w="1100" w:type="dxa"/>
            <w:vAlign w:val="bottom"/>
            <w:tcBorders>
              <w:top w:val="single" w:sz="8" w:color="88888B"/>
              <w:bottom w:val="single" w:sz="8" w:color="88888B"/>
            </w:tcBorders>
            <w:gridSpan w:val="2"/>
          </w:tcPr>
          <w:p>
            <w:pPr>
              <w:jc w:val="center"/>
              <w:spacing w:after="0"/>
              <w:rPr>
                <w:sz w:val="20"/>
                <w:szCs w:val="20"/>
                <w:color w:val="auto"/>
              </w:rPr>
            </w:pPr>
            <w:r>
              <w:rPr>
                <w:rFonts w:ascii="Arial" w:cs="Arial" w:eastAsia="Arial" w:hAnsi="Arial"/>
                <w:sz w:val="14"/>
                <w:szCs w:val="14"/>
                <w:b w:val="1"/>
                <w:bCs w:val="1"/>
                <w:color w:val="55565A"/>
              </w:rPr>
              <w:t>Professionals</w:t>
            </w:r>
          </w:p>
        </w:tc>
        <w:tc>
          <w:tcPr>
            <w:tcW w:w="1540" w:type="dxa"/>
            <w:vAlign w:val="bottom"/>
            <w:tcBorders>
              <w:bottom w:val="single" w:sz="8" w:color="88888B"/>
            </w:tcBorders>
            <w:gridSpan w:val="2"/>
          </w:tcPr>
          <w:p>
            <w:pPr>
              <w:jc w:val="right"/>
              <w:ind w:right="249"/>
              <w:spacing w:after="0"/>
              <w:rPr>
                <w:sz w:val="20"/>
                <w:szCs w:val="20"/>
                <w:color w:val="auto"/>
              </w:rPr>
            </w:pPr>
            <w:r>
              <w:rPr>
                <w:rFonts w:ascii="Arial" w:cs="Arial" w:eastAsia="Arial" w:hAnsi="Arial"/>
                <w:sz w:val="14"/>
                <w:szCs w:val="14"/>
                <w:b w:val="1"/>
                <w:bCs w:val="1"/>
                <w:color w:val="55565A"/>
              </w:rPr>
              <w:t>Reuters News</w:t>
            </w:r>
          </w:p>
        </w:tc>
        <w:tc>
          <w:tcPr>
            <w:tcW w:w="900" w:type="dxa"/>
            <w:vAlign w:val="bottom"/>
            <w:tcBorders>
              <w:top w:val="single" w:sz="8" w:color="88888B"/>
              <w:bottom w:val="single" w:sz="8" w:color="88888B"/>
            </w:tcBorders>
            <w:gridSpan w:val="2"/>
          </w:tcPr>
          <w:p>
            <w:pPr>
              <w:jc w:val="center"/>
              <w:spacing w:after="0"/>
              <w:rPr>
                <w:sz w:val="20"/>
                <w:szCs w:val="20"/>
                <w:color w:val="auto"/>
              </w:rPr>
            </w:pPr>
            <w:r>
              <w:rPr>
                <w:rFonts w:ascii="Arial" w:cs="Arial" w:eastAsia="Arial" w:hAnsi="Arial"/>
                <w:sz w:val="14"/>
                <w:szCs w:val="14"/>
                <w:b w:val="1"/>
                <w:bCs w:val="1"/>
                <w:color w:val="55565A"/>
              </w:rPr>
              <w:t>Print</w:t>
            </w:r>
          </w:p>
        </w:tc>
        <w:tc>
          <w:tcPr>
            <w:tcW w:w="200" w:type="dxa"/>
            <w:vAlign w:val="bottom"/>
            <w:tcBorders>
              <w:bottom w:val="single" w:sz="8" w:color="88888B"/>
            </w:tcBorders>
          </w:tcPr>
          <w:p>
            <w:pPr>
              <w:spacing w:after="0"/>
              <w:rPr>
                <w:sz w:val="17"/>
                <w:szCs w:val="17"/>
                <w:color w:val="auto"/>
              </w:rPr>
            </w:pPr>
          </w:p>
        </w:tc>
        <w:tc>
          <w:tcPr>
            <w:tcW w:w="1080" w:type="dxa"/>
            <w:vAlign w:val="bottom"/>
            <w:tcBorders>
              <w:top w:val="single" w:sz="8" w:color="88888B"/>
              <w:bottom w:val="single" w:sz="8" w:color="88888B"/>
            </w:tcBorders>
            <w:gridSpan w:val="2"/>
          </w:tcPr>
          <w:p>
            <w:pPr>
              <w:jc w:val="center"/>
              <w:spacing w:after="0"/>
              <w:rPr>
                <w:sz w:val="20"/>
                <w:szCs w:val="20"/>
                <w:color w:val="auto"/>
              </w:rPr>
            </w:pPr>
            <w:r>
              <w:rPr>
                <w:rFonts w:ascii="Arial" w:cs="Arial" w:eastAsia="Arial" w:hAnsi="Arial"/>
                <w:sz w:val="14"/>
                <w:szCs w:val="14"/>
                <w:b w:val="1"/>
                <w:bCs w:val="1"/>
                <w:color w:val="55565A"/>
              </w:rPr>
              <w:t>Rounding</w:t>
            </w:r>
          </w:p>
        </w:tc>
        <w:tc>
          <w:tcPr>
            <w:tcW w:w="1480" w:type="dxa"/>
            <w:vAlign w:val="bottom"/>
            <w:tcBorders>
              <w:bottom w:val="single" w:sz="8" w:color="88888B"/>
            </w:tcBorders>
            <w:gridSpan w:val="2"/>
          </w:tcPr>
          <w:p>
            <w:pPr>
              <w:jc w:val="right"/>
              <w:ind w:right="509"/>
              <w:spacing w:after="0"/>
              <w:rPr>
                <w:sz w:val="20"/>
                <w:szCs w:val="20"/>
                <w:color w:val="auto"/>
              </w:rPr>
            </w:pPr>
            <w:r>
              <w:rPr>
                <w:rFonts w:ascii="Arial" w:cs="Arial" w:eastAsia="Arial" w:hAnsi="Arial"/>
                <w:sz w:val="14"/>
                <w:szCs w:val="14"/>
                <w:b w:val="1"/>
                <w:bCs w:val="1"/>
                <w:color w:val="55565A"/>
              </w:rPr>
              <w:t>Total</w:t>
            </w:r>
          </w:p>
        </w:tc>
        <w:tc>
          <w:tcPr>
            <w:tcW w:w="0" w:type="dxa"/>
            <w:vAlign w:val="bottom"/>
          </w:tcPr>
          <w:p>
            <w:pPr>
              <w:spacing w:after="0"/>
              <w:rPr>
                <w:sz w:val="1"/>
                <w:szCs w:val="1"/>
                <w:color w:val="auto"/>
              </w:rPr>
            </w:pPr>
          </w:p>
        </w:tc>
      </w:tr>
      <w:tr>
        <w:trPr>
          <w:trHeight w:val="207"/>
        </w:trPr>
        <w:tc>
          <w:tcPr>
            <w:tcW w:w="2160" w:type="dxa"/>
            <w:vAlign w:val="bottom"/>
            <w:gridSpan w:val="2"/>
          </w:tcPr>
          <w:p>
            <w:pPr>
              <w:spacing w:after="0"/>
              <w:rPr>
                <w:sz w:val="20"/>
                <w:szCs w:val="20"/>
                <w:color w:val="auto"/>
              </w:rPr>
            </w:pPr>
            <w:r>
              <w:rPr>
                <w:rFonts w:ascii="Arial" w:cs="Arial" w:eastAsia="Arial" w:hAnsi="Arial"/>
                <w:sz w:val="14"/>
                <w:szCs w:val="14"/>
                <w:b w:val="1"/>
                <w:bCs w:val="1"/>
                <w:color w:val="55565A"/>
              </w:rPr>
              <w:t>March 31,</w:t>
            </w: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5565A"/>
              </w:rPr>
              <w:t>2024</w:t>
            </w:r>
          </w:p>
        </w:tc>
        <w:tc>
          <w:tcPr>
            <w:tcW w:w="520" w:type="dxa"/>
            <w:vAlign w:val="bottom"/>
          </w:tcPr>
          <w:p>
            <w:pPr>
              <w:jc w:val="right"/>
              <w:ind w:right="9"/>
              <w:spacing w:after="0"/>
              <w:rPr>
                <w:sz w:val="20"/>
                <w:szCs w:val="20"/>
                <w:color w:val="auto"/>
              </w:rPr>
            </w:pPr>
            <w:r>
              <w:rPr>
                <w:rFonts w:ascii="Arial" w:cs="Arial" w:eastAsia="Arial" w:hAnsi="Arial"/>
                <w:sz w:val="14"/>
                <w:szCs w:val="14"/>
                <w:b w:val="1"/>
                <w:bCs w:val="1"/>
                <w:color w:val="55565A"/>
              </w:rPr>
              <w:t>2023</w:t>
            </w: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55565A"/>
              </w:rPr>
              <w:t>2024</w:t>
            </w:r>
          </w:p>
        </w:tc>
        <w:tc>
          <w:tcPr>
            <w:tcW w:w="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2023</w:t>
            </w: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5565A"/>
              </w:rPr>
              <w:t>2024</w:t>
            </w:r>
          </w:p>
        </w:tc>
        <w:tc>
          <w:tcPr>
            <w:tcW w:w="520" w:type="dxa"/>
            <w:vAlign w:val="bottom"/>
          </w:tcPr>
          <w:p>
            <w:pPr>
              <w:jc w:val="right"/>
              <w:ind w:right="9"/>
              <w:spacing w:after="0"/>
              <w:rPr>
                <w:sz w:val="20"/>
                <w:szCs w:val="20"/>
                <w:color w:val="auto"/>
              </w:rPr>
            </w:pPr>
            <w:r>
              <w:rPr>
                <w:rFonts w:ascii="Arial" w:cs="Arial" w:eastAsia="Arial" w:hAnsi="Arial"/>
                <w:sz w:val="14"/>
                <w:szCs w:val="14"/>
                <w:b w:val="1"/>
                <w:bCs w:val="1"/>
                <w:color w:val="55565A"/>
              </w:rPr>
              <w:t>2023</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55565A"/>
              </w:rPr>
              <w:t>2024</w:t>
            </w:r>
          </w:p>
        </w:tc>
        <w:tc>
          <w:tcPr>
            <w:tcW w:w="740" w:type="dxa"/>
            <w:vAlign w:val="bottom"/>
          </w:tcPr>
          <w:p>
            <w:pPr>
              <w:jc w:val="right"/>
              <w:ind w:right="229"/>
              <w:spacing w:after="0"/>
              <w:rPr>
                <w:sz w:val="20"/>
                <w:szCs w:val="20"/>
                <w:color w:val="auto"/>
              </w:rPr>
            </w:pPr>
            <w:r>
              <w:rPr>
                <w:rFonts w:ascii="Arial" w:cs="Arial" w:eastAsia="Arial" w:hAnsi="Arial"/>
                <w:sz w:val="14"/>
                <w:szCs w:val="14"/>
                <w:b w:val="1"/>
                <w:bCs w:val="1"/>
                <w:color w:val="55565A"/>
              </w:rPr>
              <w:t>2023</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55565A"/>
              </w:rPr>
              <w:t>2024</w:t>
            </w:r>
          </w:p>
        </w:tc>
        <w:tc>
          <w:tcPr>
            <w:tcW w:w="460" w:type="dxa"/>
            <w:vAlign w:val="bottom"/>
          </w:tcPr>
          <w:p>
            <w:pPr>
              <w:jc w:val="right"/>
              <w:ind w:right="9"/>
              <w:spacing w:after="0"/>
              <w:rPr>
                <w:sz w:val="20"/>
                <w:szCs w:val="20"/>
                <w:color w:val="auto"/>
              </w:rPr>
            </w:pPr>
            <w:r>
              <w:rPr>
                <w:rFonts w:ascii="Arial" w:cs="Arial" w:eastAsia="Arial" w:hAnsi="Arial"/>
                <w:sz w:val="14"/>
                <w:szCs w:val="14"/>
                <w:b w:val="1"/>
                <w:bCs w:val="1"/>
                <w:color w:val="55565A"/>
              </w:rPr>
              <w:t>2023</w:t>
            </w:r>
          </w:p>
        </w:tc>
        <w:tc>
          <w:tcPr>
            <w:tcW w:w="200" w:type="dxa"/>
            <w:vAlign w:val="bottom"/>
          </w:tcPr>
          <w:p>
            <w:pPr>
              <w:spacing w:after="0"/>
              <w:rPr>
                <w:sz w:val="18"/>
                <w:szCs w:val="18"/>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b w:val="1"/>
                <w:bCs w:val="1"/>
                <w:color w:val="55565A"/>
              </w:rPr>
              <w:t>2024</w:t>
            </w:r>
          </w:p>
        </w:tc>
        <w:tc>
          <w:tcPr>
            <w:tcW w:w="520" w:type="dxa"/>
            <w:vAlign w:val="bottom"/>
          </w:tcPr>
          <w:p>
            <w:pPr>
              <w:jc w:val="right"/>
              <w:ind w:right="9"/>
              <w:spacing w:after="0"/>
              <w:rPr>
                <w:sz w:val="20"/>
                <w:szCs w:val="20"/>
                <w:color w:val="auto"/>
              </w:rPr>
            </w:pPr>
            <w:r>
              <w:rPr>
                <w:rFonts w:ascii="Arial" w:cs="Arial" w:eastAsia="Arial" w:hAnsi="Arial"/>
                <w:sz w:val="14"/>
                <w:szCs w:val="14"/>
                <w:b w:val="1"/>
                <w:bCs w:val="1"/>
                <w:color w:val="55565A"/>
              </w:rPr>
              <w:t>2023</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55565A"/>
              </w:rPr>
              <w:t>2024</w:t>
            </w:r>
          </w:p>
        </w:tc>
        <w:tc>
          <w:tcPr>
            <w:tcW w:w="740" w:type="dxa"/>
            <w:vAlign w:val="bottom"/>
          </w:tcPr>
          <w:p>
            <w:pPr>
              <w:jc w:val="right"/>
              <w:ind w:right="229"/>
              <w:spacing w:after="0"/>
              <w:rPr>
                <w:sz w:val="20"/>
                <w:szCs w:val="20"/>
                <w:color w:val="auto"/>
              </w:rPr>
            </w:pPr>
            <w:r>
              <w:rPr>
                <w:rFonts w:ascii="Arial" w:cs="Arial" w:eastAsia="Arial" w:hAnsi="Arial"/>
                <w:sz w:val="14"/>
                <w:szCs w:val="14"/>
                <w:b w:val="1"/>
                <w:bCs w:val="1"/>
                <w:color w:val="55565A"/>
              </w:rPr>
              <w:t>2023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40" w:type="dxa"/>
            <w:vAlign w:val="bottom"/>
            <w:tcBorders>
              <w:top w:val="single" w:sz="8" w:color="88888B"/>
            </w:tcBorders>
            <w:shd w:val="clear" w:color="auto" w:fill="CCEEFF"/>
          </w:tcPr>
          <w:p>
            <w:pPr>
              <w:spacing w:after="0"/>
              <w:rPr>
                <w:sz w:val="20"/>
                <w:szCs w:val="20"/>
                <w:color w:val="auto"/>
              </w:rPr>
            </w:pPr>
            <w:r>
              <w:rPr>
                <w:rFonts w:ascii="Arial" w:cs="Arial" w:eastAsia="Arial" w:hAnsi="Arial"/>
                <w:sz w:val="14"/>
                <w:szCs w:val="14"/>
                <w:color w:val="55565A"/>
              </w:rPr>
              <w:t>U.S.</w:t>
            </w:r>
          </w:p>
        </w:tc>
        <w:tc>
          <w:tcPr>
            <w:tcW w:w="580" w:type="dxa"/>
            <w:vAlign w:val="bottom"/>
            <w:tcBorders>
              <w:top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586</w:t>
            </w:r>
          </w:p>
        </w:tc>
        <w:tc>
          <w:tcPr>
            <w:tcW w:w="520" w:type="dxa"/>
            <w:vAlign w:val="bottom"/>
            <w:tcBorders>
              <w:top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583</w:t>
            </w:r>
          </w:p>
        </w:tc>
        <w:tc>
          <w:tcPr>
            <w:tcW w:w="680" w:type="dxa"/>
            <w:vAlign w:val="bottom"/>
            <w:tcBorders>
              <w:top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391</w:t>
            </w:r>
          </w:p>
        </w:tc>
        <w:tc>
          <w:tcPr>
            <w:tcW w:w="680" w:type="dxa"/>
            <w:vAlign w:val="bottom"/>
            <w:tcBorders>
              <w:top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351</w:t>
            </w:r>
          </w:p>
        </w:tc>
        <w:tc>
          <w:tcPr>
            <w:tcW w:w="580" w:type="dxa"/>
            <w:vAlign w:val="bottom"/>
            <w:tcBorders>
              <w:top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265</w:t>
            </w:r>
          </w:p>
        </w:tc>
        <w:tc>
          <w:tcPr>
            <w:tcW w:w="520" w:type="dxa"/>
            <w:vAlign w:val="bottom"/>
            <w:tcBorders>
              <w:top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227</w:t>
            </w:r>
          </w:p>
        </w:tc>
        <w:tc>
          <w:tcPr>
            <w:tcW w:w="800" w:type="dxa"/>
            <w:vAlign w:val="bottom"/>
            <w:tcBorders>
              <w:top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62</w:t>
            </w:r>
          </w:p>
        </w:tc>
        <w:tc>
          <w:tcPr>
            <w:tcW w:w="740" w:type="dxa"/>
            <w:vAlign w:val="bottom"/>
            <w:tcBorders>
              <w:top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30</w:t>
            </w:r>
          </w:p>
        </w:tc>
        <w:tc>
          <w:tcPr>
            <w:tcW w:w="440" w:type="dxa"/>
            <w:vAlign w:val="bottom"/>
            <w:tcBorders>
              <w:top w:val="single" w:sz="8" w:color="88888B"/>
            </w:tcBorders>
            <w:shd w:val="clear" w:color="auto" w:fill="CCEEFF"/>
          </w:tcPr>
          <w:p>
            <w:pPr>
              <w:jc w:val="right"/>
              <w:spacing w:after="0"/>
              <w:rPr>
                <w:sz w:val="20"/>
                <w:szCs w:val="20"/>
                <w:color w:val="auto"/>
              </w:rPr>
            </w:pPr>
            <w:r>
              <w:rPr>
                <w:rFonts w:ascii="Arial" w:cs="Arial" w:eastAsia="Arial" w:hAnsi="Arial"/>
                <w:sz w:val="14"/>
                <w:szCs w:val="14"/>
                <w:b w:val="1"/>
                <w:bCs w:val="1"/>
                <w:color w:val="55565A"/>
              </w:rPr>
              <w:t>95</w:t>
            </w:r>
          </w:p>
        </w:tc>
        <w:tc>
          <w:tcPr>
            <w:tcW w:w="460" w:type="dxa"/>
            <w:vAlign w:val="bottom"/>
            <w:tcBorders>
              <w:top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105</w:t>
            </w:r>
          </w:p>
        </w:tc>
        <w:tc>
          <w:tcPr>
            <w:tcW w:w="200" w:type="dxa"/>
            <w:vAlign w:val="bottom"/>
            <w:tcBorders>
              <w:top w:val="single" w:sz="8" w:color="88888B"/>
            </w:tcBorders>
            <w:shd w:val="clear" w:color="auto" w:fill="CCEEFF"/>
          </w:tcPr>
          <w:p>
            <w:pPr>
              <w:spacing w:after="0"/>
              <w:rPr>
                <w:sz w:val="18"/>
                <w:szCs w:val="18"/>
                <w:color w:val="auto"/>
              </w:rPr>
            </w:pPr>
          </w:p>
        </w:tc>
        <w:tc>
          <w:tcPr>
            <w:tcW w:w="560" w:type="dxa"/>
            <w:vAlign w:val="bottom"/>
            <w:tcBorders>
              <w:top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(5)</w:t>
            </w:r>
          </w:p>
        </w:tc>
        <w:tc>
          <w:tcPr>
            <w:tcW w:w="520" w:type="dxa"/>
            <w:vAlign w:val="bottom"/>
            <w:tcBorders>
              <w:top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(6)</w:t>
            </w:r>
          </w:p>
        </w:tc>
        <w:tc>
          <w:tcPr>
            <w:tcW w:w="740" w:type="dxa"/>
            <w:vAlign w:val="bottom"/>
            <w:tcBorders>
              <w:top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1,394</w:t>
            </w:r>
          </w:p>
        </w:tc>
        <w:tc>
          <w:tcPr>
            <w:tcW w:w="740" w:type="dxa"/>
            <w:vAlign w:val="bottom"/>
            <w:tcBorders>
              <w:top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1,290</w:t>
            </w:r>
          </w:p>
        </w:tc>
        <w:tc>
          <w:tcPr>
            <w:tcW w:w="0" w:type="dxa"/>
            <w:vAlign w:val="bottom"/>
          </w:tcPr>
          <w:p>
            <w:pPr>
              <w:spacing w:after="0"/>
              <w:rPr>
                <w:sz w:val="1"/>
                <w:szCs w:val="1"/>
                <w:color w:val="auto"/>
              </w:rPr>
            </w:pPr>
          </w:p>
        </w:tc>
      </w:tr>
      <w:tr>
        <w:trPr>
          <w:trHeight w:val="212"/>
        </w:trPr>
        <w:tc>
          <w:tcPr>
            <w:tcW w:w="2160" w:type="dxa"/>
            <w:vAlign w:val="bottom"/>
            <w:gridSpan w:val="2"/>
          </w:tcPr>
          <w:p>
            <w:pPr>
              <w:spacing w:after="0"/>
              <w:rPr>
                <w:sz w:val="20"/>
                <w:szCs w:val="20"/>
                <w:color w:val="auto"/>
              </w:rPr>
            </w:pPr>
            <w:r>
              <w:rPr>
                <w:rFonts w:ascii="Arial" w:cs="Arial" w:eastAsia="Arial" w:hAnsi="Arial"/>
                <w:sz w:val="14"/>
                <w:szCs w:val="14"/>
                <w:color w:val="55565A"/>
              </w:rPr>
              <w:t>Canada (country of domicile)</w:t>
            </w: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5565A"/>
              </w:rPr>
              <w:t>23</w:t>
            </w:r>
          </w:p>
        </w:tc>
        <w:tc>
          <w:tcPr>
            <w:tcW w:w="520" w:type="dxa"/>
            <w:vAlign w:val="bottom"/>
          </w:tcPr>
          <w:p>
            <w:pPr>
              <w:jc w:val="right"/>
              <w:ind w:right="9"/>
              <w:spacing w:after="0"/>
              <w:rPr>
                <w:sz w:val="20"/>
                <w:szCs w:val="20"/>
                <w:color w:val="auto"/>
              </w:rPr>
            </w:pPr>
            <w:r>
              <w:rPr>
                <w:rFonts w:ascii="Arial" w:cs="Arial" w:eastAsia="Arial" w:hAnsi="Arial"/>
                <w:sz w:val="14"/>
                <w:szCs w:val="14"/>
                <w:color w:val="55565A"/>
              </w:rPr>
              <w:t>20</w:t>
            </w: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55565A"/>
              </w:rPr>
              <w:t>5</w:t>
            </w:r>
          </w:p>
        </w:tc>
        <w:tc>
          <w:tcPr>
            <w:tcW w:w="680" w:type="dxa"/>
            <w:vAlign w:val="bottom"/>
          </w:tcPr>
          <w:p>
            <w:pPr>
              <w:jc w:val="right"/>
              <w:ind w:right="229"/>
              <w:spacing w:after="0"/>
              <w:rPr>
                <w:sz w:val="20"/>
                <w:szCs w:val="20"/>
                <w:color w:val="auto"/>
              </w:rPr>
            </w:pPr>
            <w:r>
              <w:rPr>
                <w:rFonts w:ascii="Arial" w:cs="Arial" w:eastAsia="Arial" w:hAnsi="Arial"/>
                <w:sz w:val="14"/>
                <w:szCs w:val="14"/>
                <w:color w:val="55565A"/>
              </w:rPr>
              <w:t>4</w:t>
            </w: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5565A"/>
              </w:rPr>
              <w:t>13</w:t>
            </w:r>
          </w:p>
        </w:tc>
        <w:tc>
          <w:tcPr>
            <w:tcW w:w="520" w:type="dxa"/>
            <w:vAlign w:val="bottom"/>
          </w:tcPr>
          <w:p>
            <w:pPr>
              <w:jc w:val="right"/>
              <w:ind w:right="9"/>
              <w:spacing w:after="0"/>
              <w:rPr>
                <w:sz w:val="20"/>
                <w:szCs w:val="20"/>
                <w:color w:val="auto"/>
              </w:rPr>
            </w:pPr>
            <w:r>
              <w:rPr>
                <w:rFonts w:ascii="Arial" w:cs="Arial" w:eastAsia="Arial" w:hAnsi="Arial"/>
                <w:sz w:val="14"/>
                <w:szCs w:val="14"/>
                <w:color w:val="55565A"/>
              </w:rPr>
              <w:t>12</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55565A"/>
              </w:rPr>
              <w:t>1</w:t>
            </w:r>
          </w:p>
        </w:tc>
        <w:tc>
          <w:tcPr>
            <w:tcW w:w="740" w:type="dxa"/>
            <w:vAlign w:val="bottom"/>
          </w:tcPr>
          <w:p>
            <w:pPr>
              <w:jc w:val="right"/>
              <w:ind w:right="229"/>
              <w:spacing w:after="0"/>
              <w:rPr>
                <w:sz w:val="20"/>
                <w:szCs w:val="20"/>
                <w:color w:val="auto"/>
              </w:rPr>
            </w:pPr>
            <w:r>
              <w:rPr>
                <w:rFonts w:ascii="Arial" w:cs="Arial" w:eastAsia="Arial" w:hAnsi="Arial"/>
                <w:sz w:val="14"/>
                <w:szCs w:val="14"/>
                <w:color w:val="55565A"/>
              </w:rPr>
              <w:t>1</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55565A"/>
              </w:rPr>
              <w:t>10</w:t>
            </w:r>
          </w:p>
        </w:tc>
        <w:tc>
          <w:tcPr>
            <w:tcW w:w="460" w:type="dxa"/>
            <w:vAlign w:val="bottom"/>
          </w:tcPr>
          <w:p>
            <w:pPr>
              <w:jc w:val="right"/>
              <w:ind w:right="9"/>
              <w:spacing w:after="0"/>
              <w:rPr>
                <w:sz w:val="20"/>
                <w:szCs w:val="20"/>
                <w:color w:val="auto"/>
              </w:rPr>
            </w:pPr>
            <w:r>
              <w:rPr>
                <w:rFonts w:ascii="Arial" w:cs="Arial" w:eastAsia="Arial" w:hAnsi="Arial"/>
                <w:sz w:val="14"/>
                <w:szCs w:val="14"/>
                <w:color w:val="55565A"/>
              </w:rPr>
              <w:t>13</w:t>
            </w:r>
          </w:p>
        </w:tc>
        <w:tc>
          <w:tcPr>
            <w:tcW w:w="200" w:type="dxa"/>
            <w:vAlign w:val="bottom"/>
          </w:tcPr>
          <w:p>
            <w:pPr>
              <w:spacing w:after="0"/>
              <w:rPr>
                <w:sz w:val="18"/>
                <w:szCs w:val="18"/>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b w:val="1"/>
                <w:bCs w:val="1"/>
                <w:color w:val="55565A"/>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55565A"/>
              </w:rPr>
              <w:t>–</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55565A"/>
              </w:rPr>
              <w:t>52</w:t>
            </w:r>
          </w:p>
        </w:tc>
        <w:tc>
          <w:tcPr>
            <w:tcW w:w="740" w:type="dxa"/>
            <w:vAlign w:val="bottom"/>
          </w:tcPr>
          <w:p>
            <w:pPr>
              <w:jc w:val="right"/>
              <w:ind w:right="229"/>
              <w:spacing w:after="0"/>
              <w:rPr>
                <w:sz w:val="20"/>
                <w:szCs w:val="20"/>
                <w:color w:val="auto"/>
              </w:rPr>
            </w:pPr>
            <w:r>
              <w:rPr>
                <w:rFonts w:ascii="Arial" w:cs="Arial" w:eastAsia="Arial" w:hAnsi="Arial"/>
                <w:sz w:val="14"/>
                <w:szCs w:val="14"/>
                <w:color w:val="55565A"/>
              </w:rPr>
              <w:t>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Other</w:t>
            </w:r>
          </w:p>
        </w:tc>
        <w:tc>
          <w:tcPr>
            <w:tcW w:w="58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7</w:t>
            </w:r>
          </w:p>
        </w:tc>
        <w:tc>
          <w:tcPr>
            <w:tcW w:w="52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7</w:t>
            </w:r>
          </w:p>
        </w:tc>
        <w:tc>
          <w:tcPr>
            <w:tcW w:w="68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26</w:t>
            </w:r>
          </w:p>
        </w:tc>
        <w:tc>
          <w:tcPr>
            <w:tcW w:w="68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19</w:t>
            </w:r>
          </w:p>
        </w:tc>
        <w:tc>
          <w:tcPr>
            <w:tcW w:w="58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38</w:t>
            </w:r>
          </w:p>
        </w:tc>
        <w:tc>
          <w:tcPr>
            <w:tcW w:w="52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33</w:t>
            </w:r>
          </w:p>
        </w:tc>
        <w:tc>
          <w:tcPr>
            <w:tcW w:w="80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2</w:t>
            </w:r>
          </w:p>
        </w:tc>
        <w:tc>
          <w:tcPr>
            <w:tcW w:w="74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2</w:t>
            </w:r>
          </w:p>
        </w:tc>
        <w:tc>
          <w:tcPr>
            <w:tcW w:w="440" w:type="dxa"/>
            <w:vAlign w:val="bottom"/>
            <w:tcBorders>
              <w:bottom w:val="single" w:sz="8" w:color="88888B"/>
            </w:tcBorders>
            <w:shd w:val="clear" w:color="auto" w:fill="CCEEFF"/>
          </w:tcPr>
          <w:p>
            <w:pPr>
              <w:jc w:val="right"/>
              <w:spacing w:after="0"/>
              <w:rPr>
                <w:sz w:val="20"/>
                <w:szCs w:val="20"/>
                <w:color w:val="auto"/>
              </w:rPr>
            </w:pPr>
            <w:r>
              <w:rPr>
                <w:rFonts w:ascii="Arial" w:cs="Arial" w:eastAsia="Arial" w:hAnsi="Arial"/>
                <w:sz w:val="14"/>
                <w:szCs w:val="14"/>
                <w:b w:val="1"/>
                <w:bCs w:val="1"/>
                <w:color w:val="55565A"/>
              </w:rPr>
              <w:t>3</w:t>
            </w:r>
          </w:p>
        </w:tc>
        <w:tc>
          <w:tcPr>
            <w:tcW w:w="46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4</w:t>
            </w:r>
          </w:p>
        </w:tc>
        <w:tc>
          <w:tcPr>
            <w:tcW w:w="200" w:type="dxa"/>
            <w:vAlign w:val="bottom"/>
            <w:tcBorders>
              <w:bottom w:val="single" w:sz="8" w:color="88888B"/>
            </w:tcBorders>
            <w:shd w:val="clear" w:color="auto" w:fill="CCEEFF"/>
          </w:tcPr>
          <w:p>
            <w:pPr>
              <w:spacing w:after="0"/>
              <w:rPr>
                <w:sz w:val="14"/>
                <w:szCs w:val="14"/>
                <w:color w:val="auto"/>
              </w:rPr>
            </w:pPr>
          </w:p>
        </w:tc>
        <w:tc>
          <w:tcPr>
            <w:tcW w:w="560" w:type="dxa"/>
            <w:vAlign w:val="bottom"/>
            <w:tcBorders>
              <w:bottom w:val="single" w:sz="8" w:color="88888B"/>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52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color w:val="55565A"/>
              </w:rPr>
              <w:t>–</w:t>
            </w:r>
          </w:p>
        </w:tc>
        <w:tc>
          <w:tcPr>
            <w:tcW w:w="74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76</w:t>
            </w:r>
          </w:p>
        </w:tc>
        <w:tc>
          <w:tcPr>
            <w:tcW w:w="74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65</w:t>
            </w:r>
          </w:p>
        </w:tc>
        <w:tc>
          <w:tcPr>
            <w:tcW w:w="0" w:type="dxa"/>
            <w:vAlign w:val="bottom"/>
          </w:tcPr>
          <w:p>
            <w:pPr>
              <w:spacing w:after="0"/>
              <w:rPr>
                <w:sz w:val="1"/>
                <w:szCs w:val="1"/>
                <w:color w:val="auto"/>
              </w:rPr>
            </w:pPr>
          </w:p>
        </w:tc>
      </w:tr>
      <w:tr>
        <w:trPr>
          <w:trHeight w:val="200"/>
        </w:trPr>
        <w:tc>
          <w:tcPr>
            <w:tcW w:w="2160" w:type="dxa"/>
            <w:vAlign w:val="bottom"/>
            <w:gridSpan w:val="2"/>
          </w:tcPr>
          <w:p>
            <w:pPr>
              <w:spacing w:after="0"/>
              <w:rPr>
                <w:sz w:val="20"/>
                <w:szCs w:val="20"/>
                <w:color w:val="auto"/>
              </w:rPr>
            </w:pPr>
            <w:r>
              <w:rPr>
                <w:rFonts w:ascii="Arial" w:cs="Arial" w:eastAsia="Arial" w:hAnsi="Arial"/>
                <w:sz w:val="14"/>
                <w:szCs w:val="14"/>
                <w:color w:val="55565A"/>
              </w:rPr>
              <w:t>Americas (North America, Latin</w:t>
            </w: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140" w:type="dxa"/>
            <w:vAlign w:val="bottom"/>
          </w:tcPr>
          <w:p>
            <w:pPr>
              <w:ind w:left="140"/>
              <w:spacing w:after="0"/>
              <w:rPr>
                <w:sz w:val="20"/>
                <w:szCs w:val="20"/>
                <w:color w:val="auto"/>
              </w:rPr>
            </w:pPr>
            <w:r>
              <w:rPr>
                <w:rFonts w:ascii="Arial" w:cs="Arial" w:eastAsia="Arial" w:hAnsi="Arial"/>
                <w:sz w:val="14"/>
                <w:szCs w:val="14"/>
                <w:color w:val="55565A"/>
              </w:rPr>
              <w:t>America, South America)</w:t>
            </w: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5565A"/>
              </w:rPr>
              <w:t>616</w:t>
            </w:r>
          </w:p>
        </w:tc>
        <w:tc>
          <w:tcPr>
            <w:tcW w:w="520" w:type="dxa"/>
            <w:vAlign w:val="bottom"/>
          </w:tcPr>
          <w:p>
            <w:pPr>
              <w:jc w:val="right"/>
              <w:ind w:right="9"/>
              <w:spacing w:after="0"/>
              <w:rPr>
                <w:sz w:val="20"/>
                <w:szCs w:val="20"/>
                <w:color w:val="auto"/>
              </w:rPr>
            </w:pPr>
            <w:r>
              <w:rPr>
                <w:rFonts w:ascii="Arial" w:cs="Arial" w:eastAsia="Arial" w:hAnsi="Arial"/>
                <w:sz w:val="14"/>
                <w:szCs w:val="14"/>
                <w:color w:val="55565A"/>
              </w:rPr>
              <w:t>610</w:t>
            </w: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55565A"/>
              </w:rPr>
              <w:t>422</w:t>
            </w:r>
          </w:p>
        </w:tc>
        <w:tc>
          <w:tcPr>
            <w:tcW w:w="680" w:type="dxa"/>
            <w:vAlign w:val="bottom"/>
          </w:tcPr>
          <w:p>
            <w:pPr>
              <w:jc w:val="right"/>
              <w:ind w:right="229"/>
              <w:spacing w:after="0"/>
              <w:rPr>
                <w:sz w:val="20"/>
                <w:szCs w:val="20"/>
                <w:color w:val="auto"/>
              </w:rPr>
            </w:pPr>
            <w:r>
              <w:rPr>
                <w:rFonts w:ascii="Arial" w:cs="Arial" w:eastAsia="Arial" w:hAnsi="Arial"/>
                <w:sz w:val="14"/>
                <w:szCs w:val="14"/>
                <w:color w:val="55565A"/>
              </w:rPr>
              <w:t>374</w:t>
            </w: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5565A"/>
              </w:rPr>
              <w:t>316</w:t>
            </w:r>
          </w:p>
        </w:tc>
        <w:tc>
          <w:tcPr>
            <w:tcW w:w="520" w:type="dxa"/>
            <w:vAlign w:val="bottom"/>
          </w:tcPr>
          <w:p>
            <w:pPr>
              <w:jc w:val="right"/>
              <w:ind w:right="9"/>
              <w:spacing w:after="0"/>
              <w:rPr>
                <w:sz w:val="20"/>
                <w:szCs w:val="20"/>
                <w:color w:val="auto"/>
              </w:rPr>
            </w:pPr>
            <w:r>
              <w:rPr>
                <w:rFonts w:ascii="Arial" w:cs="Arial" w:eastAsia="Arial" w:hAnsi="Arial"/>
                <w:sz w:val="14"/>
                <w:szCs w:val="14"/>
                <w:color w:val="55565A"/>
              </w:rPr>
              <w:t>272</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55565A"/>
              </w:rPr>
              <w:t>65</w:t>
            </w:r>
          </w:p>
        </w:tc>
        <w:tc>
          <w:tcPr>
            <w:tcW w:w="740" w:type="dxa"/>
            <w:vAlign w:val="bottom"/>
          </w:tcPr>
          <w:p>
            <w:pPr>
              <w:jc w:val="right"/>
              <w:ind w:right="229"/>
              <w:spacing w:after="0"/>
              <w:rPr>
                <w:sz w:val="20"/>
                <w:szCs w:val="20"/>
                <w:color w:val="auto"/>
              </w:rPr>
            </w:pPr>
            <w:r>
              <w:rPr>
                <w:rFonts w:ascii="Arial" w:cs="Arial" w:eastAsia="Arial" w:hAnsi="Arial"/>
                <w:sz w:val="14"/>
                <w:szCs w:val="14"/>
                <w:color w:val="55565A"/>
              </w:rPr>
              <w:t>33</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55565A"/>
              </w:rPr>
              <w:t>108</w:t>
            </w:r>
          </w:p>
        </w:tc>
        <w:tc>
          <w:tcPr>
            <w:tcW w:w="460" w:type="dxa"/>
            <w:vAlign w:val="bottom"/>
          </w:tcPr>
          <w:p>
            <w:pPr>
              <w:jc w:val="right"/>
              <w:ind w:right="9"/>
              <w:spacing w:after="0"/>
              <w:rPr>
                <w:sz w:val="20"/>
                <w:szCs w:val="20"/>
                <w:color w:val="auto"/>
              </w:rPr>
            </w:pPr>
            <w:r>
              <w:rPr>
                <w:rFonts w:ascii="Arial" w:cs="Arial" w:eastAsia="Arial" w:hAnsi="Arial"/>
                <w:sz w:val="14"/>
                <w:szCs w:val="14"/>
                <w:color w:val="55565A"/>
              </w:rPr>
              <w:t>122</w:t>
            </w:r>
          </w:p>
        </w:tc>
        <w:tc>
          <w:tcPr>
            <w:tcW w:w="200" w:type="dxa"/>
            <w:vAlign w:val="bottom"/>
          </w:tcPr>
          <w:p>
            <w:pPr>
              <w:spacing w:after="0"/>
              <w:rPr>
                <w:sz w:val="19"/>
                <w:szCs w:val="19"/>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b w:val="1"/>
                <w:bCs w:val="1"/>
                <w:color w:val="55565A"/>
              </w:rPr>
              <w:t>(5)</w:t>
            </w:r>
          </w:p>
        </w:tc>
        <w:tc>
          <w:tcPr>
            <w:tcW w:w="520" w:type="dxa"/>
            <w:vAlign w:val="bottom"/>
          </w:tcPr>
          <w:p>
            <w:pPr>
              <w:jc w:val="right"/>
              <w:ind w:right="9"/>
              <w:spacing w:after="0"/>
              <w:rPr>
                <w:sz w:val="20"/>
                <w:szCs w:val="20"/>
                <w:color w:val="auto"/>
              </w:rPr>
            </w:pPr>
            <w:r>
              <w:rPr>
                <w:rFonts w:ascii="Arial" w:cs="Arial" w:eastAsia="Arial" w:hAnsi="Arial"/>
                <w:sz w:val="14"/>
                <w:szCs w:val="14"/>
                <w:color w:val="55565A"/>
              </w:rPr>
              <w:t>(6)</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55565A"/>
              </w:rPr>
              <w:t>1,522</w:t>
            </w:r>
          </w:p>
        </w:tc>
        <w:tc>
          <w:tcPr>
            <w:tcW w:w="740" w:type="dxa"/>
            <w:vAlign w:val="bottom"/>
          </w:tcPr>
          <w:p>
            <w:pPr>
              <w:jc w:val="right"/>
              <w:ind w:right="229"/>
              <w:spacing w:after="0"/>
              <w:rPr>
                <w:sz w:val="20"/>
                <w:szCs w:val="20"/>
                <w:color w:val="auto"/>
              </w:rPr>
            </w:pPr>
            <w:r>
              <w:rPr>
                <w:rFonts w:ascii="Arial" w:cs="Arial" w:eastAsia="Arial" w:hAnsi="Arial"/>
                <w:sz w:val="14"/>
                <w:szCs w:val="14"/>
                <w:color w:val="55565A"/>
              </w:rPr>
              <w:t>1,405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55565A"/>
              </w:rPr>
              <w:t>U.K.</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66</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5565A"/>
              </w:rPr>
              <w:t>68</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34</w:t>
            </w:r>
          </w:p>
        </w:tc>
        <w:tc>
          <w:tcPr>
            <w:tcW w:w="6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29</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7</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5565A"/>
              </w:rPr>
              <w:t>5</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105</w:t>
            </w: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102</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55565A"/>
              </w:rPr>
              <w:t>9</w:t>
            </w: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5565A"/>
              </w:rPr>
              <w:t>8</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5565A"/>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221</w:t>
            </w: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212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4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Other</w:t>
            </w:r>
          </w:p>
        </w:tc>
        <w:tc>
          <w:tcPr>
            <w:tcW w:w="58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b w:val="1"/>
                <w:bCs w:val="1"/>
                <w:color w:val="55565A"/>
              </w:rPr>
              <w:t>10</w:t>
            </w:r>
          </w:p>
        </w:tc>
        <w:tc>
          <w:tcPr>
            <w:tcW w:w="52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color w:val="55565A"/>
              </w:rPr>
              <w:t>9</w:t>
            </w:r>
          </w:p>
        </w:tc>
        <w:tc>
          <w:tcPr>
            <w:tcW w:w="68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b w:val="1"/>
                <w:bCs w:val="1"/>
                <w:color w:val="55565A"/>
              </w:rPr>
              <w:t>35</w:t>
            </w:r>
          </w:p>
        </w:tc>
        <w:tc>
          <w:tcPr>
            <w:tcW w:w="68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17</w:t>
            </w:r>
          </w:p>
        </w:tc>
        <w:tc>
          <w:tcPr>
            <w:tcW w:w="58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b w:val="1"/>
                <w:bCs w:val="1"/>
                <w:color w:val="55565A"/>
              </w:rPr>
              <w:t>1</w:t>
            </w:r>
          </w:p>
        </w:tc>
        <w:tc>
          <w:tcPr>
            <w:tcW w:w="52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color w:val="55565A"/>
              </w:rPr>
              <w:t>–</w:t>
            </w:r>
          </w:p>
        </w:tc>
        <w:tc>
          <w:tcPr>
            <w:tcW w:w="80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b w:val="1"/>
                <w:bCs w:val="1"/>
                <w:color w:val="55565A"/>
              </w:rPr>
              <w:t>28</w:t>
            </w:r>
          </w:p>
        </w:tc>
        <w:tc>
          <w:tcPr>
            <w:tcW w:w="74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27</w:t>
            </w:r>
          </w:p>
        </w:tc>
        <w:tc>
          <w:tcPr>
            <w:tcW w:w="440" w:type="dxa"/>
            <w:vAlign w:val="bottom"/>
            <w:tcBorders>
              <w:bottom w:val="single" w:sz="8" w:color="88888B"/>
            </w:tcBorders>
          </w:tcPr>
          <w:p>
            <w:pPr>
              <w:jc w:val="right"/>
              <w:spacing w:after="0"/>
              <w:rPr>
                <w:sz w:val="20"/>
                <w:szCs w:val="20"/>
                <w:color w:val="auto"/>
              </w:rPr>
            </w:pPr>
            <w:r>
              <w:rPr>
                <w:rFonts w:ascii="Arial" w:cs="Arial" w:eastAsia="Arial" w:hAnsi="Arial"/>
                <w:sz w:val="14"/>
                <w:szCs w:val="14"/>
                <w:b w:val="1"/>
                <w:bCs w:val="1"/>
                <w:color w:val="55565A"/>
              </w:rPr>
              <w:t>1</w:t>
            </w:r>
          </w:p>
        </w:tc>
        <w:tc>
          <w:tcPr>
            <w:tcW w:w="46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color w:val="55565A"/>
              </w:rPr>
              <w:t>1</w:t>
            </w:r>
          </w:p>
        </w:tc>
        <w:tc>
          <w:tcPr>
            <w:tcW w:w="200" w:type="dxa"/>
            <w:vAlign w:val="bottom"/>
            <w:tcBorders>
              <w:bottom w:val="single" w:sz="8" w:color="88888B"/>
            </w:tcBorders>
          </w:tcPr>
          <w:p>
            <w:pPr>
              <w:spacing w:after="0"/>
              <w:rPr>
                <w:sz w:val="13"/>
                <w:szCs w:val="13"/>
                <w:color w:val="auto"/>
              </w:rPr>
            </w:pPr>
          </w:p>
        </w:tc>
        <w:tc>
          <w:tcPr>
            <w:tcW w:w="56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b w:val="1"/>
                <w:bCs w:val="1"/>
                <w:color w:val="55565A"/>
              </w:rPr>
              <w:t>–</w:t>
            </w:r>
          </w:p>
        </w:tc>
        <w:tc>
          <w:tcPr>
            <w:tcW w:w="52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color w:val="55565A"/>
              </w:rPr>
              <w:t>–</w:t>
            </w:r>
          </w:p>
        </w:tc>
        <w:tc>
          <w:tcPr>
            <w:tcW w:w="74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b w:val="1"/>
                <w:bCs w:val="1"/>
                <w:color w:val="55565A"/>
              </w:rPr>
              <w:t>75</w:t>
            </w:r>
          </w:p>
        </w:tc>
        <w:tc>
          <w:tcPr>
            <w:tcW w:w="74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54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55565A"/>
              </w:rPr>
              <w:t>EMEA (Europe, Middle East</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140" w:type="dxa"/>
            <w:vAlign w:val="bottom"/>
            <w:shd w:val="clear" w:color="auto" w:fill="CCEEFF"/>
          </w:tcPr>
          <w:p>
            <w:pPr>
              <w:ind w:left="140"/>
              <w:spacing w:after="0"/>
              <w:rPr>
                <w:sz w:val="20"/>
                <w:szCs w:val="20"/>
                <w:color w:val="auto"/>
              </w:rPr>
            </w:pPr>
            <w:r>
              <w:rPr>
                <w:rFonts w:ascii="Arial" w:cs="Arial" w:eastAsia="Arial" w:hAnsi="Arial"/>
                <w:sz w:val="14"/>
                <w:szCs w:val="14"/>
                <w:color w:val="55565A"/>
              </w:rPr>
              <w:t>and Africa)</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76</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5565A"/>
              </w:rPr>
              <w:t>77</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69</w:t>
            </w:r>
          </w:p>
        </w:tc>
        <w:tc>
          <w:tcPr>
            <w:tcW w:w="6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46</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8</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5565A"/>
              </w:rPr>
              <w:t>5</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133</w:t>
            </w: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129</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55565A"/>
              </w:rPr>
              <w:t>10</w:t>
            </w: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5565A"/>
              </w:rPr>
              <w:t>9</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5565A"/>
              </w:rPr>
              <w:t>–</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5565A"/>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296</w:t>
            </w: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266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4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Asia Pacific</w:t>
            </w:r>
          </w:p>
        </w:tc>
        <w:tc>
          <w:tcPr>
            <w:tcW w:w="58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b w:val="1"/>
                <w:bCs w:val="1"/>
                <w:color w:val="55565A"/>
              </w:rPr>
              <w:t>29</w:t>
            </w:r>
          </w:p>
        </w:tc>
        <w:tc>
          <w:tcPr>
            <w:tcW w:w="52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color w:val="55565A"/>
              </w:rPr>
              <w:t>27</w:t>
            </w:r>
          </w:p>
        </w:tc>
        <w:tc>
          <w:tcPr>
            <w:tcW w:w="68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b w:val="1"/>
                <w:bCs w:val="1"/>
                <w:color w:val="55565A"/>
              </w:rPr>
              <w:t>16</w:t>
            </w:r>
          </w:p>
        </w:tc>
        <w:tc>
          <w:tcPr>
            <w:tcW w:w="68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15</w:t>
            </w:r>
          </w:p>
        </w:tc>
        <w:tc>
          <w:tcPr>
            <w:tcW w:w="58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b w:val="1"/>
                <w:bCs w:val="1"/>
                <w:color w:val="55565A"/>
              </w:rPr>
              <w:t>4</w:t>
            </w:r>
          </w:p>
        </w:tc>
        <w:tc>
          <w:tcPr>
            <w:tcW w:w="52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color w:val="55565A"/>
              </w:rPr>
              <w:t>5</w:t>
            </w:r>
          </w:p>
        </w:tc>
        <w:tc>
          <w:tcPr>
            <w:tcW w:w="80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b w:val="1"/>
                <w:bCs w:val="1"/>
                <w:color w:val="55565A"/>
              </w:rPr>
              <w:t>12</w:t>
            </w:r>
          </w:p>
        </w:tc>
        <w:tc>
          <w:tcPr>
            <w:tcW w:w="74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13</w:t>
            </w:r>
          </w:p>
        </w:tc>
        <w:tc>
          <w:tcPr>
            <w:tcW w:w="440" w:type="dxa"/>
            <w:vAlign w:val="bottom"/>
            <w:tcBorders>
              <w:bottom w:val="single" w:sz="8" w:color="88888B"/>
            </w:tcBorders>
          </w:tcPr>
          <w:p>
            <w:pPr>
              <w:jc w:val="right"/>
              <w:spacing w:after="0"/>
              <w:rPr>
                <w:sz w:val="20"/>
                <w:szCs w:val="20"/>
                <w:color w:val="auto"/>
              </w:rPr>
            </w:pPr>
            <w:r>
              <w:rPr>
                <w:rFonts w:ascii="Arial" w:cs="Arial" w:eastAsia="Arial" w:hAnsi="Arial"/>
                <w:sz w:val="14"/>
                <w:szCs w:val="14"/>
                <w:b w:val="1"/>
                <w:bCs w:val="1"/>
                <w:color w:val="55565A"/>
              </w:rPr>
              <w:t>6</w:t>
            </w:r>
          </w:p>
        </w:tc>
        <w:tc>
          <w:tcPr>
            <w:tcW w:w="46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color w:val="55565A"/>
              </w:rPr>
              <w:t>7</w:t>
            </w:r>
          </w:p>
        </w:tc>
        <w:tc>
          <w:tcPr>
            <w:tcW w:w="200" w:type="dxa"/>
            <w:vAlign w:val="bottom"/>
            <w:tcBorders>
              <w:bottom w:val="single" w:sz="8" w:color="88888B"/>
            </w:tcBorders>
          </w:tcPr>
          <w:p>
            <w:pPr>
              <w:spacing w:after="0"/>
              <w:rPr>
                <w:sz w:val="13"/>
                <w:szCs w:val="13"/>
                <w:color w:val="auto"/>
              </w:rPr>
            </w:pPr>
          </w:p>
        </w:tc>
        <w:tc>
          <w:tcPr>
            <w:tcW w:w="560" w:type="dxa"/>
            <w:vAlign w:val="bottom"/>
            <w:tcBorders>
              <w:bottom w:val="single" w:sz="8" w:color="88888B"/>
            </w:tcBorders>
          </w:tcPr>
          <w:p>
            <w:pPr>
              <w:jc w:val="right"/>
              <w:ind w:right="49"/>
              <w:spacing w:after="0"/>
              <w:rPr>
                <w:sz w:val="20"/>
                <w:szCs w:val="20"/>
                <w:color w:val="auto"/>
              </w:rPr>
            </w:pPr>
            <w:r>
              <w:rPr>
                <w:rFonts w:ascii="Arial" w:cs="Arial" w:eastAsia="Arial" w:hAnsi="Arial"/>
                <w:sz w:val="14"/>
                <w:szCs w:val="14"/>
                <w:b w:val="1"/>
                <w:bCs w:val="1"/>
                <w:color w:val="55565A"/>
              </w:rPr>
              <w:t>–</w:t>
            </w:r>
          </w:p>
        </w:tc>
        <w:tc>
          <w:tcPr>
            <w:tcW w:w="52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color w:val="55565A"/>
              </w:rPr>
              <w:t>–</w:t>
            </w:r>
          </w:p>
        </w:tc>
        <w:tc>
          <w:tcPr>
            <w:tcW w:w="740" w:type="dxa"/>
            <w:vAlign w:val="bottom"/>
            <w:tcBorders>
              <w:bottom w:val="single" w:sz="8" w:color="88888B"/>
            </w:tcBorders>
          </w:tcPr>
          <w:p>
            <w:pPr>
              <w:jc w:val="right"/>
              <w:ind w:right="9"/>
              <w:spacing w:after="0"/>
              <w:rPr>
                <w:sz w:val="20"/>
                <w:szCs w:val="20"/>
                <w:color w:val="auto"/>
              </w:rPr>
            </w:pPr>
            <w:r>
              <w:rPr>
                <w:rFonts w:ascii="Arial" w:cs="Arial" w:eastAsia="Arial" w:hAnsi="Arial"/>
                <w:sz w:val="14"/>
                <w:szCs w:val="14"/>
                <w:b w:val="1"/>
                <w:bCs w:val="1"/>
                <w:color w:val="55565A"/>
              </w:rPr>
              <w:t>67</w:t>
            </w:r>
          </w:p>
        </w:tc>
        <w:tc>
          <w:tcPr>
            <w:tcW w:w="74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67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140" w:type="dxa"/>
            <w:vAlign w:val="bottom"/>
            <w:tcBorders>
              <w:bottom w:val="single" w:sz="8" w:color="88888B"/>
            </w:tcBorders>
            <w:shd w:val="clear" w:color="auto" w:fill="CCEEFF"/>
          </w:tcPr>
          <w:p>
            <w:pPr>
              <w:spacing w:after="0" w:line="154" w:lineRule="exact"/>
              <w:rPr>
                <w:sz w:val="20"/>
                <w:szCs w:val="20"/>
                <w:color w:val="auto"/>
              </w:rPr>
            </w:pPr>
            <w:r>
              <w:rPr>
                <w:rFonts w:ascii="Arial" w:cs="Arial" w:eastAsia="Arial" w:hAnsi="Arial"/>
                <w:sz w:val="14"/>
                <w:szCs w:val="14"/>
                <w:color w:val="55565A"/>
              </w:rPr>
              <w:t>Total</w:t>
            </w:r>
          </w:p>
        </w:tc>
        <w:tc>
          <w:tcPr>
            <w:tcW w:w="580" w:type="dxa"/>
            <w:vAlign w:val="bottom"/>
            <w:tcBorders>
              <w:bottom w:val="single" w:sz="8" w:color="88888B"/>
            </w:tcBorders>
            <w:shd w:val="clear" w:color="auto" w:fill="CCEEFF"/>
          </w:tcPr>
          <w:p>
            <w:pPr>
              <w:jc w:val="right"/>
              <w:ind w:right="49"/>
              <w:spacing w:after="0" w:line="154" w:lineRule="exact"/>
              <w:rPr>
                <w:sz w:val="20"/>
                <w:szCs w:val="20"/>
                <w:color w:val="auto"/>
              </w:rPr>
            </w:pPr>
            <w:r>
              <w:rPr>
                <w:rFonts w:ascii="Arial" w:cs="Arial" w:eastAsia="Arial" w:hAnsi="Arial"/>
                <w:sz w:val="14"/>
                <w:szCs w:val="14"/>
                <w:b w:val="1"/>
                <w:bCs w:val="1"/>
                <w:color w:val="55565A"/>
              </w:rPr>
              <w:t>721</w:t>
            </w:r>
          </w:p>
        </w:tc>
        <w:tc>
          <w:tcPr>
            <w:tcW w:w="520" w:type="dxa"/>
            <w:vAlign w:val="bottom"/>
            <w:tcBorders>
              <w:bottom w:val="single" w:sz="8" w:color="88888B"/>
            </w:tcBorders>
            <w:shd w:val="clear" w:color="auto" w:fill="CCEEFF"/>
          </w:tcPr>
          <w:p>
            <w:pPr>
              <w:jc w:val="right"/>
              <w:ind w:right="9"/>
              <w:spacing w:after="0" w:line="154" w:lineRule="exact"/>
              <w:rPr>
                <w:sz w:val="20"/>
                <w:szCs w:val="20"/>
                <w:color w:val="auto"/>
              </w:rPr>
            </w:pPr>
            <w:r>
              <w:rPr>
                <w:rFonts w:ascii="Arial" w:cs="Arial" w:eastAsia="Arial" w:hAnsi="Arial"/>
                <w:sz w:val="14"/>
                <w:szCs w:val="14"/>
                <w:color w:val="55565A"/>
              </w:rPr>
              <w:t>714</w:t>
            </w:r>
          </w:p>
        </w:tc>
        <w:tc>
          <w:tcPr>
            <w:tcW w:w="680" w:type="dxa"/>
            <w:vAlign w:val="bottom"/>
            <w:tcBorders>
              <w:bottom w:val="single" w:sz="8" w:color="88888B"/>
            </w:tcBorders>
            <w:shd w:val="clear" w:color="auto" w:fill="CCEEFF"/>
          </w:tcPr>
          <w:p>
            <w:pPr>
              <w:jc w:val="right"/>
              <w:ind w:right="9"/>
              <w:spacing w:after="0" w:line="154" w:lineRule="exact"/>
              <w:rPr>
                <w:sz w:val="20"/>
                <w:szCs w:val="20"/>
                <w:color w:val="auto"/>
              </w:rPr>
            </w:pPr>
            <w:r>
              <w:rPr>
                <w:rFonts w:ascii="Arial" w:cs="Arial" w:eastAsia="Arial" w:hAnsi="Arial"/>
                <w:sz w:val="14"/>
                <w:szCs w:val="14"/>
                <w:b w:val="1"/>
                <w:bCs w:val="1"/>
                <w:color w:val="55565A"/>
              </w:rPr>
              <w:t>507</w:t>
            </w:r>
          </w:p>
        </w:tc>
        <w:tc>
          <w:tcPr>
            <w:tcW w:w="680" w:type="dxa"/>
            <w:vAlign w:val="bottom"/>
            <w:tcBorders>
              <w:bottom w:val="single" w:sz="8" w:color="88888B"/>
            </w:tcBorders>
            <w:shd w:val="clear" w:color="auto" w:fill="CCEEFF"/>
          </w:tcPr>
          <w:p>
            <w:pPr>
              <w:jc w:val="right"/>
              <w:ind w:right="229"/>
              <w:spacing w:after="0" w:line="154" w:lineRule="exact"/>
              <w:rPr>
                <w:sz w:val="20"/>
                <w:szCs w:val="20"/>
                <w:color w:val="auto"/>
              </w:rPr>
            </w:pPr>
            <w:r>
              <w:rPr>
                <w:rFonts w:ascii="Arial" w:cs="Arial" w:eastAsia="Arial" w:hAnsi="Arial"/>
                <w:sz w:val="14"/>
                <w:szCs w:val="14"/>
                <w:color w:val="55565A"/>
              </w:rPr>
              <w:t>435</w:t>
            </w:r>
          </w:p>
        </w:tc>
        <w:tc>
          <w:tcPr>
            <w:tcW w:w="580" w:type="dxa"/>
            <w:vAlign w:val="bottom"/>
            <w:tcBorders>
              <w:bottom w:val="single" w:sz="8" w:color="88888B"/>
            </w:tcBorders>
            <w:shd w:val="clear" w:color="auto" w:fill="CCEEFF"/>
          </w:tcPr>
          <w:p>
            <w:pPr>
              <w:jc w:val="right"/>
              <w:ind w:right="49"/>
              <w:spacing w:after="0" w:line="154" w:lineRule="exact"/>
              <w:rPr>
                <w:sz w:val="20"/>
                <w:szCs w:val="20"/>
                <w:color w:val="auto"/>
              </w:rPr>
            </w:pPr>
            <w:r>
              <w:rPr>
                <w:rFonts w:ascii="Arial" w:cs="Arial" w:eastAsia="Arial" w:hAnsi="Arial"/>
                <w:sz w:val="14"/>
                <w:szCs w:val="14"/>
                <w:b w:val="1"/>
                <w:bCs w:val="1"/>
                <w:color w:val="55565A"/>
              </w:rPr>
              <w:t>328</w:t>
            </w:r>
          </w:p>
        </w:tc>
        <w:tc>
          <w:tcPr>
            <w:tcW w:w="520" w:type="dxa"/>
            <w:vAlign w:val="bottom"/>
            <w:tcBorders>
              <w:bottom w:val="single" w:sz="8" w:color="88888B"/>
            </w:tcBorders>
            <w:shd w:val="clear" w:color="auto" w:fill="CCEEFF"/>
          </w:tcPr>
          <w:p>
            <w:pPr>
              <w:jc w:val="right"/>
              <w:ind w:right="9"/>
              <w:spacing w:after="0" w:line="154" w:lineRule="exact"/>
              <w:rPr>
                <w:sz w:val="20"/>
                <w:szCs w:val="20"/>
                <w:color w:val="auto"/>
              </w:rPr>
            </w:pPr>
            <w:r>
              <w:rPr>
                <w:rFonts w:ascii="Arial" w:cs="Arial" w:eastAsia="Arial" w:hAnsi="Arial"/>
                <w:sz w:val="14"/>
                <w:szCs w:val="14"/>
                <w:color w:val="55565A"/>
              </w:rPr>
              <w:t>282</w:t>
            </w:r>
          </w:p>
        </w:tc>
        <w:tc>
          <w:tcPr>
            <w:tcW w:w="800" w:type="dxa"/>
            <w:vAlign w:val="bottom"/>
            <w:tcBorders>
              <w:bottom w:val="single" w:sz="8" w:color="88888B"/>
            </w:tcBorders>
            <w:shd w:val="clear" w:color="auto" w:fill="CCEEFF"/>
          </w:tcPr>
          <w:p>
            <w:pPr>
              <w:jc w:val="right"/>
              <w:ind w:right="49"/>
              <w:spacing w:after="0" w:line="154" w:lineRule="exact"/>
              <w:rPr>
                <w:sz w:val="20"/>
                <w:szCs w:val="20"/>
                <w:color w:val="auto"/>
              </w:rPr>
            </w:pPr>
            <w:r>
              <w:rPr>
                <w:rFonts w:ascii="Arial" w:cs="Arial" w:eastAsia="Arial" w:hAnsi="Arial"/>
                <w:sz w:val="14"/>
                <w:szCs w:val="14"/>
                <w:b w:val="1"/>
                <w:bCs w:val="1"/>
                <w:color w:val="55565A"/>
              </w:rPr>
              <w:t>210</w:t>
            </w:r>
          </w:p>
        </w:tc>
        <w:tc>
          <w:tcPr>
            <w:tcW w:w="740" w:type="dxa"/>
            <w:vAlign w:val="bottom"/>
            <w:tcBorders>
              <w:bottom w:val="single" w:sz="8" w:color="88888B"/>
            </w:tcBorders>
            <w:shd w:val="clear" w:color="auto" w:fill="CCEEFF"/>
          </w:tcPr>
          <w:p>
            <w:pPr>
              <w:jc w:val="right"/>
              <w:ind w:right="229"/>
              <w:spacing w:after="0" w:line="154" w:lineRule="exact"/>
              <w:rPr>
                <w:sz w:val="20"/>
                <w:szCs w:val="20"/>
                <w:color w:val="auto"/>
              </w:rPr>
            </w:pPr>
            <w:r>
              <w:rPr>
                <w:rFonts w:ascii="Arial" w:cs="Arial" w:eastAsia="Arial" w:hAnsi="Arial"/>
                <w:sz w:val="14"/>
                <w:szCs w:val="14"/>
                <w:color w:val="55565A"/>
              </w:rPr>
              <w:t>175</w:t>
            </w:r>
          </w:p>
        </w:tc>
        <w:tc>
          <w:tcPr>
            <w:tcW w:w="440" w:type="dxa"/>
            <w:vAlign w:val="bottom"/>
            <w:tcBorders>
              <w:bottom w:val="single" w:sz="8" w:color="88888B"/>
            </w:tcBorders>
            <w:shd w:val="clear" w:color="auto" w:fill="CCEEFF"/>
          </w:tcPr>
          <w:p>
            <w:pPr>
              <w:jc w:val="right"/>
              <w:spacing w:after="0" w:line="154" w:lineRule="exact"/>
              <w:rPr>
                <w:sz w:val="20"/>
                <w:szCs w:val="20"/>
                <w:color w:val="auto"/>
              </w:rPr>
            </w:pPr>
            <w:r>
              <w:rPr>
                <w:rFonts w:ascii="Arial" w:cs="Arial" w:eastAsia="Arial" w:hAnsi="Arial"/>
                <w:sz w:val="14"/>
                <w:szCs w:val="14"/>
                <w:b w:val="1"/>
                <w:bCs w:val="1"/>
                <w:color w:val="55565A"/>
              </w:rPr>
              <w:t>124</w:t>
            </w:r>
          </w:p>
        </w:tc>
        <w:tc>
          <w:tcPr>
            <w:tcW w:w="460" w:type="dxa"/>
            <w:vAlign w:val="bottom"/>
            <w:tcBorders>
              <w:bottom w:val="single" w:sz="8" w:color="88888B"/>
            </w:tcBorders>
            <w:shd w:val="clear" w:color="auto" w:fill="CCEEFF"/>
          </w:tcPr>
          <w:p>
            <w:pPr>
              <w:jc w:val="right"/>
              <w:ind w:right="9"/>
              <w:spacing w:after="0" w:line="154" w:lineRule="exact"/>
              <w:rPr>
                <w:sz w:val="20"/>
                <w:szCs w:val="20"/>
                <w:color w:val="auto"/>
              </w:rPr>
            </w:pPr>
            <w:r>
              <w:rPr>
                <w:rFonts w:ascii="Arial" w:cs="Arial" w:eastAsia="Arial" w:hAnsi="Arial"/>
                <w:sz w:val="14"/>
                <w:szCs w:val="14"/>
                <w:color w:val="55565A"/>
              </w:rPr>
              <w:t>138</w:t>
            </w:r>
          </w:p>
        </w:tc>
        <w:tc>
          <w:tcPr>
            <w:tcW w:w="200" w:type="dxa"/>
            <w:vAlign w:val="bottom"/>
            <w:tcBorders>
              <w:bottom w:val="single" w:sz="8" w:color="88888B"/>
            </w:tcBorders>
            <w:shd w:val="clear" w:color="auto" w:fill="CCEEFF"/>
          </w:tcPr>
          <w:p>
            <w:pPr>
              <w:spacing w:after="0"/>
              <w:rPr>
                <w:sz w:val="13"/>
                <w:szCs w:val="13"/>
                <w:color w:val="auto"/>
              </w:rPr>
            </w:pPr>
          </w:p>
        </w:tc>
        <w:tc>
          <w:tcPr>
            <w:tcW w:w="560" w:type="dxa"/>
            <w:vAlign w:val="bottom"/>
            <w:tcBorders>
              <w:bottom w:val="single" w:sz="8" w:color="88888B"/>
            </w:tcBorders>
            <w:shd w:val="clear" w:color="auto" w:fill="CCEEFF"/>
          </w:tcPr>
          <w:p>
            <w:pPr>
              <w:jc w:val="right"/>
              <w:ind w:right="49"/>
              <w:spacing w:after="0" w:line="154" w:lineRule="exact"/>
              <w:rPr>
                <w:sz w:val="20"/>
                <w:szCs w:val="20"/>
                <w:color w:val="auto"/>
              </w:rPr>
            </w:pPr>
            <w:r>
              <w:rPr>
                <w:rFonts w:ascii="Arial" w:cs="Arial" w:eastAsia="Arial" w:hAnsi="Arial"/>
                <w:sz w:val="14"/>
                <w:szCs w:val="14"/>
                <w:b w:val="1"/>
                <w:bCs w:val="1"/>
                <w:color w:val="55565A"/>
              </w:rPr>
              <w:t>(5)</w:t>
            </w:r>
          </w:p>
        </w:tc>
        <w:tc>
          <w:tcPr>
            <w:tcW w:w="520" w:type="dxa"/>
            <w:vAlign w:val="bottom"/>
            <w:tcBorders>
              <w:bottom w:val="single" w:sz="8" w:color="88888B"/>
            </w:tcBorders>
            <w:shd w:val="clear" w:color="auto" w:fill="CCEEFF"/>
          </w:tcPr>
          <w:p>
            <w:pPr>
              <w:jc w:val="right"/>
              <w:ind w:right="9"/>
              <w:spacing w:after="0" w:line="154" w:lineRule="exact"/>
              <w:rPr>
                <w:sz w:val="20"/>
                <w:szCs w:val="20"/>
                <w:color w:val="auto"/>
              </w:rPr>
            </w:pPr>
            <w:r>
              <w:rPr>
                <w:rFonts w:ascii="Arial" w:cs="Arial" w:eastAsia="Arial" w:hAnsi="Arial"/>
                <w:sz w:val="14"/>
                <w:szCs w:val="14"/>
                <w:color w:val="55565A"/>
              </w:rPr>
              <w:t>(6)</w:t>
            </w:r>
          </w:p>
        </w:tc>
        <w:tc>
          <w:tcPr>
            <w:tcW w:w="740" w:type="dxa"/>
            <w:vAlign w:val="bottom"/>
            <w:tcBorders>
              <w:bottom w:val="single" w:sz="8" w:color="88888B"/>
            </w:tcBorders>
            <w:shd w:val="clear" w:color="auto" w:fill="CCEEFF"/>
          </w:tcPr>
          <w:p>
            <w:pPr>
              <w:jc w:val="right"/>
              <w:ind w:right="9"/>
              <w:spacing w:after="0" w:line="154" w:lineRule="exact"/>
              <w:rPr>
                <w:sz w:val="20"/>
                <w:szCs w:val="20"/>
                <w:color w:val="auto"/>
              </w:rPr>
            </w:pPr>
            <w:r>
              <w:rPr>
                <w:rFonts w:ascii="Arial" w:cs="Arial" w:eastAsia="Arial" w:hAnsi="Arial"/>
                <w:sz w:val="14"/>
                <w:szCs w:val="14"/>
                <w:b w:val="1"/>
                <w:bCs w:val="1"/>
                <w:color w:val="55565A"/>
              </w:rPr>
              <w:t>1,885</w:t>
            </w:r>
          </w:p>
        </w:tc>
        <w:tc>
          <w:tcPr>
            <w:tcW w:w="740" w:type="dxa"/>
            <w:vAlign w:val="bottom"/>
            <w:tcBorders>
              <w:bottom w:val="single" w:sz="8" w:color="88888B"/>
            </w:tcBorders>
            <w:shd w:val="clear" w:color="auto" w:fill="CCEEFF"/>
          </w:tcPr>
          <w:p>
            <w:pPr>
              <w:jc w:val="right"/>
              <w:ind w:right="229"/>
              <w:spacing w:after="0" w:line="154" w:lineRule="exact"/>
              <w:rPr>
                <w:sz w:val="20"/>
                <w:szCs w:val="20"/>
                <w:color w:val="auto"/>
              </w:rPr>
            </w:pPr>
            <w:r>
              <w:rPr>
                <w:rFonts w:ascii="Arial" w:cs="Arial" w:eastAsia="Arial" w:hAnsi="Arial"/>
                <w:sz w:val="14"/>
                <w:szCs w:val="14"/>
                <w:color w:val="55565A"/>
              </w:rPr>
              <w:t>1,738</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55565A"/>
        </w:rPr>
        <w:t>The Company revised its 2023 presentation to correct immaterial reclassifications, which did not impact total segment revenues or total consolidated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55565A"/>
        </w:rPr>
        <w:t>Page 44</w:t>
      </w:r>
    </w:p>
    <w:p>
      <w:pPr>
        <w:sectPr>
          <w:pgSz w:w="11900" w:h="16838" w:orient="portrait"/>
          <w:cols w:equalWidth="0" w:num="1">
            <w:col w:w="10920"/>
          </w:cols>
          <w:pgMar w:left="480" w:top="1440" w:right="499" w:bottom="1440" w:gutter="0" w:footer="0" w:header="0"/>
          <w:type w:val="continuous"/>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3: Segment Information</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55565A"/>
        </w:rPr>
        <w:t>The Company is organized as five reportable segments, reflecting how the businesses are managed. The segments offer products and services to target customers as described below.</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Legal Professionals</w:t>
      </w:r>
    </w:p>
    <w:p>
      <w:pPr>
        <w:spacing w:after="0" w:line="108"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55565A"/>
        </w:rPr>
        <w:t>The Legal Professionals segment serves law firms and governments with research and workflow products, focusing on intuitive legal research powered by emerging technologies, including generative AI, and integrated legal workflow solutions that combine content, tools and analytics.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Corporates</w:t>
      </w:r>
    </w:p>
    <w:p>
      <w:pPr>
        <w:spacing w:after="0" w:line="11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55565A"/>
        </w:rPr>
        <w:t>The Corporates segment serves corporate customers from small businesses to multinational organizations, including the seven largest global accounting firms, with the Company’s full suite of content-driven technologies, including generative AI, providing integrated workflow solutions designed to help our customers digitally transform and achieve their business outcomes.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Tax &amp; Accounting Professionals</w:t>
      </w:r>
    </w:p>
    <w:p>
      <w:pPr>
        <w:spacing w:after="0" w:line="110"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55565A"/>
        </w:rPr>
        <w:t>The Tax &amp; Accounting Professionals segment serves tax, accounting and audit professionals in accounting firms (other than the seven largest, which are served by the Corporates segment) with research and workflow products, focusing on intuitive tax offerings and automating tax workflows.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Reuters News</w:t>
      </w:r>
    </w:p>
    <w:p>
      <w:pPr>
        <w:spacing w:after="0" w:line="11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55565A"/>
        </w:rPr>
        <w:t>The Reuters News segment supplies business, financial and global news to the world’s media organizations, professionals and news consumers through Reuters News Agency, Reuters.com, Reuters Events, Thomson Reuters products and to financial market professionals exclusively via London Stock Exchange Group (“LSEG”) products.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Global Print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5565A"/>
        </w:rPr>
        <w:t>The Global Print segment provides legal and tax information primarily in print format to customers around the world.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5565A"/>
        </w:rPr>
        <w:t>The Company also reports “Corporate costs”, which includes expenses for corporate functions and does not qualify as a reportable segment.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100" w:type="dxa"/>
            <w:vAlign w:val="bottom"/>
            <w:tcBorders>
              <w:top w:val="single" w:sz="8" w:color="55565A"/>
            </w:tcBorders>
          </w:tcPr>
          <w:p>
            <w:pPr>
              <w:spacing w:after="0"/>
              <w:rPr>
                <w:sz w:val="18"/>
                <w:szCs w:val="18"/>
                <w:color w:val="auto"/>
              </w:rPr>
            </w:pPr>
          </w:p>
        </w:tc>
        <w:tc>
          <w:tcPr>
            <w:tcW w:w="4800" w:type="dxa"/>
            <w:vAlign w:val="bottom"/>
            <w:tcBorders>
              <w:top w:val="single" w:sz="8" w:color="55565A"/>
            </w:tcBorders>
            <w:gridSpan w:val="2"/>
          </w:tcPr>
          <w:p>
            <w:pPr>
              <w:jc w:val="right"/>
              <w:ind w:right="629"/>
              <w:spacing w:after="0"/>
              <w:rPr>
                <w:sz w:val="20"/>
                <w:szCs w:val="20"/>
                <w:color w:val="auto"/>
              </w:rPr>
            </w:pPr>
            <w:r>
              <w:rPr>
                <w:rFonts w:ascii="Arial" w:cs="Arial" w:eastAsia="Arial" w:hAnsi="Arial"/>
                <w:sz w:val="14"/>
                <w:szCs w:val="14"/>
                <w:b w:val="1"/>
                <w:bCs w:val="1"/>
                <w:color w:val="55565A"/>
              </w:rPr>
              <w:t>Three months ended March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320" w:type="dxa"/>
            <w:vAlign w:val="bottom"/>
          </w:tcPr>
          <w:p>
            <w:pPr>
              <w:jc w:val="right"/>
              <w:ind w:right="569"/>
              <w:spacing w:after="0"/>
              <w:rPr>
                <w:sz w:val="20"/>
                <w:szCs w:val="20"/>
                <w:color w:val="auto"/>
              </w:rPr>
            </w:pPr>
            <w:r>
              <w:rPr>
                <w:rFonts w:ascii="Arial" w:cs="Arial" w:eastAsia="Arial" w:hAnsi="Arial"/>
                <w:sz w:val="14"/>
                <w:szCs w:val="14"/>
                <w:b w:val="1"/>
                <w:bCs w:val="1"/>
                <w:color w:val="55565A"/>
              </w:rPr>
              <w:t>2024</w:t>
            </w:r>
          </w:p>
        </w:tc>
        <w:tc>
          <w:tcPr>
            <w:tcW w:w="1480" w:type="dxa"/>
            <w:vAlign w:val="bottom"/>
          </w:tcPr>
          <w:p>
            <w:pPr>
              <w:jc w:val="right"/>
              <w:ind w:right="409"/>
              <w:spacing w:after="0"/>
              <w:rPr>
                <w:sz w:val="20"/>
                <w:szCs w:val="20"/>
                <w:color w:val="auto"/>
              </w:rPr>
            </w:pPr>
            <w:r>
              <w:rPr>
                <w:rFonts w:ascii="Arial" w:cs="Arial" w:eastAsia="Arial" w:hAnsi="Arial"/>
                <w:sz w:val="14"/>
                <w:szCs w:val="14"/>
                <w:color w:val="55565A"/>
              </w:rPr>
              <w:t>2023</w:t>
            </w:r>
          </w:p>
        </w:tc>
        <w:tc>
          <w:tcPr>
            <w:tcW w:w="0" w:type="dxa"/>
            <w:vAlign w:val="bottom"/>
          </w:tcPr>
          <w:p>
            <w:pPr>
              <w:spacing w:after="0"/>
              <w:rPr>
                <w:sz w:val="1"/>
                <w:szCs w:val="1"/>
                <w:color w:val="auto"/>
              </w:rPr>
            </w:pPr>
          </w:p>
        </w:tc>
      </w:tr>
      <w:tr>
        <w:trPr>
          <w:trHeight w:val="28"/>
        </w:trPr>
        <w:tc>
          <w:tcPr>
            <w:tcW w:w="6120" w:type="dxa"/>
            <w:vAlign w:val="bottom"/>
            <w:gridSpan w:val="2"/>
          </w:tcPr>
          <w:p>
            <w:pPr>
              <w:spacing w:after="0"/>
              <w:rPr>
                <w:sz w:val="2"/>
                <w:szCs w:val="2"/>
                <w:color w:val="auto"/>
              </w:rPr>
            </w:pPr>
          </w:p>
        </w:tc>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00" w:type="dxa"/>
            <w:vAlign w:val="bottom"/>
            <w:tcBorders>
              <w:top w:val="single" w:sz="8" w:color="88888B"/>
            </w:tcBorders>
            <w:shd w:val="clear" w:color="auto" w:fill="CCEEFF"/>
          </w:tcPr>
          <w:p>
            <w:pPr>
              <w:spacing w:after="0" w:line="154" w:lineRule="exact"/>
              <w:rPr>
                <w:sz w:val="20"/>
                <w:szCs w:val="20"/>
                <w:color w:val="auto"/>
              </w:rPr>
            </w:pPr>
            <w:r>
              <w:rPr>
                <w:rFonts w:ascii="Arial" w:cs="Arial" w:eastAsia="Arial" w:hAnsi="Arial"/>
                <w:sz w:val="14"/>
                <w:szCs w:val="14"/>
                <w:b w:val="1"/>
                <w:bCs w:val="1"/>
                <w:color w:val="55565A"/>
              </w:rPr>
              <w:t>Revenues</w:t>
            </w:r>
          </w:p>
        </w:tc>
        <w:tc>
          <w:tcPr>
            <w:tcW w:w="3320" w:type="dxa"/>
            <w:vAlign w:val="bottom"/>
            <w:tcBorders>
              <w:top w:val="single" w:sz="8" w:color="88888B"/>
            </w:tcBorders>
            <w:shd w:val="clear" w:color="auto" w:fill="CCEEFF"/>
          </w:tcPr>
          <w:p>
            <w:pPr>
              <w:spacing w:after="0"/>
              <w:rPr>
                <w:sz w:val="13"/>
                <w:szCs w:val="13"/>
                <w:color w:val="auto"/>
              </w:rPr>
            </w:pPr>
          </w:p>
        </w:tc>
        <w:tc>
          <w:tcPr>
            <w:tcW w:w="1480" w:type="dxa"/>
            <w:vAlign w:val="bottom"/>
            <w:tcBorders>
              <w:top w:val="single" w:sz="8" w:color="88888B"/>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Pr>
          <w:p>
            <w:pPr>
              <w:ind w:left="140"/>
              <w:spacing w:after="0"/>
              <w:rPr>
                <w:sz w:val="20"/>
                <w:szCs w:val="20"/>
                <w:color w:val="auto"/>
              </w:rPr>
            </w:pPr>
            <w:r>
              <w:rPr>
                <w:rFonts w:ascii="Arial" w:cs="Arial" w:eastAsia="Arial" w:hAnsi="Arial"/>
                <w:sz w:val="14"/>
                <w:szCs w:val="14"/>
                <w:color w:val="55565A"/>
              </w:rPr>
              <w:t>Legal Professionals</w:t>
            </w:r>
          </w:p>
        </w:tc>
        <w:tc>
          <w:tcPr>
            <w:tcW w:w="3320" w:type="dxa"/>
            <w:vAlign w:val="bottom"/>
          </w:tcPr>
          <w:p>
            <w:pPr>
              <w:jc w:val="right"/>
              <w:ind w:right="569"/>
              <w:spacing w:after="0"/>
              <w:rPr>
                <w:sz w:val="20"/>
                <w:szCs w:val="20"/>
                <w:color w:val="auto"/>
              </w:rPr>
            </w:pPr>
            <w:r>
              <w:rPr>
                <w:rFonts w:ascii="Arial" w:cs="Arial" w:eastAsia="Arial" w:hAnsi="Arial"/>
                <w:sz w:val="14"/>
                <w:szCs w:val="14"/>
                <w:b w:val="1"/>
                <w:bCs w:val="1"/>
                <w:color w:val="55565A"/>
              </w:rPr>
              <w:t>721</w:t>
            </w:r>
          </w:p>
        </w:tc>
        <w:tc>
          <w:tcPr>
            <w:tcW w:w="1480" w:type="dxa"/>
            <w:vAlign w:val="bottom"/>
          </w:tcPr>
          <w:p>
            <w:pPr>
              <w:jc w:val="right"/>
              <w:ind w:right="409"/>
              <w:spacing w:after="0"/>
              <w:rPr>
                <w:sz w:val="20"/>
                <w:szCs w:val="20"/>
                <w:color w:val="auto"/>
              </w:rPr>
            </w:pPr>
            <w:r>
              <w:rPr>
                <w:rFonts w:ascii="Arial" w:cs="Arial" w:eastAsia="Arial" w:hAnsi="Arial"/>
                <w:sz w:val="14"/>
                <w:szCs w:val="14"/>
                <w:color w:val="55565A"/>
              </w:rPr>
              <w:t>714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55565A"/>
              </w:rPr>
              <w:t>Corporates</w:t>
            </w:r>
          </w:p>
        </w:tc>
        <w:tc>
          <w:tcPr>
            <w:tcW w:w="332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507</w:t>
            </w:r>
          </w:p>
        </w:tc>
        <w:tc>
          <w:tcPr>
            <w:tcW w:w="14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435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Pr>
          <w:p>
            <w:pPr>
              <w:ind w:left="140"/>
              <w:spacing w:after="0"/>
              <w:rPr>
                <w:sz w:val="20"/>
                <w:szCs w:val="20"/>
                <w:color w:val="auto"/>
              </w:rPr>
            </w:pPr>
            <w:r>
              <w:rPr>
                <w:rFonts w:ascii="Arial" w:cs="Arial" w:eastAsia="Arial" w:hAnsi="Arial"/>
                <w:sz w:val="14"/>
                <w:szCs w:val="14"/>
                <w:color w:val="55565A"/>
              </w:rPr>
              <w:t>Tax &amp; Accounting Professionals</w:t>
            </w:r>
          </w:p>
        </w:tc>
        <w:tc>
          <w:tcPr>
            <w:tcW w:w="3320" w:type="dxa"/>
            <w:vAlign w:val="bottom"/>
          </w:tcPr>
          <w:p>
            <w:pPr>
              <w:jc w:val="right"/>
              <w:ind w:right="569"/>
              <w:spacing w:after="0"/>
              <w:rPr>
                <w:sz w:val="20"/>
                <w:szCs w:val="20"/>
                <w:color w:val="auto"/>
              </w:rPr>
            </w:pPr>
            <w:r>
              <w:rPr>
                <w:rFonts w:ascii="Arial" w:cs="Arial" w:eastAsia="Arial" w:hAnsi="Arial"/>
                <w:sz w:val="14"/>
                <w:szCs w:val="14"/>
                <w:b w:val="1"/>
                <w:bCs w:val="1"/>
                <w:color w:val="55565A"/>
              </w:rPr>
              <w:t>328</w:t>
            </w:r>
          </w:p>
        </w:tc>
        <w:tc>
          <w:tcPr>
            <w:tcW w:w="1480" w:type="dxa"/>
            <w:vAlign w:val="bottom"/>
          </w:tcPr>
          <w:p>
            <w:pPr>
              <w:jc w:val="right"/>
              <w:ind w:right="409"/>
              <w:spacing w:after="0"/>
              <w:rPr>
                <w:sz w:val="20"/>
                <w:szCs w:val="20"/>
                <w:color w:val="auto"/>
              </w:rPr>
            </w:pPr>
            <w:r>
              <w:rPr>
                <w:rFonts w:ascii="Arial" w:cs="Arial" w:eastAsia="Arial" w:hAnsi="Arial"/>
                <w:sz w:val="14"/>
                <w:szCs w:val="14"/>
                <w:color w:val="55565A"/>
              </w:rPr>
              <w:t>282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55565A"/>
              </w:rPr>
              <w:t>Reuters News</w:t>
            </w:r>
          </w:p>
        </w:tc>
        <w:tc>
          <w:tcPr>
            <w:tcW w:w="332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210</w:t>
            </w:r>
          </w:p>
        </w:tc>
        <w:tc>
          <w:tcPr>
            <w:tcW w:w="14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175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Pr>
          <w:p>
            <w:pPr>
              <w:ind w:left="140"/>
              <w:spacing w:after="0"/>
              <w:rPr>
                <w:sz w:val="20"/>
                <w:szCs w:val="20"/>
                <w:color w:val="auto"/>
              </w:rPr>
            </w:pPr>
            <w:r>
              <w:rPr>
                <w:rFonts w:ascii="Arial" w:cs="Arial" w:eastAsia="Arial" w:hAnsi="Arial"/>
                <w:sz w:val="14"/>
                <w:szCs w:val="14"/>
                <w:color w:val="55565A"/>
              </w:rPr>
              <w:t>Global Print</w:t>
            </w:r>
          </w:p>
        </w:tc>
        <w:tc>
          <w:tcPr>
            <w:tcW w:w="3320" w:type="dxa"/>
            <w:vAlign w:val="bottom"/>
          </w:tcPr>
          <w:p>
            <w:pPr>
              <w:jc w:val="right"/>
              <w:ind w:right="569"/>
              <w:spacing w:after="0"/>
              <w:rPr>
                <w:sz w:val="20"/>
                <w:szCs w:val="20"/>
                <w:color w:val="auto"/>
              </w:rPr>
            </w:pPr>
            <w:r>
              <w:rPr>
                <w:rFonts w:ascii="Arial" w:cs="Arial" w:eastAsia="Arial" w:hAnsi="Arial"/>
                <w:sz w:val="14"/>
                <w:szCs w:val="14"/>
                <w:b w:val="1"/>
                <w:bCs w:val="1"/>
                <w:color w:val="55565A"/>
              </w:rPr>
              <w:t>124</w:t>
            </w:r>
          </w:p>
        </w:tc>
        <w:tc>
          <w:tcPr>
            <w:tcW w:w="1480" w:type="dxa"/>
            <w:vAlign w:val="bottom"/>
          </w:tcPr>
          <w:p>
            <w:pPr>
              <w:jc w:val="right"/>
              <w:ind w:right="409"/>
              <w:spacing w:after="0"/>
              <w:rPr>
                <w:sz w:val="20"/>
                <w:szCs w:val="20"/>
                <w:color w:val="auto"/>
              </w:rPr>
            </w:pPr>
            <w:r>
              <w:rPr>
                <w:rFonts w:ascii="Arial" w:cs="Arial" w:eastAsia="Arial" w:hAnsi="Arial"/>
                <w:sz w:val="14"/>
                <w:szCs w:val="14"/>
                <w:color w:val="55565A"/>
              </w:rPr>
              <w:t>138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Eliminations/Rounding</w:t>
            </w:r>
          </w:p>
        </w:tc>
        <w:tc>
          <w:tcPr>
            <w:tcW w:w="3320" w:type="dxa"/>
            <w:vAlign w:val="bottom"/>
            <w:tcBorders>
              <w:bottom w:val="single" w:sz="8" w:color="88888B"/>
            </w:tcBorders>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(5)</w:t>
            </w:r>
          </w:p>
        </w:tc>
        <w:tc>
          <w:tcPr>
            <w:tcW w:w="148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00" w:type="dxa"/>
            <w:vAlign w:val="bottom"/>
            <w:tcBorders>
              <w:bottom w:val="single" w:sz="8" w:color="88888B"/>
            </w:tcBorders>
          </w:tcPr>
          <w:p>
            <w:pPr>
              <w:spacing w:after="0" w:line="154" w:lineRule="exact"/>
              <w:rPr>
                <w:sz w:val="20"/>
                <w:szCs w:val="20"/>
                <w:color w:val="auto"/>
              </w:rPr>
            </w:pPr>
            <w:r>
              <w:rPr>
                <w:rFonts w:ascii="Arial" w:cs="Arial" w:eastAsia="Arial" w:hAnsi="Arial"/>
                <w:sz w:val="14"/>
                <w:szCs w:val="14"/>
                <w:color w:val="55565A"/>
              </w:rPr>
              <w:t>Revenues</w:t>
            </w:r>
          </w:p>
        </w:tc>
        <w:tc>
          <w:tcPr>
            <w:tcW w:w="3320" w:type="dxa"/>
            <w:vAlign w:val="bottom"/>
            <w:tcBorders>
              <w:bottom w:val="single" w:sz="8" w:color="88888B"/>
            </w:tcBorders>
          </w:tcPr>
          <w:p>
            <w:pPr>
              <w:jc w:val="right"/>
              <w:ind w:right="569"/>
              <w:spacing w:after="0" w:line="154" w:lineRule="exact"/>
              <w:rPr>
                <w:sz w:val="20"/>
                <w:szCs w:val="20"/>
                <w:color w:val="auto"/>
              </w:rPr>
            </w:pPr>
            <w:r>
              <w:rPr>
                <w:rFonts w:ascii="Arial" w:cs="Arial" w:eastAsia="Arial" w:hAnsi="Arial"/>
                <w:sz w:val="14"/>
                <w:szCs w:val="14"/>
                <w:b w:val="1"/>
                <w:bCs w:val="1"/>
                <w:color w:val="55565A"/>
              </w:rPr>
              <w:t>1,885</w:t>
            </w:r>
          </w:p>
        </w:tc>
        <w:tc>
          <w:tcPr>
            <w:tcW w:w="1480" w:type="dxa"/>
            <w:vAlign w:val="bottom"/>
            <w:tcBorders>
              <w:bottom w:val="single" w:sz="8" w:color="88888B"/>
            </w:tcBorders>
          </w:tcPr>
          <w:p>
            <w:pPr>
              <w:jc w:val="right"/>
              <w:ind w:right="409"/>
              <w:spacing w:after="0" w:line="154" w:lineRule="exact"/>
              <w:rPr>
                <w:sz w:val="20"/>
                <w:szCs w:val="20"/>
                <w:color w:val="auto"/>
              </w:rPr>
            </w:pPr>
            <w:r>
              <w:rPr>
                <w:rFonts w:ascii="Arial" w:cs="Arial" w:eastAsia="Arial" w:hAnsi="Arial"/>
                <w:sz w:val="14"/>
                <w:szCs w:val="14"/>
                <w:color w:val="55565A"/>
              </w:rPr>
              <w:t>1,738</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4"/>
                <w:szCs w:val="14"/>
                <w:b w:val="1"/>
                <w:bCs w:val="1"/>
                <w:color w:val="55565A"/>
              </w:rPr>
              <w:t>Adjusted EBITDA</w:t>
            </w:r>
          </w:p>
        </w:tc>
        <w:tc>
          <w:tcPr>
            <w:tcW w:w="33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Pr>
          <w:p>
            <w:pPr>
              <w:ind w:left="140"/>
              <w:spacing w:after="0"/>
              <w:rPr>
                <w:sz w:val="20"/>
                <w:szCs w:val="20"/>
                <w:color w:val="auto"/>
              </w:rPr>
            </w:pPr>
            <w:r>
              <w:rPr>
                <w:rFonts w:ascii="Arial" w:cs="Arial" w:eastAsia="Arial" w:hAnsi="Arial"/>
                <w:sz w:val="14"/>
                <w:szCs w:val="14"/>
                <w:color w:val="55565A"/>
              </w:rPr>
              <w:t>Legal Professionals</w:t>
            </w:r>
          </w:p>
        </w:tc>
        <w:tc>
          <w:tcPr>
            <w:tcW w:w="3320" w:type="dxa"/>
            <w:vAlign w:val="bottom"/>
          </w:tcPr>
          <w:p>
            <w:pPr>
              <w:jc w:val="right"/>
              <w:ind w:right="569"/>
              <w:spacing w:after="0"/>
              <w:rPr>
                <w:sz w:val="20"/>
                <w:szCs w:val="20"/>
                <w:color w:val="auto"/>
              </w:rPr>
            </w:pPr>
            <w:r>
              <w:rPr>
                <w:rFonts w:ascii="Arial" w:cs="Arial" w:eastAsia="Arial" w:hAnsi="Arial"/>
                <w:sz w:val="14"/>
                <w:szCs w:val="14"/>
                <w:b w:val="1"/>
                <w:bCs w:val="1"/>
                <w:color w:val="55565A"/>
              </w:rPr>
              <w:t>342</w:t>
            </w:r>
          </w:p>
        </w:tc>
        <w:tc>
          <w:tcPr>
            <w:tcW w:w="1480" w:type="dxa"/>
            <w:vAlign w:val="bottom"/>
          </w:tcPr>
          <w:p>
            <w:pPr>
              <w:jc w:val="right"/>
              <w:ind w:right="409"/>
              <w:spacing w:after="0"/>
              <w:rPr>
                <w:sz w:val="20"/>
                <w:szCs w:val="20"/>
                <w:color w:val="auto"/>
              </w:rPr>
            </w:pPr>
            <w:r>
              <w:rPr>
                <w:rFonts w:ascii="Arial" w:cs="Arial" w:eastAsia="Arial" w:hAnsi="Arial"/>
                <w:sz w:val="14"/>
                <w:szCs w:val="14"/>
                <w:color w:val="55565A"/>
              </w:rPr>
              <w:t>318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55565A"/>
              </w:rPr>
              <w:t>Corporates</w:t>
            </w:r>
          </w:p>
        </w:tc>
        <w:tc>
          <w:tcPr>
            <w:tcW w:w="332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193</w:t>
            </w:r>
          </w:p>
        </w:tc>
        <w:tc>
          <w:tcPr>
            <w:tcW w:w="14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154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Pr>
          <w:p>
            <w:pPr>
              <w:ind w:left="140"/>
              <w:spacing w:after="0"/>
              <w:rPr>
                <w:sz w:val="20"/>
                <w:szCs w:val="20"/>
                <w:color w:val="auto"/>
              </w:rPr>
            </w:pPr>
            <w:r>
              <w:rPr>
                <w:rFonts w:ascii="Arial" w:cs="Arial" w:eastAsia="Arial" w:hAnsi="Arial"/>
                <w:sz w:val="14"/>
                <w:szCs w:val="14"/>
                <w:color w:val="55565A"/>
              </w:rPr>
              <w:t>Tax &amp; Accounting Professionals</w:t>
            </w:r>
          </w:p>
        </w:tc>
        <w:tc>
          <w:tcPr>
            <w:tcW w:w="3320" w:type="dxa"/>
            <w:vAlign w:val="bottom"/>
          </w:tcPr>
          <w:p>
            <w:pPr>
              <w:jc w:val="right"/>
              <w:ind w:right="569"/>
              <w:spacing w:after="0"/>
              <w:rPr>
                <w:sz w:val="20"/>
                <w:szCs w:val="20"/>
                <w:color w:val="auto"/>
              </w:rPr>
            </w:pPr>
            <w:r>
              <w:rPr>
                <w:rFonts w:ascii="Arial" w:cs="Arial" w:eastAsia="Arial" w:hAnsi="Arial"/>
                <w:sz w:val="14"/>
                <w:szCs w:val="14"/>
                <w:b w:val="1"/>
                <w:bCs w:val="1"/>
                <w:color w:val="55565A"/>
              </w:rPr>
              <w:t>181</w:t>
            </w:r>
          </w:p>
        </w:tc>
        <w:tc>
          <w:tcPr>
            <w:tcW w:w="1480" w:type="dxa"/>
            <w:vAlign w:val="bottom"/>
          </w:tcPr>
          <w:p>
            <w:pPr>
              <w:jc w:val="right"/>
              <w:ind w:right="409"/>
              <w:spacing w:after="0"/>
              <w:rPr>
                <w:sz w:val="20"/>
                <w:szCs w:val="20"/>
                <w:color w:val="auto"/>
              </w:rPr>
            </w:pPr>
            <w:r>
              <w:rPr>
                <w:rFonts w:ascii="Arial" w:cs="Arial" w:eastAsia="Arial" w:hAnsi="Arial"/>
                <w:sz w:val="14"/>
                <w:szCs w:val="14"/>
                <w:color w:val="55565A"/>
              </w:rPr>
              <w:t>149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55565A"/>
              </w:rPr>
              <w:t>Reuters News</w:t>
            </w:r>
          </w:p>
        </w:tc>
        <w:tc>
          <w:tcPr>
            <w:tcW w:w="332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60</w:t>
            </w:r>
          </w:p>
        </w:tc>
        <w:tc>
          <w:tcPr>
            <w:tcW w:w="14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29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Borders>
              <w:bottom w:val="single" w:sz="8" w:color="88888B"/>
            </w:tcBorders>
          </w:tcPr>
          <w:p>
            <w:pPr>
              <w:ind w:left="140"/>
              <w:spacing w:after="0"/>
              <w:rPr>
                <w:sz w:val="20"/>
                <w:szCs w:val="20"/>
                <w:color w:val="auto"/>
              </w:rPr>
            </w:pPr>
            <w:r>
              <w:rPr>
                <w:rFonts w:ascii="Arial" w:cs="Arial" w:eastAsia="Arial" w:hAnsi="Arial"/>
                <w:sz w:val="14"/>
                <w:szCs w:val="14"/>
                <w:color w:val="55565A"/>
              </w:rPr>
              <w:t>Global Print</w:t>
            </w:r>
          </w:p>
        </w:tc>
        <w:tc>
          <w:tcPr>
            <w:tcW w:w="3320" w:type="dxa"/>
            <w:vAlign w:val="bottom"/>
            <w:tcBorders>
              <w:bottom w:val="single" w:sz="8" w:color="88888B"/>
            </w:tcBorders>
          </w:tcPr>
          <w:p>
            <w:pPr>
              <w:jc w:val="right"/>
              <w:ind w:right="569"/>
              <w:spacing w:after="0"/>
              <w:rPr>
                <w:sz w:val="20"/>
                <w:szCs w:val="20"/>
                <w:color w:val="auto"/>
              </w:rPr>
            </w:pPr>
            <w:r>
              <w:rPr>
                <w:rFonts w:ascii="Arial" w:cs="Arial" w:eastAsia="Arial" w:hAnsi="Arial"/>
                <w:sz w:val="14"/>
                <w:szCs w:val="14"/>
                <w:b w:val="1"/>
                <w:bCs w:val="1"/>
                <w:color w:val="55565A"/>
              </w:rPr>
              <w:t>47</w:t>
            </w:r>
          </w:p>
        </w:tc>
        <w:tc>
          <w:tcPr>
            <w:tcW w:w="1480" w:type="dxa"/>
            <w:vAlign w:val="bottom"/>
            <w:tcBorders>
              <w:bottom w:val="single" w:sz="8" w:color="88888B"/>
            </w:tcBorders>
          </w:tcPr>
          <w:p>
            <w:pPr>
              <w:jc w:val="right"/>
              <w:ind w:right="409"/>
              <w:spacing w:after="0"/>
              <w:rPr>
                <w:sz w:val="20"/>
                <w:szCs w:val="20"/>
                <w:color w:val="auto"/>
              </w:rPr>
            </w:pPr>
            <w:r>
              <w:rPr>
                <w:rFonts w:ascii="Arial" w:cs="Arial" w:eastAsia="Arial" w:hAnsi="Arial"/>
                <w:sz w:val="14"/>
                <w:szCs w:val="14"/>
                <w:color w:val="55565A"/>
              </w:rPr>
              <w:t>50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0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Total reportable segments adjusted EBITDA</w:t>
            </w:r>
          </w:p>
        </w:tc>
        <w:tc>
          <w:tcPr>
            <w:tcW w:w="3320" w:type="dxa"/>
            <w:vAlign w:val="bottom"/>
            <w:shd w:val="clear" w:color="auto" w:fill="CCEEFF"/>
          </w:tcPr>
          <w:p>
            <w:pPr>
              <w:jc w:val="right"/>
              <w:ind w:right="569"/>
              <w:spacing w:after="0" w:line="154" w:lineRule="exact"/>
              <w:rPr>
                <w:sz w:val="20"/>
                <w:szCs w:val="20"/>
                <w:color w:val="auto"/>
              </w:rPr>
            </w:pPr>
            <w:r>
              <w:rPr>
                <w:rFonts w:ascii="Arial" w:cs="Arial" w:eastAsia="Arial" w:hAnsi="Arial"/>
                <w:sz w:val="14"/>
                <w:szCs w:val="14"/>
                <w:b w:val="1"/>
                <w:bCs w:val="1"/>
                <w:color w:val="55565A"/>
              </w:rPr>
              <w:t>823</w:t>
            </w:r>
          </w:p>
        </w:tc>
        <w:tc>
          <w:tcPr>
            <w:tcW w:w="1480" w:type="dxa"/>
            <w:vAlign w:val="bottom"/>
            <w:shd w:val="clear" w:color="auto" w:fill="CCEEFF"/>
          </w:tcPr>
          <w:p>
            <w:pPr>
              <w:jc w:val="right"/>
              <w:ind w:right="409"/>
              <w:spacing w:after="0" w:line="154" w:lineRule="exact"/>
              <w:rPr>
                <w:sz w:val="20"/>
                <w:szCs w:val="20"/>
                <w:color w:val="auto"/>
              </w:rPr>
            </w:pPr>
            <w:r>
              <w:rPr>
                <w:rFonts w:ascii="Arial" w:cs="Arial" w:eastAsia="Arial" w:hAnsi="Arial"/>
                <w:sz w:val="14"/>
                <w:szCs w:val="14"/>
                <w:color w:val="55565A"/>
              </w:rPr>
              <w:t>700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Pr>
          <w:p>
            <w:pPr>
              <w:spacing w:after="0"/>
              <w:rPr>
                <w:sz w:val="20"/>
                <w:szCs w:val="20"/>
                <w:color w:val="auto"/>
              </w:rPr>
            </w:pPr>
            <w:r>
              <w:rPr>
                <w:rFonts w:ascii="Arial" w:cs="Arial" w:eastAsia="Arial" w:hAnsi="Arial"/>
                <w:sz w:val="14"/>
                <w:szCs w:val="14"/>
                <w:color w:val="55565A"/>
              </w:rPr>
              <w:t>Corporate costs</w:t>
            </w:r>
          </w:p>
        </w:tc>
        <w:tc>
          <w:tcPr>
            <w:tcW w:w="3320" w:type="dxa"/>
            <w:vAlign w:val="bottom"/>
          </w:tcPr>
          <w:p>
            <w:pPr>
              <w:jc w:val="right"/>
              <w:ind w:right="569"/>
              <w:spacing w:after="0"/>
              <w:rPr>
                <w:sz w:val="20"/>
                <w:szCs w:val="20"/>
                <w:color w:val="auto"/>
              </w:rPr>
            </w:pPr>
            <w:r>
              <w:rPr>
                <w:rFonts w:ascii="Arial" w:cs="Arial" w:eastAsia="Arial" w:hAnsi="Arial"/>
                <w:sz w:val="14"/>
                <w:szCs w:val="14"/>
                <w:b w:val="1"/>
                <w:bCs w:val="1"/>
                <w:color w:val="55565A"/>
              </w:rPr>
              <w:t>(17)</w:t>
            </w:r>
          </w:p>
        </w:tc>
        <w:tc>
          <w:tcPr>
            <w:tcW w:w="1480" w:type="dxa"/>
            <w:vAlign w:val="bottom"/>
          </w:tcPr>
          <w:p>
            <w:pPr>
              <w:jc w:val="right"/>
              <w:ind w:right="409"/>
              <w:spacing w:after="0"/>
              <w:rPr>
                <w:sz w:val="20"/>
                <w:szCs w:val="20"/>
                <w:color w:val="auto"/>
              </w:rPr>
            </w:pPr>
            <w:r>
              <w:rPr>
                <w:rFonts w:ascii="Arial" w:cs="Arial" w:eastAsia="Arial" w:hAnsi="Arial"/>
                <w:sz w:val="14"/>
                <w:szCs w:val="14"/>
                <w:color w:val="55565A"/>
              </w:rPr>
              <w:t>(23)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shd w:val="clear" w:color="auto" w:fill="CCEEFF"/>
          </w:tcPr>
          <w:p>
            <w:pPr>
              <w:spacing w:after="0" w:line="161" w:lineRule="exact"/>
              <w:rPr>
                <w:sz w:val="20"/>
                <w:szCs w:val="20"/>
                <w:color w:val="auto"/>
              </w:rPr>
            </w:pPr>
            <w:r>
              <w:rPr>
                <w:rFonts w:ascii="Arial" w:cs="Arial" w:eastAsia="Arial" w:hAnsi="Arial"/>
                <w:sz w:val="12"/>
                <w:szCs w:val="12"/>
                <w:color w:val="55565A"/>
              </w:rPr>
              <w:t>Fair value adjustments</w:t>
            </w:r>
            <w:r>
              <w:rPr>
                <w:rFonts w:ascii="Arial" w:cs="Arial" w:eastAsia="Arial" w:hAnsi="Arial"/>
                <w:sz w:val="18"/>
                <w:szCs w:val="18"/>
                <w:color w:val="55565A"/>
                <w:vertAlign w:val="superscript"/>
              </w:rPr>
              <w:t>(1)</w:t>
            </w:r>
          </w:p>
        </w:tc>
        <w:tc>
          <w:tcPr>
            <w:tcW w:w="332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(2)</w:t>
            </w:r>
          </w:p>
        </w:tc>
        <w:tc>
          <w:tcPr>
            <w:tcW w:w="14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Pr>
          <w:p>
            <w:pPr>
              <w:spacing w:after="0"/>
              <w:rPr>
                <w:sz w:val="20"/>
                <w:szCs w:val="20"/>
                <w:color w:val="auto"/>
              </w:rPr>
            </w:pPr>
            <w:r>
              <w:rPr>
                <w:rFonts w:ascii="Arial" w:cs="Arial" w:eastAsia="Arial" w:hAnsi="Arial"/>
                <w:sz w:val="14"/>
                <w:szCs w:val="14"/>
                <w:color w:val="55565A"/>
              </w:rPr>
              <w:t>Depreciation</w:t>
            </w:r>
          </w:p>
        </w:tc>
        <w:tc>
          <w:tcPr>
            <w:tcW w:w="3320" w:type="dxa"/>
            <w:vAlign w:val="bottom"/>
          </w:tcPr>
          <w:p>
            <w:pPr>
              <w:jc w:val="right"/>
              <w:ind w:right="569"/>
              <w:spacing w:after="0"/>
              <w:rPr>
                <w:sz w:val="20"/>
                <w:szCs w:val="20"/>
                <w:color w:val="auto"/>
              </w:rPr>
            </w:pPr>
            <w:r>
              <w:rPr>
                <w:rFonts w:ascii="Arial" w:cs="Arial" w:eastAsia="Arial" w:hAnsi="Arial"/>
                <w:sz w:val="14"/>
                <w:szCs w:val="14"/>
                <w:b w:val="1"/>
                <w:bCs w:val="1"/>
                <w:color w:val="55565A"/>
              </w:rPr>
              <w:t>(28)</w:t>
            </w:r>
          </w:p>
        </w:tc>
        <w:tc>
          <w:tcPr>
            <w:tcW w:w="1480" w:type="dxa"/>
            <w:vAlign w:val="bottom"/>
          </w:tcPr>
          <w:p>
            <w:pPr>
              <w:jc w:val="right"/>
              <w:ind w:right="409"/>
              <w:spacing w:after="0"/>
              <w:rPr>
                <w:sz w:val="20"/>
                <w:szCs w:val="20"/>
                <w:color w:val="auto"/>
              </w:rPr>
            </w:pPr>
            <w:r>
              <w:rPr>
                <w:rFonts w:ascii="Arial" w:cs="Arial" w:eastAsia="Arial" w:hAnsi="Arial"/>
                <w:sz w:val="14"/>
                <w:szCs w:val="14"/>
                <w:color w:val="55565A"/>
              </w:rPr>
              <w:t>(30)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4"/>
                <w:szCs w:val="14"/>
                <w:color w:val="55565A"/>
              </w:rPr>
              <w:t>Amortization of computer software</w:t>
            </w:r>
          </w:p>
        </w:tc>
        <w:tc>
          <w:tcPr>
            <w:tcW w:w="332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(153)</w:t>
            </w:r>
          </w:p>
        </w:tc>
        <w:tc>
          <w:tcPr>
            <w:tcW w:w="14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(118)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Pr>
          <w:p>
            <w:pPr>
              <w:spacing w:after="0"/>
              <w:rPr>
                <w:sz w:val="20"/>
                <w:szCs w:val="20"/>
                <w:color w:val="auto"/>
              </w:rPr>
            </w:pPr>
            <w:r>
              <w:rPr>
                <w:rFonts w:ascii="Arial" w:cs="Arial" w:eastAsia="Arial" w:hAnsi="Arial"/>
                <w:sz w:val="14"/>
                <w:szCs w:val="14"/>
                <w:color w:val="55565A"/>
              </w:rPr>
              <w:t>Amortization of other identifiable intangible assets</w:t>
            </w:r>
          </w:p>
        </w:tc>
        <w:tc>
          <w:tcPr>
            <w:tcW w:w="3320" w:type="dxa"/>
            <w:vAlign w:val="bottom"/>
          </w:tcPr>
          <w:p>
            <w:pPr>
              <w:jc w:val="right"/>
              <w:ind w:right="569"/>
              <w:spacing w:after="0"/>
              <w:rPr>
                <w:sz w:val="20"/>
                <w:szCs w:val="20"/>
                <w:color w:val="auto"/>
              </w:rPr>
            </w:pPr>
            <w:r>
              <w:rPr>
                <w:rFonts w:ascii="Arial" w:cs="Arial" w:eastAsia="Arial" w:hAnsi="Arial"/>
                <w:sz w:val="14"/>
                <w:szCs w:val="14"/>
                <w:b w:val="1"/>
                <w:bCs w:val="1"/>
                <w:color w:val="55565A"/>
              </w:rPr>
              <w:t>(25)</w:t>
            </w:r>
          </w:p>
        </w:tc>
        <w:tc>
          <w:tcPr>
            <w:tcW w:w="1480" w:type="dxa"/>
            <w:vAlign w:val="bottom"/>
          </w:tcPr>
          <w:p>
            <w:pPr>
              <w:jc w:val="right"/>
              <w:ind w:right="409"/>
              <w:spacing w:after="0"/>
              <w:rPr>
                <w:sz w:val="20"/>
                <w:szCs w:val="20"/>
                <w:color w:val="auto"/>
              </w:rPr>
            </w:pPr>
            <w:r>
              <w:rPr>
                <w:rFonts w:ascii="Arial" w:cs="Arial" w:eastAsia="Arial" w:hAnsi="Arial"/>
                <w:sz w:val="14"/>
                <w:szCs w:val="14"/>
                <w:color w:val="55565A"/>
              </w:rPr>
              <w:t>(25)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Other operating (losses) gains, net</w:t>
            </w:r>
          </w:p>
        </w:tc>
        <w:tc>
          <w:tcPr>
            <w:tcW w:w="3320" w:type="dxa"/>
            <w:vAlign w:val="bottom"/>
            <w:tcBorders>
              <w:bottom w:val="single" w:sz="8" w:color="88888B"/>
            </w:tcBorders>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(41)</w:t>
            </w:r>
          </w:p>
        </w:tc>
        <w:tc>
          <w:tcPr>
            <w:tcW w:w="148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17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00" w:type="dxa"/>
            <w:vAlign w:val="bottom"/>
          </w:tcPr>
          <w:p>
            <w:pPr>
              <w:spacing w:after="0" w:line="154" w:lineRule="exact"/>
              <w:rPr>
                <w:sz w:val="20"/>
                <w:szCs w:val="20"/>
                <w:color w:val="auto"/>
              </w:rPr>
            </w:pPr>
            <w:r>
              <w:rPr>
                <w:rFonts w:ascii="Arial" w:cs="Arial" w:eastAsia="Arial" w:hAnsi="Arial"/>
                <w:sz w:val="14"/>
                <w:szCs w:val="14"/>
                <w:color w:val="55565A"/>
              </w:rPr>
              <w:t>Operating profit</w:t>
            </w:r>
          </w:p>
        </w:tc>
        <w:tc>
          <w:tcPr>
            <w:tcW w:w="3320" w:type="dxa"/>
            <w:vAlign w:val="bottom"/>
          </w:tcPr>
          <w:p>
            <w:pPr>
              <w:jc w:val="right"/>
              <w:ind w:right="569"/>
              <w:spacing w:after="0" w:line="154" w:lineRule="exact"/>
              <w:rPr>
                <w:sz w:val="20"/>
                <w:szCs w:val="20"/>
                <w:color w:val="auto"/>
              </w:rPr>
            </w:pPr>
            <w:r>
              <w:rPr>
                <w:rFonts w:ascii="Arial" w:cs="Arial" w:eastAsia="Arial" w:hAnsi="Arial"/>
                <w:sz w:val="14"/>
                <w:szCs w:val="14"/>
                <w:b w:val="1"/>
                <w:bCs w:val="1"/>
                <w:color w:val="55565A"/>
              </w:rPr>
              <w:t>557</w:t>
            </w:r>
          </w:p>
        </w:tc>
        <w:tc>
          <w:tcPr>
            <w:tcW w:w="1480" w:type="dxa"/>
            <w:vAlign w:val="bottom"/>
          </w:tcPr>
          <w:p>
            <w:pPr>
              <w:jc w:val="right"/>
              <w:ind w:right="409"/>
              <w:spacing w:after="0" w:line="154" w:lineRule="exact"/>
              <w:rPr>
                <w:sz w:val="20"/>
                <w:szCs w:val="20"/>
                <w:color w:val="auto"/>
              </w:rPr>
            </w:pPr>
            <w:r>
              <w:rPr>
                <w:rFonts w:ascii="Arial" w:cs="Arial" w:eastAsia="Arial" w:hAnsi="Arial"/>
                <w:sz w:val="14"/>
                <w:szCs w:val="14"/>
                <w:color w:val="55565A"/>
              </w:rPr>
              <w:t>508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4"/>
                <w:szCs w:val="14"/>
                <w:color w:val="55565A"/>
              </w:rPr>
              <w:t>Net interest expense</w:t>
            </w:r>
          </w:p>
        </w:tc>
        <w:tc>
          <w:tcPr>
            <w:tcW w:w="332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(40)</w:t>
            </w:r>
          </w:p>
        </w:tc>
        <w:tc>
          <w:tcPr>
            <w:tcW w:w="14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(55)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Pr>
          <w:p>
            <w:pPr>
              <w:spacing w:after="0"/>
              <w:rPr>
                <w:sz w:val="20"/>
                <w:szCs w:val="20"/>
                <w:color w:val="auto"/>
              </w:rPr>
            </w:pPr>
            <w:r>
              <w:rPr>
                <w:rFonts w:ascii="Arial" w:cs="Arial" w:eastAsia="Arial" w:hAnsi="Arial"/>
                <w:sz w:val="14"/>
                <w:szCs w:val="14"/>
                <w:color w:val="55565A"/>
              </w:rPr>
              <w:t>Other finance income (costs)</w:t>
            </w:r>
          </w:p>
        </w:tc>
        <w:tc>
          <w:tcPr>
            <w:tcW w:w="3320" w:type="dxa"/>
            <w:vAlign w:val="bottom"/>
          </w:tcPr>
          <w:p>
            <w:pPr>
              <w:jc w:val="right"/>
              <w:ind w:right="569"/>
              <w:spacing w:after="0"/>
              <w:rPr>
                <w:sz w:val="20"/>
                <w:szCs w:val="20"/>
                <w:color w:val="auto"/>
              </w:rPr>
            </w:pPr>
            <w:r>
              <w:rPr>
                <w:rFonts w:ascii="Arial" w:cs="Arial" w:eastAsia="Arial" w:hAnsi="Arial"/>
                <w:sz w:val="14"/>
                <w:szCs w:val="14"/>
                <w:b w:val="1"/>
                <w:bCs w:val="1"/>
                <w:color w:val="55565A"/>
              </w:rPr>
              <w:t>22</w:t>
            </w:r>
          </w:p>
        </w:tc>
        <w:tc>
          <w:tcPr>
            <w:tcW w:w="1480" w:type="dxa"/>
            <w:vAlign w:val="bottom"/>
          </w:tcPr>
          <w:p>
            <w:pPr>
              <w:jc w:val="right"/>
              <w:ind w:right="409"/>
              <w:spacing w:after="0"/>
              <w:rPr>
                <w:sz w:val="20"/>
                <w:szCs w:val="20"/>
                <w:color w:val="auto"/>
              </w:rPr>
            </w:pPr>
            <w:r>
              <w:rPr>
                <w:rFonts w:ascii="Arial" w:cs="Arial" w:eastAsia="Arial" w:hAnsi="Arial"/>
                <w:sz w:val="14"/>
                <w:szCs w:val="14"/>
                <w:color w:val="55565A"/>
              </w:rPr>
              <w:t>(90)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4"/>
                <w:szCs w:val="14"/>
                <w:color w:val="55565A"/>
              </w:rPr>
              <w:t>Share of post-tax (losses) earnings in equity method investments</w:t>
            </w:r>
          </w:p>
        </w:tc>
        <w:tc>
          <w:tcPr>
            <w:tcW w:w="332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(8)</w:t>
            </w:r>
          </w:p>
        </w:tc>
        <w:tc>
          <w:tcPr>
            <w:tcW w:w="14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570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0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Tax expense</w:t>
            </w:r>
          </w:p>
        </w:tc>
        <w:tc>
          <w:tcPr>
            <w:tcW w:w="3320" w:type="dxa"/>
            <w:vAlign w:val="bottom"/>
            <w:tcBorders>
              <w:bottom w:val="single" w:sz="8" w:color="88888B"/>
            </w:tcBorders>
          </w:tcPr>
          <w:p>
            <w:pPr>
              <w:jc w:val="right"/>
              <w:ind w:right="569"/>
              <w:spacing w:after="0"/>
              <w:rPr>
                <w:sz w:val="20"/>
                <w:szCs w:val="20"/>
                <w:color w:val="auto"/>
              </w:rPr>
            </w:pPr>
            <w:r>
              <w:rPr>
                <w:rFonts w:ascii="Arial" w:cs="Arial" w:eastAsia="Arial" w:hAnsi="Arial"/>
                <w:sz w:val="14"/>
                <w:szCs w:val="14"/>
                <w:b w:val="1"/>
                <w:bCs w:val="1"/>
                <w:color w:val="55565A"/>
              </w:rPr>
              <w:t>(67)</w:t>
            </w:r>
          </w:p>
        </w:tc>
        <w:tc>
          <w:tcPr>
            <w:tcW w:w="1480" w:type="dxa"/>
            <w:vAlign w:val="bottom"/>
            <w:tcBorders>
              <w:bottom w:val="single" w:sz="8" w:color="88888B"/>
            </w:tcBorders>
          </w:tcPr>
          <w:p>
            <w:pPr>
              <w:jc w:val="right"/>
              <w:ind w:right="409"/>
              <w:spacing w:after="0"/>
              <w:rPr>
                <w:sz w:val="20"/>
                <w:szCs w:val="20"/>
                <w:color w:val="auto"/>
              </w:rPr>
            </w:pPr>
            <w:r>
              <w:rPr>
                <w:rFonts w:ascii="Arial" w:cs="Arial" w:eastAsia="Arial" w:hAnsi="Arial"/>
                <w:sz w:val="14"/>
                <w:szCs w:val="14"/>
                <w:color w:val="55565A"/>
              </w:rPr>
              <w:t>(196)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00" w:type="dxa"/>
            <w:vAlign w:val="bottom"/>
            <w:tcBorders>
              <w:bottom w:val="single" w:sz="8" w:color="88888B"/>
            </w:tcBorders>
            <w:shd w:val="clear" w:color="auto" w:fill="CCEEFF"/>
          </w:tcPr>
          <w:p>
            <w:pPr>
              <w:spacing w:after="0" w:line="154" w:lineRule="exact"/>
              <w:rPr>
                <w:sz w:val="20"/>
                <w:szCs w:val="20"/>
                <w:color w:val="auto"/>
              </w:rPr>
            </w:pPr>
            <w:r>
              <w:rPr>
                <w:rFonts w:ascii="Arial" w:cs="Arial" w:eastAsia="Arial" w:hAnsi="Arial"/>
                <w:sz w:val="14"/>
                <w:szCs w:val="14"/>
                <w:color w:val="55565A"/>
              </w:rPr>
              <w:t>Earnings from continuing operations</w:t>
            </w:r>
          </w:p>
        </w:tc>
        <w:tc>
          <w:tcPr>
            <w:tcW w:w="3320" w:type="dxa"/>
            <w:vAlign w:val="bottom"/>
            <w:tcBorders>
              <w:bottom w:val="single" w:sz="8" w:color="88888B"/>
            </w:tcBorders>
            <w:shd w:val="clear" w:color="auto" w:fill="CCEEFF"/>
          </w:tcPr>
          <w:p>
            <w:pPr>
              <w:jc w:val="right"/>
              <w:ind w:right="569"/>
              <w:spacing w:after="0" w:line="154" w:lineRule="exact"/>
              <w:rPr>
                <w:sz w:val="20"/>
                <w:szCs w:val="20"/>
                <w:color w:val="auto"/>
              </w:rPr>
            </w:pPr>
            <w:r>
              <w:rPr>
                <w:rFonts w:ascii="Arial" w:cs="Arial" w:eastAsia="Arial" w:hAnsi="Arial"/>
                <w:sz w:val="14"/>
                <w:szCs w:val="14"/>
                <w:b w:val="1"/>
                <w:bCs w:val="1"/>
                <w:color w:val="55565A"/>
              </w:rPr>
              <w:t>464</w:t>
            </w:r>
          </w:p>
        </w:tc>
        <w:tc>
          <w:tcPr>
            <w:tcW w:w="1480" w:type="dxa"/>
            <w:vAlign w:val="bottom"/>
            <w:tcBorders>
              <w:bottom w:val="single" w:sz="8" w:color="88888B"/>
            </w:tcBorders>
            <w:shd w:val="clear" w:color="auto" w:fill="CCEEFF"/>
          </w:tcPr>
          <w:p>
            <w:pPr>
              <w:jc w:val="right"/>
              <w:ind w:right="409"/>
              <w:spacing w:after="0" w:line="154" w:lineRule="exact"/>
              <w:rPr>
                <w:sz w:val="20"/>
                <w:szCs w:val="20"/>
                <w:color w:val="auto"/>
              </w:rPr>
            </w:pPr>
            <w:r>
              <w:rPr>
                <w:rFonts w:ascii="Arial" w:cs="Arial" w:eastAsia="Arial" w:hAnsi="Arial"/>
                <w:sz w:val="14"/>
                <w:szCs w:val="14"/>
                <w:color w:val="55565A"/>
              </w:rPr>
              <w:t>737</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20" w:hanging="313"/>
        <w:spacing w:after="0"/>
        <w:tabs>
          <w:tab w:leader="none" w:pos="320" w:val="left"/>
        </w:tabs>
        <w:numPr>
          <w:ilvl w:val="0"/>
          <w:numId w:val="28"/>
        </w:numPr>
        <w:rPr>
          <w:rFonts w:ascii="Arial" w:cs="Arial" w:eastAsia="Arial" w:hAnsi="Arial"/>
          <w:sz w:val="12"/>
          <w:szCs w:val="12"/>
          <w:color w:val="55565A"/>
        </w:rPr>
      </w:pPr>
      <w:r>
        <w:rPr>
          <w:rFonts w:ascii="Arial" w:cs="Arial" w:eastAsia="Arial" w:hAnsi="Arial"/>
          <w:sz w:val="12"/>
          <w:szCs w:val="12"/>
          <w:color w:val="55565A"/>
        </w:rPr>
        <w:t>The three months ended March 31, 2024 includes $4 million of acquired deferred revenue (2023 – $9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45</w:t>
      </w:r>
    </w:p>
    <w:p>
      <w:pPr>
        <w:sectPr>
          <w:pgSz w:w="11900" w:h="16838" w:orient="portrait"/>
          <w:cols w:equalWidth="0" w:num="1">
            <w:col w:w="10920"/>
          </w:cols>
          <w:pgMar w:left="480" w:top="1440" w:right="49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55565A"/>
        </w:rPr>
        <w:t>Reuters News revenues included $5 million in the three months ended March 31, 2024 (2023 - $6 million) primarily from content-related services that it provided to the Legal Professionals, Corporates and Tax &amp; Accounting Professionals segments.</w:t>
      </w:r>
    </w:p>
    <w:p>
      <w:pPr>
        <w:spacing w:after="0" w:line="54" w:lineRule="exact"/>
        <w:rPr>
          <w:sz w:val="20"/>
          <w:szCs w:val="20"/>
          <w:color w:val="auto"/>
        </w:rPr>
      </w:pPr>
    </w:p>
    <w:p>
      <w:pPr>
        <w:jc w:val="both"/>
        <w:ind w:right="180"/>
        <w:spacing w:after="0" w:line="262" w:lineRule="auto"/>
        <w:rPr>
          <w:sz w:val="20"/>
          <w:szCs w:val="20"/>
          <w:color w:val="auto"/>
        </w:rPr>
      </w:pPr>
      <w:r>
        <w:rPr>
          <w:rFonts w:ascii="Arial" w:cs="Arial" w:eastAsia="Arial" w:hAnsi="Arial"/>
          <w:sz w:val="16"/>
          <w:szCs w:val="16"/>
          <w:color w:val="55565A"/>
        </w:rPr>
        <w:t xml:space="preserve">In accordance with IFRS 8, </w:t>
      </w:r>
      <w:r>
        <w:rPr>
          <w:rFonts w:ascii="Arial" w:cs="Arial" w:eastAsia="Arial" w:hAnsi="Arial"/>
          <w:sz w:val="16"/>
          <w:szCs w:val="16"/>
          <w:i w:val="1"/>
          <w:iCs w:val="1"/>
          <w:color w:val="55565A"/>
        </w:rPr>
        <w:t>Operating Segments</w:t>
      </w:r>
      <w:r>
        <w:rPr>
          <w:rFonts w:ascii="Arial" w:cs="Arial" w:eastAsia="Arial" w:hAnsi="Arial"/>
          <w:sz w:val="16"/>
          <w:szCs w:val="16"/>
          <w:color w:val="55565A"/>
        </w:rPr>
        <w:t>, the Company discloses certain information about its reportable segments based upon measures used by management in assessing the performance of those reportable segments. These measures are defined below and may not be comparable to similar measures of other companies.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55565A"/>
        </w:rPr>
        <w:t>Segment Adjusted EBITDA</w:t>
      </w:r>
    </w:p>
    <w:p>
      <w:pPr>
        <w:sectPr>
          <w:pgSz w:w="11900" w:h="16838" w:orient="portrait"/>
          <w:cols w:equalWidth="0" w:num="1">
            <w:col w:w="10920"/>
          </w:cols>
          <w:pgMar w:left="480" w:top="1440" w:right="499" w:bottom="1440" w:gutter="0" w:footer="0" w:header="0"/>
        </w:sectPr>
      </w:pP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5565A"/>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5565A"/>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5565A"/>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55565A"/>
        </w:rPr>
        <w:t>Segment adjusted EBITDA represents earnings or loss from continuing operations before tax expense or benefit, net interest expense, other finance costs or income, depreciation, amortization of computer software and other identifiable intangible assets, the Company’s share of post-tax earnings or losses in equity method investments, other operating gains and losses, certain asset impairment charges, corporate related items and fair value adjustments, including those related to acquired deferred revenue.</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6"/>
          <w:szCs w:val="16"/>
          <w:color w:val="55565A"/>
        </w:rPr>
        <w:t>The Company does not consider these excluded items to be controllable operating activities for purposes of assessing the current performance of the reportable segments.</w:t>
      </w:r>
    </w:p>
    <w:p>
      <w:pPr>
        <w:jc w:val="both"/>
        <w:ind w:right="260"/>
        <w:spacing w:after="0" w:line="251" w:lineRule="auto"/>
        <w:rPr>
          <w:sz w:val="20"/>
          <w:szCs w:val="20"/>
          <w:color w:val="auto"/>
        </w:rPr>
      </w:pPr>
      <w:r>
        <w:rPr>
          <w:rFonts w:ascii="Arial" w:cs="Arial" w:eastAsia="Arial" w:hAnsi="Arial"/>
          <w:sz w:val="16"/>
          <w:szCs w:val="16"/>
          <w:color w:val="55565A"/>
        </w:rPr>
        <w:t>Each segment includes an allocation of costs, based on usage or other applicable measures, for centralized support services such as technology, customer service, commercial policy, facilities management, and product and content development. Additionally, product costs are allocated when one segment sells products managed by another segment.</w:t>
      </w:r>
    </w:p>
    <w:p>
      <w:pPr>
        <w:spacing w:after="0" w:line="77" w:lineRule="exact"/>
        <w:rPr>
          <w:sz w:val="20"/>
          <w:szCs w:val="20"/>
          <w:color w:val="auto"/>
        </w:rPr>
      </w:pPr>
    </w:p>
    <w:p>
      <w:pPr>
        <w:sectPr>
          <w:pgSz w:w="11900" w:h="16838" w:orient="portrait"/>
          <w:cols w:equalWidth="0" w:num="2">
            <w:col w:w="60" w:space="260"/>
            <w:col w:w="10600"/>
          </w:cols>
          <w:pgMar w:left="480" w:top="1440" w:right="49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55565A"/>
        </w:rPr>
        <w:t>Note 4: Seasonality</w:t>
      </w:r>
    </w:p>
    <w:p>
      <w:pPr>
        <w:spacing w:after="0" w:line="10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55565A"/>
        </w:rPr>
        <w:t>The Company’s revenues and operating profit on a consolidated basis do not tend to be significantly impacted by seasonality as it records a large portion of its revenues ratably over the contract term and its costs are generally incurred evenly throughout the year. However, the Company’s revenues from quarter to consecutive quarter can be impacted by seasonality, particularly in the Company’s Tax &amp; Accounting business, where revenues tend to be concentrated in the first and fourth quarters.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5: 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5565A"/>
        </w:rPr>
        <w:t>The components of operating expenses include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220" w:type="dxa"/>
            <w:vAlign w:val="bottom"/>
            <w:tcBorders>
              <w:top w:val="single" w:sz="8" w:color="55565A"/>
            </w:tcBorders>
          </w:tcPr>
          <w:p>
            <w:pPr>
              <w:spacing w:after="0"/>
              <w:rPr>
                <w:sz w:val="18"/>
                <w:szCs w:val="18"/>
                <w:color w:val="auto"/>
              </w:rPr>
            </w:pPr>
          </w:p>
        </w:tc>
        <w:tc>
          <w:tcPr>
            <w:tcW w:w="5680" w:type="dxa"/>
            <w:vAlign w:val="bottom"/>
            <w:tcBorders>
              <w:top w:val="single" w:sz="8" w:color="55565A"/>
            </w:tcBorders>
            <w:gridSpan w:val="2"/>
          </w:tcPr>
          <w:p>
            <w:pPr>
              <w:jc w:val="right"/>
              <w:ind w:right="729"/>
              <w:spacing w:after="0"/>
              <w:rPr>
                <w:sz w:val="20"/>
                <w:szCs w:val="20"/>
                <w:color w:val="auto"/>
              </w:rPr>
            </w:pPr>
            <w:r>
              <w:rPr>
                <w:rFonts w:ascii="Arial" w:cs="Arial" w:eastAsia="Arial" w:hAnsi="Arial"/>
                <w:sz w:val="14"/>
                <w:szCs w:val="14"/>
                <w:b w:val="1"/>
                <w:bCs w:val="1"/>
                <w:color w:val="55565A"/>
              </w:rPr>
              <w:t>Three months ended March 31,</w:t>
            </w:r>
          </w:p>
        </w:tc>
      </w:tr>
      <w:tr>
        <w:trPr>
          <w:trHeight w:val="205"/>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4100" w:type="dxa"/>
            <w:vAlign w:val="bottom"/>
          </w:tcPr>
          <w:p>
            <w:pPr>
              <w:jc w:val="right"/>
              <w:ind w:right="669"/>
              <w:spacing w:after="0"/>
              <w:rPr>
                <w:sz w:val="20"/>
                <w:szCs w:val="20"/>
                <w:color w:val="auto"/>
              </w:rPr>
            </w:pPr>
            <w:r>
              <w:rPr>
                <w:rFonts w:ascii="Arial" w:cs="Arial" w:eastAsia="Arial" w:hAnsi="Arial"/>
                <w:sz w:val="14"/>
                <w:szCs w:val="14"/>
                <w:b w:val="1"/>
                <w:bCs w:val="1"/>
                <w:color w:val="55565A"/>
              </w:rPr>
              <w:t>2024</w:t>
            </w:r>
          </w:p>
        </w:tc>
        <w:tc>
          <w:tcPr>
            <w:tcW w:w="1580" w:type="dxa"/>
            <w:vAlign w:val="bottom"/>
          </w:tcPr>
          <w:p>
            <w:pPr>
              <w:jc w:val="right"/>
              <w:ind w:right="409"/>
              <w:spacing w:after="0"/>
              <w:rPr>
                <w:sz w:val="20"/>
                <w:szCs w:val="20"/>
                <w:color w:val="auto"/>
              </w:rPr>
            </w:pPr>
            <w:r>
              <w:rPr>
                <w:rFonts w:ascii="Arial" w:cs="Arial" w:eastAsia="Arial" w:hAnsi="Arial"/>
                <w:sz w:val="14"/>
                <w:szCs w:val="14"/>
                <w:color w:val="55565A"/>
              </w:rPr>
              <w:t>2023</w:t>
            </w:r>
          </w:p>
        </w:tc>
      </w:tr>
      <w:tr>
        <w:trPr>
          <w:trHeight w:val="28"/>
        </w:trPr>
        <w:tc>
          <w:tcPr>
            <w:tcW w:w="5240" w:type="dxa"/>
            <w:vAlign w:val="bottom"/>
            <w:gridSpan w:val="2"/>
          </w:tcPr>
          <w:p>
            <w:pPr>
              <w:spacing w:after="0"/>
              <w:rPr>
                <w:sz w:val="2"/>
                <w:szCs w:val="2"/>
                <w:color w:val="auto"/>
              </w:rPr>
            </w:pPr>
          </w:p>
        </w:tc>
        <w:tc>
          <w:tcPr>
            <w:tcW w:w="4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5220" w:type="dxa"/>
            <w:vAlign w:val="bottom"/>
            <w:tcBorders>
              <w:top w:val="single" w:sz="8" w:color="88888B"/>
            </w:tcBorders>
            <w:shd w:val="clear" w:color="auto" w:fill="CCEEFF"/>
          </w:tcPr>
          <w:p>
            <w:pPr>
              <w:spacing w:after="0" w:line="154" w:lineRule="exact"/>
              <w:rPr>
                <w:sz w:val="20"/>
                <w:szCs w:val="20"/>
                <w:color w:val="auto"/>
              </w:rPr>
            </w:pPr>
            <w:r>
              <w:rPr>
                <w:rFonts w:ascii="Arial" w:cs="Arial" w:eastAsia="Arial" w:hAnsi="Arial"/>
                <w:sz w:val="14"/>
                <w:szCs w:val="14"/>
                <w:color w:val="55565A"/>
              </w:rPr>
              <w:t>Salaries, commissions and allowances</w:t>
            </w:r>
          </w:p>
        </w:tc>
        <w:tc>
          <w:tcPr>
            <w:tcW w:w="4100" w:type="dxa"/>
            <w:vAlign w:val="bottom"/>
            <w:tcBorders>
              <w:top w:val="single" w:sz="8" w:color="88888B"/>
            </w:tcBorders>
            <w:shd w:val="clear" w:color="auto" w:fill="CCEEFF"/>
          </w:tcPr>
          <w:p>
            <w:pPr>
              <w:jc w:val="right"/>
              <w:ind w:right="669"/>
              <w:spacing w:after="0" w:line="154" w:lineRule="exact"/>
              <w:rPr>
                <w:sz w:val="20"/>
                <w:szCs w:val="20"/>
                <w:color w:val="auto"/>
              </w:rPr>
            </w:pPr>
            <w:r>
              <w:rPr>
                <w:rFonts w:ascii="Arial" w:cs="Arial" w:eastAsia="Arial" w:hAnsi="Arial"/>
                <w:sz w:val="14"/>
                <w:szCs w:val="14"/>
                <w:b w:val="1"/>
                <w:bCs w:val="1"/>
                <w:color w:val="55565A"/>
              </w:rPr>
              <w:t>570</w:t>
            </w:r>
          </w:p>
        </w:tc>
        <w:tc>
          <w:tcPr>
            <w:tcW w:w="1580" w:type="dxa"/>
            <w:vAlign w:val="bottom"/>
            <w:tcBorders>
              <w:top w:val="single" w:sz="8" w:color="88888B"/>
            </w:tcBorders>
            <w:shd w:val="clear" w:color="auto" w:fill="CCEEFF"/>
          </w:tcPr>
          <w:p>
            <w:pPr>
              <w:jc w:val="right"/>
              <w:ind w:right="409"/>
              <w:spacing w:after="0" w:line="154" w:lineRule="exact"/>
              <w:rPr>
                <w:sz w:val="20"/>
                <w:szCs w:val="20"/>
                <w:color w:val="auto"/>
              </w:rPr>
            </w:pPr>
            <w:r>
              <w:rPr>
                <w:rFonts w:ascii="Arial" w:cs="Arial" w:eastAsia="Arial" w:hAnsi="Arial"/>
                <w:sz w:val="14"/>
                <w:szCs w:val="14"/>
                <w:color w:val="55565A"/>
              </w:rPr>
              <w:t>587</w:t>
            </w:r>
          </w:p>
        </w:tc>
      </w:tr>
      <w:tr>
        <w:trPr>
          <w:trHeight w:val="160"/>
        </w:trPr>
        <w:tc>
          <w:tcPr>
            <w:tcW w:w="20" w:type="dxa"/>
            <w:vAlign w:val="bottom"/>
          </w:tcPr>
          <w:p>
            <w:pPr>
              <w:spacing w:after="0"/>
              <w:rPr>
                <w:sz w:val="13"/>
                <w:szCs w:val="13"/>
                <w:color w:val="auto"/>
              </w:rPr>
            </w:pPr>
          </w:p>
        </w:tc>
        <w:tc>
          <w:tcPr>
            <w:tcW w:w="5220" w:type="dxa"/>
            <w:vAlign w:val="bottom"/>
          </w:tcPr>
          <w:p>
            <w:pPr>
              <w:spacing w:after="0"/>
              <w:rPr>
                <w:sz w:val="20"/>
                <w:szCs w:val="20"/>
                <w:color w:val="auto"/>
              </w:rPr>
            </w:pPr>
            <w:r>
              <w:rPr>
                <w:rFonts w:ascii="Arial" w:cs="Arial" w:eastAsia="Arial" w:hAnsi="Arial"/>
                <w:sz w:val="14"/>
                <w:szCs w:val="14"/>
                <w:color w:val="55565A"/>
              </w:rPr>
              <w:t>Share-based payments</w:t>
            </w:r>
          </w:p>
        </w:tc>
        <w:tc>
          <w:tcPr>
            <w:tcW w:w="4100" w:type="dxa"/>
            <w:vAlign w:val="bottom"/>
          </w:tcPr>
          <w:p>
            <w:pPr>
              <w:jc w:val="right"/>
              <w:ind w:right="669"/>
              <w:spacing w:after="0"/>
              <w:rPr>
                <w:sz w:val="20"/>
                <w:szCs w:val="20"/>
                <w:color w:val="auto"/>
              </w:rPr>
            </w:pPr>
            <w:r>
              <w:rPr>
                <w:rFonts w:ascii="Arial" w:cs="Arial" w:eastAsia="Arial" w:hAnsi="Arial"/>
                <w:sz w:val="14"/>
                <w:szCs w:val="14"/>
                <w:b w:val="1"/>
                <w:bCs w:val="1"/>
                <w:color w:val="55565A"/>
              </w:rPr>
              <w:t>19</w:t>
            </w:r>
          </w:p>
        </w:tc>
        <w:tc>
          <w:tcPr>
            <w:tcW w:w="1580" w:type="dxa"/>
            <w:vAlign w:val="bottom"/>
          </w:tcPr>
          <w:p>
            <w:pPr>
              <w:jc w:val="right"/>
              <w:ind w:right="409"/>
              <w:spacing w:after="0"/>
              <w:rPr>
                <w:sz w:val="20"/>
                <w:szCs w:val="20"/>
                <w:color w:val="auto"/>
              </w:rPr>
            </w:pPr>
            <w:r>
              <w:rPr>
                <w:rFonts w:ascii="Arial" w:cs="Arial" w:eastAsia="Arial" w:hAnsi="Arial"/>
                <w:sz w:val="14"/>
                <w:szCs w:val="14"/>
                <w:color w:val="55565A"/>
              </w:rPr>
              <w:t>25</w:t>
            </w:r>
          </w:p>
        </w:tc>
      </w:tr>
      <w:tr>
        <w:trPr>
          <w:trHeight w:val="160"/>
        </w:trPr>
        <w:tc>
          <w:tcPr>
            <w:tcW w:w="20" w:type="dxa"/>
            <w:vAlign w:val="bottom"/>
          </w:tcPr>
          <w:p>
            <w:pPr>
              <w:spacing w:after="0"/>
              <w:rPr>
                <w:sz w:val="13"/>
                <w:szCs w:val="13"/>
                <w:color w:val="auto"/>
              </w:rPr>
            </w:pPr>
          </w:p>
        </w:tc>
        <w:tc>
          <w:tcPr>
            <w:tcW w:w="522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Post-employment benefits</w:t>
            </w:r>
          </w:p>
        </w:tc>
        <w:tc>
          <w:tcPr>
            <w:tcW w:w="4100" w:type="dxa"/>
            <w:vAlign w:val="bottom"/>
            <w:tcBorders>
              <w:bottom w:val="single" w:sz="8" w:color="88888B"/>
            </w:tcBorders>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31</w:t>
            </w:r>
          </w:p>
        </w:tc>
        <w:tc>
          <w:tcPr>
            <w:tcW w:w="158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29</w:t>
            </w:r>
          </w:p>
        </w:tc>
      </w:tr>
      <w:tr>
        <w:trPr>
          <w:trHeight w:val="154"/>
        </w:trPr>
        <w:tc>
          <w:tcPr>
            <w:tcW w:w="20" w:type="dxa"/>
            <w:vAlign w:val="bottom"/>
          </w:tcPr>
          <w:p>
            <w:pPr>
              <w:spacing w:after="0"/>
              <w:rPr>
                <w:sz w:val="13"/>
                <w:szCs w:val="13"/>
                <w:color w:val="auto"/>
              </w:rPr>
            </w:pPr>
          </w:p>
        </w:tc>
        <w:tc>
          <w:tcPr>
            <w:tcW w:w="5220" w:type="dxa"/>
            <w:vAlign w:val="bottom"/>
          </w:tcPr>
          <w:p>
            <w:pPr>
              <w:spacing w:after="0" w:line="154" w:lineRule="exact"/>
              <w:rPr>
                <w:sz w:val="20"/>
                <w:szCs w:val="20"/>
                <w:color w:val="auto"/>
              </w:rPr>
            </w:pPr>
            <w:r>
              <w:rPr>
                <w:rFonts w:ascii="Arial" w:cs="Arial" w:eastAsia="Arial" w:hAnsi="Arial"/>
                <w:sz w:val="14"/>
                <w:szCs w:val="14"/>
                <w:color w:val="55565A"/>
              </w:rPr>
              <w:t>Total staff costs</w:t>
            </w:r>
          </w:p>
        </w:tc>
        <w:tc>
          <w:tcPr>
            <w:tcW w:w="4100" w:type="dxa"/>
            <w:vAlign w:val="bottom"/>
          </w:tcPr>
          <w:p>
            <w:pPr>
              <w:jc w:val="right"/>
              <w:ind w:right="669"/>
              <w:spacing w:after="0" w:line="154" w:lineRule="exact"/>
              <w:rPr>
                <w:sz w:val="20"/>
                <w:szCs w:val="20"/>
                <w:color w:val="auto"/>
              </w:rPr>
            </w:pPr>
            <w:r>
              <w:rPr>
                <w:rFonts w:ascii="Arial" w:cs="Arial" w:eastAsia="Arial" w:hAnsi="Arial"/>
                <w:sz w:val="14"/>
                <w:szCs w:val="14"/>
                <w:b w:val="1"/>
                <w:bCs w:val="1"/>
                <w:color w:val="55565A"/>
              </w:rPr>
              <w:t>620</w:t>
            </w:r>
          </w:p>
        </w:tc>
        <w:tc>
          <w:tcPr>
            <w:tcW w:w="1580" w:type="dxa"/>
            <w:vAlign w:val="bottom"/>
          </w:tcPr>
          <w:p>
            <w:pPr>
              <w:jc w:val="right"/>
              <w:ind w:right="409"/>
              <w:spacing w:after="0" w:line="154" w:lineRule="exact"/>
              <w:rPr>
                <w:sz w:val="20"/>
                <w:szCs w:val="20"/>
                <w:color w:val="auto"/>
              </w:rPr>
            </w:pPr>
            <w:r>
              <w:rPr>
                <w:rFonts w:ascii="Arial" w:cs="Arial" w:eastAsia="Arial" w:hAnsi="Arial"/>
                <w:sz w:val="14"/>
                <w:szCs w:val="14"/>
                <w:color w:val="55565A"/>
              </w:rPr>
              <w:t>641</w:t>
            </w:r>
          </w:p>
        </w:tc>
      </w:tr>
      <w:tr>
        <w:trPr>
          <w:trHeight w:val="160"/>
        </w:trPr>
        <w:tc>
          <w:tcPr>
            <w:tcW w:w="20" w:type="dxa"/>
            <w:vAlign w:val="bottom"/>
          </w:tcPr>
          <w:p>
            <w:pPr>
              <w:spacing w:after="0"/>
              <w:rPr>
                <w:sz w:val="13"/>
                <w:szCs w:val="13"/>
                <w:color w:val="auto"/>
              </w:rPr>
            </w:pPr>
          </w:p>
        </w:tc>
        <w:tc>
          <w:tcPr>
            <w:tcW w:w="5220" w:type="dxa"/>
            <w:vAlign w:val="bottom"/>
            <w:shd w:val="clear" w:color="auto" w:fill="CCEEFF"/>
          </w:tcPr>
          <w:p>
            <w:pPr>
              <w:spacing w:after="0" w:line="161" w:lineRule="exact"/>
              <w:rPr>
                <w:sz w:val="20"/>
                <w:szCs w:val="20"/>
                <w:color w:val="auto"/>
              </w:rPr>
            </w:pPr>
            <w:r>
              <w:rPr>
                <w:rFonts w:ascii="Arial" w:cs="Arial" w:eastAsia="Arial" w:hAnsi="Arial"/>
                <w:sz w:val="12"/>
                <w:szCs w:val="12"/>
                <w:color w:val="55565A"/>
              </w:rPr>
              <w:t>Goods and services</w:t>
            </w:r>
            <w:r>
              <w:rPr>
                <w:rFonts w:ascii="Arial" w:cs="Arial" w:eastAsia="Arial" w:hAnsi="Arial"/>
                <w:sz w:val="18"/>
                <w:szCs w:val="18"/>
                <w:color w:val="55565A"/>
                <w:vertAlign w:val="superscript"/>
              </w:rPr>
              <w:t>(1)</w:t>
            </w:r>
          </w:p>
        </w:tc>
        <w:tc>
          <w:tcPr>
            <w:tcW w:w="410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373</w:t>
            </w:r>
          </w:p>
        </w:tc>
        <w:tc>
          <w:tcPr>
            <w:tcW w:w="1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342</w:t>
            </w:r>
          </w:p>
        </w:tc>
      </w:tr>
      <w:tr>
        <w:trPr>
          <w:trHeight w:val="160"/>
        </w:trPr>
        <w:tc>
          <w:tcPr>
            <w:tcW w:w="20" w:type="dxa"/>
            <w:vAlign w:val="bottom"/>
          </w:tcPr>
          <w:p>
            <w:pPr>
              <w:spacing w:after="0"/>
              <w:rPr>
                <w:sz w:val="13"/>
                <w:szCs w:val="13"/>
                <w:color w:val="auto"/>
              </w:rPr>
            </w:pPr>
          </w:p>
        </w:tc>
        <w:tc>
          <w:tcPr>
            <w:tcW w:w="5220" w:type="dxa"/>
            <w:vAlign w:val="bottom"/>
          </w:tcPr>
          <w:p>
            <w:pPr>
              <w:spacing w:after="0"/>
              <w:rPr>
                <w:sz w:val="20"/>
                <w:szCs w:val="20"/>
                <w:color w:val="auto"/>
              </w:rPr>
            </w:pPr>
            <w:r>
              <w:rPr>
                <w:rFonts w:ascii="Arial" w:cs="Arial" w:eastAsia="Arial" w:hAnsi="Arial"/>
                <w:sz w:val="14"/>
                <w:szCs w:val="14"/>
                <w:color w:val="55565A"/>
              </w:rPr>
              <w:t>Content</w:t>
            </w:r>
          </w:p>
        </w:tc>
        <w:tc>
          <w:tcPr>
            <w:tcW w:w="4100" w:type="dxa"/>
            <w:vAlign w:val="bottom"/>
          </w:tcPr>
          <w:p>
            <w:pPr>
              <w:jc w:val="right"/>
              <w:ind w:right="669"/>
              <w:spacing w:after="0"/>
              <w:rPr>
                <w:sz w:val="20"/>
                <w:szCs w:val="20"/>
                <w:color w:val="auto"/>
              </w:rPr>
            </w:pPr>
            <w:r>
              <w:rPr>
                <w:rFonts w:ascii="Arial" w:cs="Arial" w:eastAsia="Arial" w:hAnsi="Arial"/>
                <w:sz w:val="14"/>
                <w:szCs w:val="14"/>
                <w:b w:val="1"/>
                <w:bCs w:val="1"/>
                <w:color w:val="55565A"/>
              </w:rPr>
              <w:t>71</w:t>
            </w:r>
          </w:p>
        </w:tc>
        <w:tc>
          <w:tcPr>
            <w:tcW w:w="1580" w:type="dxa"/>
            <w:vAlign w:val="bottom"/>
          </w:tcPr>
          <w:p>
            <w:pPr>
              <w:jc w:val="right"/>
              <w:ind w:right="409"/>
              <w:spacing w:after="0"/>
              <w:rPr>
                <w:sz w:val="20"/>
                <w:szCs w:val="20"/>
                <w:color w:val="auto"/>
              </w:rPr>
            </w:pPr>
            <w:r>
              <w:rPr>
                <w:rFonts w:ascii="Arial" w:cs="Arial" w:eastAsia="Arial" w:hAnsi="Arial"/>
                <w:sz w:val="14"/>
                <w:szCs w:val="14"/>
                <w:color w:val="55565A"/>
              </w:rPr>
              <w:t>69</w:t>
            </w:r>
          </w:p>
        </w:tc>
      </w:tr>
      <w:tr>
        <w:trPr>
          <w:trHeight w:val="160"/>
        </w:trPr>
        <w:tc>
          <w:tcPr>
            <w:tcW w:w="20" w:type="dxa"/>
            <w:vAlign w:val="bottom"/>
          </w:tcPr>
          <w:p>
            <w:pPr>
              <w:spacing w:after="0"/>
              <w:rPr>
                <w:sz w:val="13"/>
                <w:szCs w:val="13"/>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4"/>
                <w:szCs w:val="14"/>
                <w:color w:val="55565A"/>
              </w:rPr>
              <w:t>Telecommunications</w:t>
            </w:r>
          </w:p>
        </w:tc>
        <w:tc>
          <w:tcPr>
            <w:tcW w:w="410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9</w:t>
            </w:r>
          </w:p>
        </w:tc>
        <w:tc>
          <w:tcPr>
            <w:tcW w:w="1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10</w:t>
            </w:r>
          </w:p>
        </w:tc>
      </w:tr>
      <w:tr>
        <w:trPr>
          <w:trHeight w:val="160"/>
        </w:trPr>
        <w:tc>
          <w:tcPr>
            <w:tcW w:w="20" w:type="dxa"/>
            <w:vAlign w:val="bottom"/>
          </w:tcPr>
          <w:p>
            <w:pPr>
              <w:spacing w:after="0"/>
              <w:rPr>
                <w:sz w:val="13"/>
                <w:szCs w:val="13"/>
                <w:color w:val="auto"/>
              </w:rPr>
            </w:pPr>
          </w:p>
        </w:tc>
        <w:tc>
          <w:tcPr>
            <w:tcW w:w="5220" w:type="dxa"/>
            <w:vAlign w:val="bottom"/>
          </w:tcPr>
          <w:p>
            <w:pPr>
              <w:spacing w:after="0"/>
              <w:rPr>
                <w:sz w:val="20"/>
                <w:szCs w:val="20"/>
                <w:color w:val="auto"/>
              </w:rPr>
            </w:pPr>
            <w:r>
              <w:rPr>
                <w:rFonts w:ascii="Arial" w:cs="Arial" w:eastAsia="Arial" w:hAnsi="Arial"/>
                <w:sz w:val="14"/>
                <w:szCs w:val="14"/>
                <w:color w:val="55565A"/>
              </w:rPr>
              <w:t>Facilities</w:t>
            </w:r>
          </w:p>
        </w:tc>
        <w:tc>
          <w:tcPr>
            <w:tcW w:w="4100" w:type="dxa"/>
            <w:vAlign w:val="bottom"/>
          </w:tcPr>
          <w:p>
            <w:pPr>
              <w:jc w:val="right"/>
              <w:ind w:right="669"/>
              <w:spacing w:after="0"/>
              <w:rPr>
                <w:sz w:val="20"/>
                <w:szCs w:val="20"/>
                <w:color w:val="auto"/>
              </w:rPr>
            </w:pPr>
            <w:r>
              <w:rPr>
                <w:rFonts w:ascii="Arial" w:cs="Arial" w:eastAsia="Arial" w:hAnsi="Arial"/>
                <w:sz w:val="14"/>
                <w:szCs w:val="14"/>
                <w:b w:val="1"/>
                <w:bCs w:val="1"/>
                <w:color w:val="55565A"/>
              </w:rPr>
              <w:t>10</w:t>
            </w:r>
          </w:p>
        </w:tc>
        <w:tc>
          <w:tcPr>
            <w:tcW w:w="1580" w:type="dxa"/>
            <w:vAlign w:val="bottom"/>
          </w:tcPr>
          <w:p>
            <w:pPr>
              <w:jc w:val="right"/>
              <w:ind w:right="409"/>
              <w:spacing w:after="0"/>
              <w:rPr>
                <w:sz w:val="20"/>
                <w:szCs w:val="20"/>
                <w:color w:val="auto"/>
              </w:rPr>
            </w:pPr>
            <w:r>
              <w:rPr>
                <w:rFonts w:ascii="Arial" w:cs="Arial" w:eastAsia="Arial" w:hAnsi="Arial"/>
                <w:sz w:val="14"/>
                <w:szCs w:val="14"/>
                <w:color w:val="55565A"/>
              </w:rPr>
              <w:t>8</w:t>
            </w:r>
          </w:p>
        </w:tc>
      </w:tr>
      <w:tr>
        <w:trPr>
          <w:trHeight w:val="160"/>
        </w:trPr>
        <w:tc>
          <w:tcPr>
            <w:tcW w:w="20" w:type="dxa"/>
            <w:vAlign w:val="bottom"/>
          </w:tcPr>
          <w:p>
            <w:pPr>
              <w:spacing w:after="0"/>
              <w:rPr>
                <w:sz w:val="13"/>
                <w:szCs w:val="13"/>
                <w:color w:val="auto"/>
              </w:rPr>
            </w:pPr>
          </w:p>
        </w:tc>
        <w:tc>
          <w:tcPr>
            <w:tcW w:w="5220" w:type="dxa"/>
            <w:vAlign w:val="bottom"/>
            <w:tcBorders>
              <w:bottom w:val="single" w:sz="8" w:color="88888B"/>
            </w:tcBorders>
            <w:shd w:val="clear" w:color="auto" w:fill="CCEEFF"/>
          </w:tcPr>
          <w:p>
            <w:pPr>
              <w:spacing w:after="0" w:line="161" w:lineRule="exact"/>
              <w:rPr>
                <w:sz w:val="20"/>
                <w:szCs w:val="20"/>
                <w:color w:val="auto"/>
              </w:rPr>
            </w:pPr>
            <w:r>
              <w:rPr>
                <w:rFonts w:ascii="Arial" w:cs="Arial" w:eastAsia="Arial" w:hAnsi="Arial"/>
                <w:sz w:val="12"/>
                <w:szCs w:val="12"/>
                <w:color w:val="55565A"/>
              </w:rPr>
              <w:t>Fair value adjustments</w:t>
            </w:r>
            <w:r>
              <w:rPr>
                <w:rFonts w:ascii="Arial" w:cs="Arial" w:eastAsia="Arial" w:hAnsi="Arial"/>
                <w:sz w:val="18"/>
                <w:szCs w:val="18"/>
                <w:color w:val="55565A"/>
                <w:vertAlign w:val="superscript"/>
              </w:rPr>
              <w:t>(2)</w:t>
            </w:r>
          </w:p>
        </w:tc>
        <w:tc>
          <w:tcPr>
            <w:tcW w:w="4100" w:type="dxa"/>
            <w:vAlign w:val="bottom"/>
            <w:tcBorders>
              <w:bottom w:val="single" w:sz="8" w:color="88888B"/>
            </w:tcBorders>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(2)</w:t>
            </w:r>
          </w:p>
        </w:tc>
        <w:tc>
          <w:tcPr>
            <w:tcW w:w="158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4</w:t>
            </w:r>
          </w:p>
        </w:tc>
      </w:tr>
      <w:tr>
        <w:trPr>
          <w:trHeight w:val="154"/>
        </w:trPr>
        <w:tc>
          <w:tcPr>
            <w:tcW w:w="20" w:type="dxa"/>
            <w:vAlign w:val="bottom"/>
            <w:tcBorders>
              <w:bottom w:val="single" w:sz="8" w:color="88888B"/>
            </w:tcBorders>
          </w:tcPr>
          <w:p>
            <w:pPr>
              <w:spacing w:after="0"/>
              <w:rPr>
                <w:sz w:val="13"/>
                <w:szCs w:val="13"/>
                <w:color w:val="auto"/>
              </w:rPr>
            </w:pPr>
          </w:p>
        </w:tc>
        <w:tc>
          <w:tcPr>
            <w:tcW w:w="5220" w:type="dxa"/>
            <w:vAlign w:val="bottom"/>
            <w:tcBorders>
              <w:bottom w:val="single" w:sz="8" w:color="88888B"/>
            </w:tcBorders>
          </w:tcPr>
          <w:p>
            <w:pPr>
              <w:spacing w:after="0" w:line="154" w:lineRule="exact"/>
              <w:rPr>
                <w:sz w:val="20"/>
                <w:szCs w:val="20"/>
                <w:color w:val="auto"/>
              </w:rPr>
            </w:pPr>
            <w:r>
              <w:rPr>
                <w:rFonts w:ascii="Arial" w:cs="Arial" w:eastAsia="Arial" w:hAnsi="Arial"/>
                <w:sz w:val="14"/>
                <w:szCs w:val="14"/>
                <w:color w:val="55565A"/>
              </w:rPr>
              <w:t>Total operating expenses</w:t>
            </w:r>
          </w:p>
        </w:tc>
        <w:tc>
          <w:tcPr>
            <w:tcW w:w="4100" w:type="dxa"/>
            <w:vAlign w:val="bottom"/>
            <w:tcBorders>
              <w:bottom w:val="single" w:sz="8" w:color="88888B"/>
            </w:tcBorders>
          </w:tcPr>
          <w:p>
            <w:pPr>
              <w:jc w:val="right"/>
              <w:ind w:right="669"/>
              <w:spacing w:after="0" w:line="154" w:lineRule="exact"/>
              <w:rPr>
                <w:sz w:val="20"/>
                <w:szCs w:val="20"/>
                <w:color w:val="auto"/>
              </w:rPr>
            </w:pPr>
            <w:r>
              <w:rPr>
                <w:rFonts w:ascii="Arial" w:cs="Arial" w:eastAsia="Arial" w:hAnsi="Arial"/>
                <w:sz w:val="14"/>
                <w:szCs w:val="14"/>
                <w:b w:val="1"/>
                <w:bCs w:val="1"/>
                <w:color w:val="55565A"/>
              </w:rPr>
              <w:t>1,081</w:t>
            </w:r>
          </w:p>
        </w:tc>
        <w:tc>
          <w:tcPr>
            <w:tcW w:w="1580" w:type="dxa"/>
            <w:vAlign w:val="bottom"/>
            <w:tcBorders>
              <w:bottom w:val="single" w:sz="8" w:color="88888B"/>
            </w:tcBorders>
          </w:tcPr>
          <w:p>
            <w:pPr>
              <w:jc w:val="right"/>
              <w:ind w:right="409"/>
              <w:spacing w:after="0" w:line="154" w:lineRule="exact"/>
              <w:rPr>
                <w:sz w:val="20"/>
                <w:szCs w:val="20"/>
                <w:color w:val="auto"/>
              </w:rPr>
            </w:pPr>
            <w:r>
              <w:rPr>
                <w:rFonts w:ascii="Arial" w:cs="Arial" w:eastAsia="Arial" w:hAnsi="Arial"/>
                <w:sz w:val="14"/>
                <w:szCs w:val="14"/>
                <w:color w:val="55565A"/>
              </w:rPr>
              <w:t>1,074</w:t>
            </w:r>
          </w:p>
        </w:tc>
      </w:tr>
    </w:tbl>
    <w:p>
      <w:pPr>
        <w:spacing w:after="0" w:line="102" w:lineRule="exact"/>
        <w:rPr>
          <w:sz w:val="20"/>
          <w:szCs w:val="20"/>
          <w:color w:val="auto"/>
        </w:rPr>
      </w:pPr>
    </w:p>
    <w:p>
      <w:pPr>
        <w:ind w:left="320" w:hanging="313"/>
        <w:spacing w:after="0"/>
        <w:tabs>
          <w:tab w:leader="none" w:pos="320" w:val="left"/>
        </w:tabs>
        <w:numPr>
          <w:ilvl w:val="0"/>
          <w:numId w:val="29"/>
        </w:numPr>
        <w:rPr>
          <w:rFonts w:ascii="Arial" w:cs="Arial" w:eastAsia="Arial" w:hAnsi="Arial"/>
          <w:sz w:val="12"/>
          <w:szCs w:val="12"/>
          <w:color w:val="55565A"/>
        </w:rPr>
      </w:pPr>
      <w:r>
        <w:rPr>
          <w:rFonts w:ascii="Arial" w:cs="Arial" w:eastAsia="Arial" w:hAnsi="Arial"/>
          <w:sz w:val="12"/>
          <w:szCs w:val="12"/>
          <w:color w:val="55565A"/>
        </w:rPr>
        <w:t>Goods and services include professional fees, consulting and outsourcing services, contractors, selling and marketing, and other general and administrative costs.</w:t>
      </w:r>
    </w:p>
    <w:p>
      <w:pPr>
        <w:spacing w:after="0" w:line="7" w:lineRule="exact"/>
        <w:rPr>
          <w:rFonts w:ascii="Arial" w:cs="Arial" w:eastAsia="Arial" w:hAnsi="Arial"/>
          <w:sz w:val="12"/>
          <w:szCs w:val="12"/>
          <w:color w:val="55565A"/>
        </w:rPr>
      </w:pPr>
    </w:p>
    <w:p>
      <w:pPr>
        <w:ind w:left="320" w:hanging="313"/>
        <w:spacing w:after="0"/>
        <w:tabs>
          <w:tab w:leader="none" w:pos="320" w:val="left"/>
        </w:tabs>
        <w:numPr>
          <w:ilvl w:val="0"/>
          <w:numId w:val="29"/>
        </w:numPr>
        <w:rPr>
          <w:rFonts w:ascii="Arial" w:cs="Arial" w:eastAsia="Arial" w:hAnsi="Arial"/>
          <w:sz w:val="12"/>
          <w:szCs w:val="12"/>
          <w:color w:val="55565A"/>
        </w:rPr>
      </w:pPr>
      <w:r>
        <w:rPr>
          <w:rFonts w:ascii="Arial" w:cs="Arial" w:eastAsia="Arial" w:hAnsi="Arial"/>
          <w:sz w:val="12"/>
          <w:szCs w:val="12"/>
          <w:color w:val="55565A"/>
        </w:rPr>
        <w:t>Fair value adjustments primarily represent gains or losses on intercompany balances that arise in the ordinary course of business due to changes in foreign currency exchange rates.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6: Other Operating (Losses) Gains, Net</w:t>
      </w:r>
    </w:p>
    <w:p>
      <w:pPr>
        <w:spacing w:after="0" w:line="108" w:lineRule="exact"/>
        <w:rPr>
          <w:sz w:val="20"/>
          <w:szCs w:val="20"/>
          <w:color w:val="auto"/>
        </w:rPr>
      </w:pPr>
    </w:p>
    <w:p>
      <w:pPr>
        <w:jc w:val="both"/>
        <w:ind w:right="40"/>
        <w:spacing w:after="0" w:line="262" w:lineRule="auto"/>
        <w:rPr>
          <w:sz w:val="20"/>
          <w:szCs w:val="20"/>
          <w:color w:val="auto"/>
        </w:rPr>
      </w:pPr>
      <w:r>
        <w:rPr>
          <w:rFonts w:ascii="Arial" w:cs="Arial" w:eastAsia="Arial" w:hAnsi="Arial"/>
          <w:sz w:val="16"/>
          <w:szCs w:val="16"/>
          <w:color w:val="55565A"/>
        </w:rPr>
        <w:t>Other operating losses, net, were $41 million for the three months ended March 31, 2024 and included acquisition-related deal costs and costs related to a legal provision. Other operating gains, net, were $17 million for the three months ended March 31, 2023 and included a $23 million gain on the sale of a wholly-owned Canadian subsidiary to a company affiliated with The Woodbridge Company Limited (“Woodbridge”), the Company’s principal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297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55565A"/>
        </w:rPr>
        <w:t>Page 46</w:t>
      </w:r>
    </w:p>
    <w:p>
      <w:pPr>
        <w:sectPr>
          <w:pgSz w:w="11900" w:h="16838" w:orient="portrait"/>
          <w:cols w:equalWidth="0" w:num="1">
            <w:col w:w="10920"/>
          </w:cols>
          <w:pgMar w:left="480" w:top="1440" w:right="499" w:bottom="144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7: Finance Costs, Net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5565A"/>
        </w:rPr>
        <w:t>The components of finance costs, net, include interest expense (income) and other finance costs (income)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380" w:type="dxa"/>
            <w:vAlign w:val="bottom"/>
            <w:tcBorders>
              <w:top w:val="single" w:sz="8" w:color="88888B"/>
            </w:tcBorders>
          </w:tcPr>
          <w:p>
            <w:pPr>
              <w:spacing w:after="0"/>
              <w:rPr>
                <w:sz w:val="18"/>
                <w:szCs w:val="18"/>
                <w:color w:val="auto"/>
              </w:rPr>
            </w:pPr>
          </w:p>
        </w:tc>
        <w:tc>
          <w:tcPr>
            <w:tcW w:w="4520" w:type="dxa"/>
            <w:vAlign w:val="bottom"/>
            <w:tcBorders>
              <w:top w:val="single" w:sz="8" w:color="88888B"/>
            </w:tcBorders>
            <w:gridSpan w:val="2"/>
          </w:tcPr>
          <w:p>
            <w:pPr>
              <w:jc w:val="right"/>
              <w:ind w:right="409"/>
              <w:spacing w:after="0"/>
              <w:rPr>
                <w:sz w:val="20"/>
                <w:szCs w:val="20"/>
                <w:color w:val="auto"/>
              </w:rPr>
            </w:pPr>
            <w:r>
              <w:rPr>
                <w:rFonts w:ascii="Arial" w:cs="Arial" w:eastAsia="Arial" w:hAnsi="Arial"/>
                <w:sz w:val="14"/>
                <w:szCs w:val="14"/>
                <w:b w:val="1"/>
                <w:bCs w:val="1"/>
                <w:color w:val="55565A"/>
              </w:rPr>
              <w:t>Three months ended March 31,</w:t>
            </w:r>
          </w:p>
        </w:tc>
      </w:tr>
      <w:tr>
        <w:trPr>
          <w:trHeight w:val="227"/>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920" w:type="dxa"/>
            <w:vAlign w:val="bottom"/>
          </w:tcPr>
          <w:p>
            <w:pPr>
              <w:jc w:val="right"/>
              <w:ind w:right="729"/>
              <w:spacing w:after="0"/>
              <w:rPr>
                <w:sz w:val="20"/>
                <w:szCs w:val="20"/>
                <w:color w:val="auto"/>
              </w:rPr>
            </w:pPr>
            <w:r>
              <w:rPr>
                <w:rFonts w:ascii="Arial" w:cs="Arial" w:eastAsia="Arial" w:hAnsi="Arial"/>
                <w:sz w:val="14"/>
                <w:szCs w:val="14"/>
                <w:b w:val="1"/>
                <w:bCs w:val="1"/>
                <w:color w:val="55565A"/>
              </w:rPr>
              <w:t>2024</w:t>
            </w:r>
          </w:p>
        </w:tc>
        <w:tc>
          <w:tcPr>
            <w:tcW w:w="1600" w:type="dxa"/>
            <w:vAlign w:val="bottom"/>
          </w:tcPr>
          <w:p>
            <w:pPr>
              <w:jc w:val="right"/>
              <w:ind w:right="409"/>
              <w:spacing w:after="0"/>
              <w:rPr>
                <w:sz w:val="20"/>
                <w:szCs w:val="20"/>
                <w:color w:val="auto"/>
              </w:rPr>
            </w:pPr>
            <w:r>
              <w:rPr>
                <w:rFonts w:ascii="Arial" w:cs="Arial" w:eastAsia="Arial" w:hAnsi="Arial"/>
                <w:sz w:val="14"/>
                <w:szCs w:val="14"/>
                <w:color w:val="55565A"/>
              </w:rPr>
              <w:t>2023</w:t>
            </w:r>
          </w:p>
        </w:tc>
      </w:tr>
      <w:tr>
        <w:trPr>
          <w:trHeight w:val="28"/>
        </w:trPr>
        <w:tc>
          <w:tcPr>
            <w:tcW w:w="640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6380" w:type="dxa"/>
            <w:vAlign w:val="bottom"/>
            <w:tcBorders>
              <w:top w:val="single" w:sz="8" w:color="88888B"/>
            </w:tcBorders>
            <w:shd w:val="clear" w:color="auto" w:fill="CCEEFF"/>
          </w:tcPr>
          <w:p>
            <w:pPr>
              <w:spacing w:after="0" w:line="154" w:lineRule="exact"/>
              <w:rPr>
                <w:sz w:val="20"/>
                <w:szCs w:val="20"/>
                <w:color w:val="auto"/>
              </w:rPr>
            </w:pPr>
            <w:r>
              <w:rPr>
                <w:rFonts w:ascii="Arial" w:cs="Arial" w:eastAsia="Arial" w:hAnsi="Arial"/>
                <w:sz w:val="14"/>
                <w:szCs w:val="14"/>
                <w:color w:val="55565A"/>
              </w:rPr>
              <w:t>Interest expense:</w:t>
            </w:r>
          </w:p>
        </w:tc>
        <w:tc>
          <w:tcPr>
            <w:tcW w:w="2920" w:type="dxa"/>
            <w:vAlign w:val="bottom"/>
            <w:tcBorders>
              <w:top w:val="single" w:sz="8" w:color="88888B"/>
            </w:tcBorders>
            <w:shd w:val="clear" w:color="auto" w:fill="CCEEFF"/>
          </w:tcPr>
          <w:p>
            <w:pPr>
              <w:spacing w:after="0"/>
              <w:rPr>
                <w:sz w:val="13"/>
                <w:szCs w:val="13"/>
                <w:color w:val="auto"/>
              </w:rPr>
            </w:pPr>
          </w:p>
        </w:tc>
        <w:tc>
          <w:tcPr>
            <w:tcW w:w="1600" w:type="dxa"/>
            <w:vAlign w:val="bottom"/>
            <w:tcBorders>
              <w:top w:val="single" w:sz="8" w:color="88888B"/>
            </w:tcBorders>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6380" w:type="dxa"/>
            <w:vAlign w:val="bottom"/>
          </w:tcPr>
          <w:p>
            <w:pPr>
              <w:ind w:left="140"/>
              <w:spacing w:after="0"/>
              <w:rPr>
                <w:sz w:val="20"/>
                <w:szCs w:val="20"/>
                <w:color w:val="auto"/>
              </w:rPr>
            </w:pPr>
            <w:r>
              <w:rPr>
                <w:rFonts w:ascii="Arial" w:cs="Arial" w:eastAsia="Arial" w:hAnsi="Arial"/>
                <w:sz w:val="14"/>
                <w:szCs w:val="14"/>
                <w:color w:val="55565A"/>
              </w:rPr>
              <w:t>Debt</w:t>
            </w:r>
          </w:p>
        </w:tc>
        <w:tc>
          <w:tcPr>
            <w:tcW w:w="2920" w:type="dxa"/>
            <w:vAlign w:val="bottom"/>
          </w:tcPr>
          <w:p>
            <w:pPr>
              <w:jc w:val="right"/>
              <w:ind w:right="729"/>
              <w:spacing w:after="0"/>
              <w:rPr>
                <w:sz w:val="20"/>
                <w:szCs w:val="20"/>
                <w:color w:val="auto"/>
              </w:rPr>
            </w:pPr>
            <w:r>
              <w:rPr>
                <w:rFonts w:ascii="Arial" w:cs="Arial" w:eastAsia="Arial" w:hAnsi="Arial"/>
                <w:sz w:val="14"/>
                <w:szCs w:val="14"/>
                <w:b w:val="1"/>
                <w:bCs w:val="1"/>
                <w:color w:val="55565A"/>
              </w:rPr>
              <w:t>40</w:t>
            </w:r>
          </w:p>
        </w:tc>
        <w:tc>
          <w:tcPr>
            <w:tcW w:w="1600" w:type="dxa"/>
            <w:vAlign w:val="bottom"/>
          </w:tcPr>
          <w:p>
            <w:pPr>
              <w:jc w:val="right"/>
              <w:ind w:right="409"/>
              <w:spacing w:after="0"/>
              <w:rPr>
                <w:sz w:val="20"/>
                <w:szCs w:val="20"/>
                <w:color w:val="auto"/>
              </w:rPr>
            </w:pPr>
            <w:r>
              <w:rPr>
                <w:rFonts w:ascii="Arial" w:cs="Arial" w:eastAsia="Arial" w:hAnsi="Arial"/>
                <w:sz w:val="14"/>
                <w:szCs w:val="14"/>
                <w:color w:val="55565A"/>
              </w:rPr>
              <w:t>52</w:t>
            </w:r>
          </w:p>
        </w:tc>
      </w:tr>
      <w:tr>
        <w:trPr>
          <w:trHeight w:val="160"/>
        </w:trPr>
        <w:tc>
          <w:tcPr>
            <w:tcW w:w="20" w:type="dxa"/>
            <w:vAlign w:val="bottom"/>
          </w:tcPr>
          <w:p>
            <w:pPr>
              <w:spacing w:after="0"/>
              <w:rPr>
                <w:sz w:val="13"/>
                <w:szCs w:val="13"/>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55565A"/>
              </w:rPr>
              <w:t>Other, net</w:t>
            </w:r>
          </w:p>
        </w:tc>
        <w:tc>
          <w:tcPr>
            <w:tcW w:w="2920" w:type="dxa"/>
            <w:vAlign w:val="bottom"/>
            <w:shd w:val="clear" w:color="auto" w:fill="CCEEFF"/>
          </w:tcPr>
          <w:p>
            <w:pPr>
              <w:jc w:val="right"/>
              <w:ind w:right="729"/>
              <w:spacing w:after="0"/>
              <w:rPr>
                <w:sz w:val="20"/>
                <w:szCs w:val="20"/>
                <w:color w:val="auto"/>
              </w:rPr>
            </w:pPr>
            <w:r>
              <w:rPr>
                <w:rFonts w:ascii="Arial" w:cs="Arial" w:eastAsia="Arial" w:hAnsi="Arial"/>
                <w:sz w:val="14"/>
                <w:szCs w:val="14"/>
                <w:b w:val="1"/>
                <w:bCs w:val="1"/>
                <w:color w:val="55565A"/>
              </w:rPr>
              <w:t>2</w:t>
            </w:r>
          </w:p>
        </w:tc>
        <w:tc>
          <w:tcPr>
            <w:tcW w:w="160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5</w:t>
            </w:r>
          </w:p>
        </w:tc>
      </w:tr>
      <w:tr>
        <w:trPr>
          <w:trHeight w:val="160"/>
        </w:trPr>
        <w:tc>
          <w:tcPr>
            <w:tcW w:w="20" w:type="dxa"/>
            <w:vAlign w:val="bottom"/>
          </w:tcPr>
          <w:p>
            <w:pPr>
              <w:spacing w:after="0"/>
              <w:rPr>
                <w:sz w:val="13"/>
                <w:szCs w:val="13"/>
                <w:color w:val="auto"/>
              </w:rPr>
            </w:pPr>
          </w:p>
        </w:tc>
        <w:tc>
          <w:tcPr>
            <w:tcW w:w="6380" w:type="dxa"/>
            <w:vAlign w:val="bottom"/>
          </w:tcPr>
          <w:p>
            <w:pPr>
              <w:spacing w:after="0"/>
              <w:rPr>
                <w:sz w:val="20"/>
                <w:szCs w:val="20"/>
                <w:color w:val="auto"/>
              </w:rPr>
            </w:pPr>
            <w:r>
              <w:rPr>
                <w:rFonts w:ascii="Arial" w:cs="Arial" w:eastAsia="Arial" w:hAnsi="Arial"/>
                <w:sz w:val="14"/>
                <w:szCs w:val="14"/>
                <w:color w:val="55565A"/>
              </w:rPr>
              <w:t>Fair value losses (gains) on cash flow hedges, transfer from equity</w:t>
            </w:r>
          </w:p>
        </w:tc>
        <w:tc>
          <w:tcPr>
            <w:tcW w:w="2920" w:type="dxa"/>
            <w:vAlign w:val="bottom"/>
          </w:tcPr>
          <w:p>
            <w:pPr>
              <w:jc w:val="right"/>
              <w:ind w:right="729"/>
              <w:spacing w:after="0"/>
              <w:rPr>
                <w:sz w:val="20"/>
                <w:szCs w:val="20"/>
                <w:color w:val="auto"/>
              </w:rPr>
            </w:pPr>
            <w:r>
              <w:rPr>
                <w:rFonts w:ascii="Arial" w:cs="Arial" w:eastAsia="Arial" w:hAnsi="Arial"/>
                <w:sz w:val="14"/>
                <w:szCs w:val="14"/>
                <w:b w:val="1"/>
                <w:bCs w:val="1"/>
                <w:color w:val="55565A"/>
              </w:rPr>
              <w:t>27</w:t>
            </w:r>
          </w:p>
        </w:tc>
        <w:tc>
          <w:tcPr>
            <w:tcW w:w="1600" w:type="dxa"/>
            <w:vAlign w:val="bottom"/>
          </w:tcPr>
          <w:p>
            <w:pPr>
              <w:jc w:val="right"/>
              <w:ind w:right="409"/>
              <w:spacing w:after="0"/>
              <w:rPr>
                <w:sz w:val="20"/>
                <w:szCs w:val="20"/>
                <w:color w:val="auto"/>
              </w:rPr>
            </w:pPr>
            <w:r>
              <w:rPr>
                <w:rFonts w:ascii="Arial" w:cs="Arial" w:eastAsia="Arial" w:hAnsi="Arial"/>
                <w:sz w:val="14"/>
                <w:szCs w:val="14"/>
                <w:color w:val="55565A"/>
              </w:rPr>
              <w:t>(2)</w:t>
            </w:r>
          </w:p>
        </w:tc>
      </w:tr>
      <w:tr>
        <w:trPr>
          <w:trHeight w:val="160"/>
        </w:trPr>
        <w:tc>
          <w:tcPr>
            <w:tcW w:w="20" w:type="dxa"/>
            <w:vAlign w:val="bottom"/>
          </w:tcPr>
          <w:p>
            <w:pPr>
              <w:spacing w:after="0"/>
              <w:rPr>
                <w:sz w:val="13"/>
                <w:szCs w:val="13"/>
                <w:color w:val="auto"/>
              </w:rPr>
            </w:pPr>
          </w:p>
        </w:tc>
        <w:tc>
          <w:tcPr>
            <w:tcW w:w="638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Net foreign exchange (gains) losses on debt</w:t>
            </w:r>
          </w:p>
        </w:tc>
        <w:tc>
          <w:tcPr>
            <w:tcW w:w="2920" w:type="dxa"/>
            <w:vAlign w:val="bottom"/>
            <w:tcBorders>
              <w:bottom w:val="single" w:sz="8" w:color="88888B"/>
            </w:tcBorders>
            <w:shd w:val="clear" w:color="auto" w:fill="CCEEFF"/>
          </w:tcPr>
          <w:p>
            <w:pPr>
              <w:jc w:val="right"/>
              <w:ind w:right="729"/>
              <w:spacing w:after="0"/>
              <w:rPr>
                <w:sz w:val="20"/>
                <w:szCs w:val="20"/>
                <w:color w:val="auto"/>
              </w:rPr>
            </w:pPr>
            <w:r>
              <w:rPr>
                <w:rFonts w:ascii="Arial" w:cs="Arial" w:eastAsia="Arial" w:hAnsi="Arial"/>
                <w:sz w:val="14"/>
                <w:szCs w:val="14"/>
                <w:b w:val="1"/>
                <w:bCs w:val="1"/>
                <w:color w:val="55565A"/>
              </w:rPr>
              <w:t>(27)</w:t>
            </w:r>
          </w:p>
        </w:tc>
        <w:tc>
          <w:tcPr>
            <w:tcW w:w="160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2</w:t>
            </w:r>
          </w:p>
        </w:tc>
      </w:tr>
      <w:tr>
        <w:trPr>
          <w:trHeight w:val="154"/>
        </w:trPr>
        <w:tc>
          <w:tcPr>
            <w:tcW w:w="20" w:type="dxa"/>
            <w:vAlign w:val="bottom"/>
          </w:tcPr>
          <w:p>
            <w:pPr>
              <w:spacing w:after="0"/>
              <w:rPr>
                <w:sz w:val="13"/>
                <w:szCs w:val="13"/>
                <w:color w:val="auto"/>
              </w:rPr>
            </w:pPr>
          </w:p>
        </w:tc>
        <w:tc>
          <w:tcPr>
            <w:tcW w:w="6380" w:type="dxa"/>
            <w:vAlign w:val="bottom"/>
          </w:tcPr>
          <w:p>
            <w:pPr>
              <w:spacing w:after="0" w:line="154" w:lineRule="exact"/>
              <w:rPr>
                <w:sz w:val="20"/>
                <w:szCs w:val="20"/>
                <w:color w:val="auto"/>
              </w:rPr>
            </w:pPr>
            <w:r>
              <w:rPr>
                <w:rFonts w:ascii="Arial" w:cs="Arial" w:eastAsia="Arial" w:hAnsi="Arial"/>
                <w:sz w:val="14"/>
                <w:szCs w:val="14"/>
                <w:color w:val="55565A"/>
              </w:rPr>
              <w:t>Net interest expense – debt and other</w:t>
            </w:r>
          </w:p>
        </w:tc>
        <w:tc>
          <w:tcPr>
            <w:tcW w:w="2920" w:type="dxa"/>
            <w:vAlign w:val="bottom"/>
          </w:tcPr>
          <w:p>
            <w:pPr>
              <w:jc w:val="right"/>
              <w:ind w:right="729"/>
              <w:spacing w:after="0" w:line="154" w:lineRule="exact"/>
              <w:rPr>
                <w:sz w:val="20"/>
                <w:szCs w:val="20"/>
                <w:color w:val="auto"/>
              </w:rPr>
            </w:pPr>
            <w:r>
              <w:rPr>
                <w:rFonts w:ascii="Arial" w:cs="Arial" w:eastAsia="Arial" w:hAnsi="Arial"/>
                <w:sz w:val="14"/>
                <w:szCs w:val="14"/>
                <w:b w:val="1"/>
                <w:bCs w:val="1"/>
                <w:color w:val="55565A"/>
              </w:rPr>
              <w:t>42</w:t>
            </w:r>
          </w:p>
        </w:tc>
        <w:tc>
          <w:tcPr>
            <w:tcW w:w="1600" w:type="dxa"/>
            <w:vAlign w:val="bottom"/>
          </w:tcPr>
          <w:p>
            <w:pPr>
              <w:jc w:val="right"/>
              <w:ind w:right="409"/>
              <w:spacing w:after="0" w:line="154" w:lineRule="exact"/>
              <w:rPr>
                <w:sz w:val="20"/>
                <w:szCs w:val="20"/>
                <w:color w:val="auto"/>
              </w:rPr>
            </w:pPr>
            <w:r>
              <w:rPr>
                <w:rFonts w:ascii="Arial" w:cs="Arial" w:eastAsia="Arial" w:hAnsi="Arial"/>
                <w:sz w:val="14"/>
                <w:szCs w:val="14"/>
                <w:color w:val="55565A"/>
              </w:rPr>
              <w:t>57</w:t>
            </w:r>
          </w:p>
        </w:tc>
      </w:tr>
      <w:tr>
        <w:trPr>
          <w:trHeight w:val="160"/>
        </w:trPr>
        <w:tc>
          <w:tcPr>
            <w:tcW w:w="20" w:type="dxa"/>
            <w:vAlign w:val="bottom"/>
          </w:tcPr>
          <w:p>
            <w:pPr>
              <w:spacing w:after="0"/>
              <w:rPr>
                <w:sz w:val="13"/>
                <w:szCs w:val="13"/>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4"/>
                <w:szCs w:val="14"/>
                <w:color w:val="55565A"/>
              </w:rPr>
              <w:t>Net interest expense – leases</w:t>
            </w:r>
          </w:p>
        </w:tc>
        <w:tc>
          <w:tcPr>
            <w:tcW w:w="2920" w:type="dxa"/>
            <w:vAlign w:val="bottom"/>
            <w:shd w:val="clear" w:color="auto" w:fill="CCEEFF"/>
          </w:tcPr>
          <w:p>
            <w:pPr>
              <w:jc w:val="right"/>
              <w:ind w:right="729"/>
              <w:spacing w:after="0"/>
              <w:rPr>
                <w:sz w:val="20"/>
                <w:szCs w:val="20"/>
                <w:color w:val="auto"/>
              </w:rPr>
            </w:pPr>
            <w:r>
              <w:rPr>
                <w:rFonts w:ascii="Arial" w:cs="Arial" w:eastAsia="Arial" w:hAnsi="Arial"/>
                <w:sz w:val="14"/>
                <w:szCs w:val="14"/>
                <w:b w:val="1"/>
                <w:bCs w:val="1"/>
                <w:color w:val="55565A"/>
              </w:rPr>
              <w:t>3</w:t>
            </w:r>
          </w:p>
        </w:tc>
        <w:tc>
          <w:tcPr>
            <w:tcW w:w="160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2</w:t>
            </w:r>
          </w:p>
        </w:tc>
      </w:tr>
      <w:tr>
        <w:trPr>
          <w:trHeight w:val="160"/>
        </w:trPr>
        <w:tc>
          <w:tcPr>
            <w:tcW w:w="20" w:type="dxa"/>
            <w:vAlign w:val="bottom"/>
          </w:tcPr>
          <w:p>
            <w:pPr>
              <w:spacing w:after="0"/>
              <w:rPr>
                <w:sz w:val="13"/>
                <w:szCs w:val="13"/>
                <w:color w:val="auto"/>
              </w:rPr>
            </w:pPr>
          </w:p>
        </w:tc>
        <w:tc>
          <w:tcPr>
            <w:tcW w:w="6380" w:type="dxa"/>
            <w:vAlign w:val="bottom"/>
          </w:tcPr>
          <w:p>
            <w:pPr>
              <w:spacing w:after="0"/>
              <w:rPr>
                <w:sz w:val="20"/>
                <w:szCs w:val="20"/>
                <w:color w:val="auto"/>
              </w:rPr>
            </w:pPr>
            <w:r>
              <w:rPr>
                <w:rFonts w:ascii="Arial" w:cs="Arial" w:eastAsia="Arial" w:hAnsi="Arial"/>
                <w:sz w:val="14"/>
                <w:szCs w:val="14"/>
                <w:color w:val="55565A"/>
              </w:rPr>
              <w:t>Net interest expense – pension and other post-employment benefit plans</w:t>
            </w:r>
          </w:p>
        </w:tc>
        <w:tc>
          <w:tcPr>
            <w:tcW w:w="2920" w:type="dxa"/>
            <w:vAlign w:val="bottom"/>
          </w:tcPr>
          <w:p>
            <w:pPr>
              <w:jc w:val="right"/>
              <w:ind w:right="729"/>
              <w:spacing w:after="0"/>
              <w:rPr>
                <w:sz w:val="20"/>
                <w:szCs w:val="20"/>
                <w:color w:val="auto"/>
              </w:rPr>
            </w:pPr>
            <w:r>
              <w:rPr>
                <w:rFonts w:ascii="Arial" w:cs="Arial" w:eastAsia="Arial" w:hAnsi="Arial"/>
                <w:sz w:val="14"/>
                <w:szCs w:val="14"/>
                <w:b w:val="1"/>
                <w:bCs w:val="1"/>
                <w:color w:val="55565A"/>
              </w:rPr>
              <w:t>6</w:t>
            </w:r>
          </w:p>
        </w:tc>
        <w:tc>
          <w:tcPr>
            <w:tcW w:w="1600" w:type="dxa"/>
            <w:vAlign w:val="bottom"/>
          </w:tcPr>
          <w:p>
            <w:pPr>
              <w:jc w:val="right"/>
              <w:ind w:right="409"/>
              <w:spacing w:after="0"/>
              <w:rPr>
                <w:sz w:val="20"/>
                <w:szCs w:val="20"/>
                <w:color w:val="auto"/>
              </w:rPr>
            </w:pPr>
            <w:r>
              <w:rPr>
                <w:rFonts w:ascii="Arial" w:cs="Arial" w:eastAsia="Arial" w:hAnsi="Arial"/>
                <w:sz w:val="14"/>
                <w:szCs w:val="14"/>
                <w:color w:val="55565A"/>
              </w:rPr>
              <w:t>6</w:t>
            </w:r>
          </w:p>
        </w:tc>
      </w:tr>
      <w:tr>
        <w:trPr>
          <w:trHeight w:val="160"/>
        </w:trPr>
        <w:tc>
          <w:tcPr>
            <w:tcW w:w="20" w:type="dxa"/>
            <w:vAlign w:val="bottom"/>
          </w:tcPr>
          <w:p>
            <w:pPr>
              <w:spacing w:after="0"/>
              <w:rPr>
                <w:sz w:val="13"/>
                <w:szCs w:val="13"/>
                <w:color w:val="auto"/>
              </w:rPr>
            </w:pPr>
          </w:p>
        </w:tc>
        <w:tc>
          <w:tcPr>
            <w:tcW w:w="638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Interest income</w:t>
            </w:r>
          </w:p>
        </w:tc>
        <w:tc>
          <w:tcPr>
            <w:tcW w:w="2920" w:type="dxa"/>
            <w:vAlign w:val="bottom"/>
            <w:tcBorders>
              <w:bottom w:val="single" w:sz="8" w:color="88888B"/>
            </w:tcBorders>
            <w:shd w:val="clear" w:color="auto" w:fill="CCEEFF"/>
          </w:tcPr>
          <w:p>
            <w:pPr>
              <w:jc w:val="right"/>
              <w:ind w:right="729"/>
              <w:spacing w:after="0"/>
              <w:rPr>
                <w:sz w:val="20"/>
                <w:szCs w:val="20"/>
                <w:color w:val="auto"/>
              </w:rPr>
            </w:pPr>
            <w:r>
              <w:rPr>
                <w:rFonts w:ascii="Arial" w:cs="Arial" w:eastAsia="Arial" w:hAnsi="Arial"/>
                <w:sz w:val="14"/>
                <w:szCs w:val="14"/>
                <w:b w:val="1"/>
                <w:bCs w:val="1"/>
                <w:color w:val="55565A"/>
              </w:rPr>
              <w:t>(11)</w:t>
            </w:r>
          </w:p>
        </w:tc>
        <w:tc>
          <w:tcPr>
            <w:tcW w:w="160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(10)</w:t>
            </w:r>
          </w:p>
        </w:tc>
      </w:tr>
      <w:tr>
        <w:trPr>
          <w:trHeight w:val="154"/>
        </w:trPr>
        <w:tc>
          <w:tcPr>
            <w:tcW w:w="20" w:type="dxa"/>
            <w:vAlign w:val="bottom"/>
          </w:tcPr>
          <w:p>
            <w:pPr>
              <w:spacing w:after="0"/>
              <w:rPr>
                <w:sz w:val="13"/>
                <w:szCs w:val="13"/>
                <w:color w:val="auto"/>
              </w:rPr>
            </w:pPr>
          </w:p>
        </w:tc>
        <w:tc>
          <w:tcPr>
            <w:tcW w:w="6380" w:type="dxa"/>
            <w:vAlign w:val="bottom"/>
            <w:tcBorders>
              <w:bottom w:val="single" w:sz="8" w:color="88888B"/>
            </w:tcBorders>
          </w:tcPr>
          <w:p>
            <w:pPr>
              <w:spacing w:after="0" w:line="154" w:lineRule="exact"/>
              <w:rPr>
                <w:sz w:val="20"/>
                <w:szCs w:val="20"/>
                <w:color w:val="auto"/>
              </w:rPr>
            </w:pPr>
            <w:r>
              <w:rPr>
                <w:rFonts w:ascii="Arial" w:cs="Arial" w:eastAsia="Arial" w:hAnsi="Arial"/>
                <w:sz w:val="14"/>
                <w:szCs w:val="14"/>
                <w:color w:val="55565A"/>
              </w:rPr>
              <w:t>Net interest expense</w:t>
            </w:r>
          </w:p>
        </w:tc>
        <w:tc>
          <w:tcPr>
            <w:tcW w:w="2920" w:type="dxa"/>
            <w:vAlign w:val="bottom"/>
            <w:tcBorders>
              <w:bottom w:val="single" w:sz="8" w:color="88888B"/>
            </w:tcBorders>
          </w:tcPr>
          <w:p>
            <w:pPr>
              <w:jc w:val="right"/>
              <w:ind w:right="729"/>
              <w:spacing w:after="0" w:line="154" w:lineRule="exact"/>
              <w:rPr>
                <w:sz w:val="20"/>
                <w:szCs w:val="20"/>
                <w:color w:val="auto"/>
              </w:rPr>
            </w:pPr>
            <w:r>
              <w:rPr>
                <w:rFonts w:ascii="Arial" w:cs="Arial" w:eastAsia="Arial" w:hAnsi="Arial"/>
                <w:sz w:val="14"/>
                <w:szCs w:val="14"/>
                <w:b w:val="1"/>
                <w:bCs w:val="1"/>
                <w:color w:val="55565A"/>
              </w:rPr>
              <w:t>40</w:t>
            </w:r>
          </w:p>
        </w:tc>
        <w:tc>
          <w:tcPr>
            <w:tcW w:w="1600" w:type="dxa"/>
            <w:vAlign w:val="bottom"/>
            <w:tcBorders>
              <w:bottom w:val="single" w:sz="8" w:color="88888B"/>
            </w:tcBorders>
          </w:tcPr>
          <w:p>
            <w:pPr>
              <w:jc w:val="right"/>
              <w:ind w:right="409"/>
              <w:spacing w:after="0" w:line="154" w:lineRule="exact"/>
              <w:rPr>
                <w:sz w:val="20"/>
                <w:szCs w:val="20"/>
                <w:color w:val="auto"/>
              </w:rPr>
            </w:pPr>
            <w:r>
              <w:rPr>
                <w:rFonts w:ascii="Arial" w:cs="Arial" w:eastAsia="Arial" w:hAnsi="Arial"/>
                <w:sz w:val="14"/>
                <w:szCs w:val="14"/>
                <w:color w:val="55565A"/>
              </w:rPr>
              <w:t>55</w:t>
            </w:r>
          </w:p>
        </w:tc>
      </w:tr>
      <w:tr>
        <w:trPr>
          <w:trHeight w:val="234"/>
        </w:trPr>
        <w:tc>
          <w:tcPr>
            <w:tcW w:w="20" w:type="dxa"/>
            <w:vAlign w:val="bottom"/>
          </w:tcPr>
          <w:p>
            <w:pPr>
              <w:spacing w:after="0"/>
              <w:rPr>
                <w:sz w:val="20"/>
                <w:szCs w:val="20"/>
                <w:color w:val="auto"/>
              </w:rPr>
            </w:pPr>
          </w:p>
        </w:tc>
        <w:tc>
          <w:tcPr>
            <w:tcW w:w="6380" w:type="dxa"/>
            <w:vAlign w:val="bottom"/>
            <w:tcBorders>
              <w:bottom w:val="single" w:sz="8" w:color="88888B"/>
            </w:tcBorders>
          </w:tcPr>
          <w:p>
            <w:pPr>
              <w:spacing w:after="0"/>
              <w:rPr>
                <w:sz w:val="20"/>
                <w:szCs w:val="20"/>
                <w:color w:val="auto"/>
              </w:rPr>
            </w:pPr>
          </w:p>
        </w:tc>
        <w:tc>
          <w:tcPr>
            <w:tcW w:w="4520" w:type="dxa"/>
            <w:vAlign w:val="bottom"/>
            <w:tcBorders>
              <w:bottom w:val="single" w:sz="8" w:color="88888B"/>
            </w:tcBorders>
            <w:gridSpan w:val="2"/>
          </w:tcPr>
          <w:p>
            <w:pPr>
              <w:spacing w:after="0"/>
              <w:rPr>
                <w:sz w:val="20"/>
                <w:szCs w:val="20"/>
                <w:color w:val="auto"/>
              </w:rPr>
            </w:pPr>
          </w:p>
        </w:tc>
      </w:tr>
      <w:tr>
        <w:trPr>
          <w:trHeight w:val="192"/>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4520" w:type="dxa"/>
            <w:vAlign w:val="bottom"/>
            <w:gridSpan w:val="2"/>
          </w:tcPr>
          <w:p>
            <w:pPr>
              <w:jc w:val="right"/>
              <w:ind w:right="389"/>
              <w:spacing w:after="0"/>
              <w:rPr>
                <w:sz w:val="20"/>
                <w:szCs w:val="20"/>
                <w:color w:val="auto"/>
              </w:rPr>
            </w:pPr>
            <w:r>
              <w:rPr>
                <w:rFonts w:ascii="Arial" w:cs="Arial" w:eastAsia="Arial" w:hAnsi="Arial"/>
                <w:sz w:val="14"/>
                <w:szCs w:val="14"/>
                <w:b w:val="1"/>
                <w:bCs w:val="1"/>
                <w:color w:val="55565A"/>
              </w:rPr>
              <w:t>Three months ended March 31,</w:t>
            </w:r>
          </w:p>
        </w:tc>
      </w:tr>
      <w:tr>
        <w:trPr>
          <w:trHeight w:val="227"/>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920" w:type="dxa"/>
            <w:vAlign w:val="bottom"/>
          </w:tcPr>
          <w:p>
            <w:pPr>
              <w:jc w:val="right"/>
              <w:ind w:right="729"/>
              <w:spacing w:after="0"/>
              <w:rPr>
                <w:sz w:val="20"/>
                <w:szCs w:val="20"/>
                <w:color w:val="auto"/>
              </w:rPr>
            </w:pPr>
            <w:r>
              <w:rPr>
                <w:rFonts w:ascii="Arial" w:cs="Arial" w:eastAsia="Arial" w:hAnsi="Arial"/>
                <w:sz w:val="14"/>
                <w:szCs w:val="14"/>
                <w:b w:val="1"/>
                <w:bCs w:val="1"/>
                <w:color w:val="55565A"/>
              </w:rPr>
              <w:t>2024</w:t>
            </w:r>
          </w:p>
        </w:tc>
        <w:tc>
          <w:tcPr>
            <w:tcW w:w="1600" w:type="dxa"/>
            <w:vAlign w:val="bottom"/>
          </w:tcPr>
          <w:p>
            <w:pPr>
              <w:jc w:val="right"/>
              <w:ind w:right="389"/>
              <w:spacing w:after="0"/>
              <w:rPr>
                <w:sz w:val="20"/>
                <w:szCs w:val="20"/>
                <w:color w:val="auto"/>
              </w:rPr>
            </w:pPr>
            <w:r>
              <w:rPr>
                <w:rFonts w:ascii="Arial" w:cs="Arial" w:eastAsia="Arial" w:hAnsi="Arial"/>
                <w:sz w:val="14"/>
                <w:szCs w:val="14"/>
                <w:color w:val="55565A"/>
              </w:rPr>
              <w:t>2023</w:t>
            </w:r>
          </w:p>
        </w:tc>
      </w:tr>
      <w:tr>
        <w:trPr>
          <w:trHeight w:val="28"/>
        </w:trPr>
        <w:tc>
          <w:tcPr>
            <w:tcW w:w="640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6380" w:type="dxa"/>
            <w:vAlign w:val="bottom"/>
            <w:tcBorders>
              <w:top w:val="single" w:sz="8" w:color="88888B"/>
            </w:tcBorders>
            <w:shd w:val="clear" w:color="auto" w:fill="CCEEFF"/>
          </w:tcPr>
          <w:p>
            <w:pPr>
              <w:spacing w:after="0" w:line="154" w:lineRule="exact"/>
              <w:rPr>
                <w:sz w:val="20"/>
                <w:szCs w:val="20"/>
                <w:color w:val="auto"/>
              </w:rPr>
            </w:pPr>
            <w:r>
              <w:rPr>
                <w:rFonts w:ascii="Arial" w:cs="Arial" w:eastAsia="Arial" w:hAnsi="Arial"/>
                <w:sz w:val="14"/>
                <w:szCs w:val="14"/>
                <w:color w:val="55565A"/>
              </w:rPr>
              <w:t>Net (gains) losses due to changes in foreign currency exchange rates</w:t>
            </w:r>
          </w:p>
        </w:tc>
        <w:tc>
          <w:tcPr>
            <w:tcW w:w="2920" w:type="dxa"/>
            <w:vAlign w:val="bottom"/>
            <w:tcBorders>
              <w:top w:val="single" w:sz="8" w:color="88888B"/>
            </w:tcBorders>
            <w:shd w:val="clear" w:color="auto" w:fill="CCEEFF"/>
          </w:tcPr>
          <w:p>
            <w:pPr>
              <w:jc w:val="right"/>
              <w:ind w:right="729"/>
              <w:spacing w:after="0" w:line="154" w:lineRule="exact"/>
              <w:rPr>
                <w:sz w:val="20"/>
                <w:szCs w:val="20"/>
                <w:color w:val="auto"/>
              </w:rPr>
            </w:pPr>
            <w:r>
              <w:rPr>
                <w:rFonts w:ascii="Arial" w:cs="Arial" w:eastAsia="Arial" w:hAnsi="Arial"/>
                <w:sz w:val="14"/>
                <w:szCs w:val="14"/>
                <w:b w:val="1"/>
                <w:bCs w:val="1"/>
                <w:color w:val="55565A"/>
              </w:rPr>
              <w:t>(26)</w:t>
            </w:r>
          </w:p>
        </w:tc>
        <w:tc>
          <w:tcPr>
            <w:tcW w:w="1600" w:type="dxa"/>
            <w:vAlign w:val="bottom"/>
            <w:tcBorders>
              <w:top w:val="single" w:sz="8" w:color="88888B"/>
            </w:tcBorders>
            <w:shd w:val="clear" w:color="auto" w:fill="CCEEFF"/>
          </w:tcPr>
          <w:p>
            <w:pPr>
              <w:jc w:val="right"/>
              <w:ind w:right="389"/>
              <w:spacing w:after="0" w:line="154" w:lineRule="exact"/>
              <w:rPr>
                <w:sz w:val="20"/>
                <w:szCs w:val="20"/>
                <w:color w:val="auto"/>
              </w:rPr>
            </w:pPr>
            <w:r>
              <w:rPr>
                <w:rFonts w:ascii="Arial" w:cs="Arial" w:eastAsia="Arial" w:hAnsi="Arial"/>
                <w:sz w:val="14"/>
                <w:szCs w:val="14"/>
                <w:color w:val="55565A"/>
              </w:rPr>
              <w:t>23</w:t>
            </w:r>
          </w:p>
        </w:tc>
      </w:tr>
      <w:tr>
        <w:trPr>
          <w:trHeight w:val="160"/>
        </w:trPr>
        <w:tc>
          <w:tcPr>
            <w:tcW w:w="20" w:type="dxa"/>
            <w:vAlign w:val="bottom"/>
          </w:tcPr>
          <w:p>
            <w:pPr>
              <w:spacing w:after="0"/>
              <w:rPr>
                <w:sz w:val="13"/>
                <w:szCs w:val="13"/>
                <w:color w:val="auto"/>
              </w:rPr>
            </w:pPr>
          </w:p>
        </w:tc>
        <w:tc>
          <w:tcPr>
            <w:tcW w:w="6380" w:type="dxa"/>
            <w:vAlign w:val="bottom"/>
          </w:tcPr>
          <w:p>
            <w:pPr>
              <w:spacing w:after="0"/>
              <w:rPr>
                <w:sz w:val="20"/>
                <w:szCs w:val="20"/>
                <w:color w:val="auto"/>
              </w:rPr>
            </w:pPr>
            <w:r>
              <w:rPr>
                <w:rFonts w:ascii="Arial" w:cs="Arial" w:eastAsia="Arial" w:hAnsi="Arial"/>
                <w:sz w:val="14"/>
                <w:szCs w:val="14"/>
                <w:color w:val="55565A"/>
              </w:rPr>
              <w:t>Net (gains) losses on derivative instruments</w:t>
            </w:r>
          </w:p>
        </w:tc>
        <w:tc>
          <w:tcPr>
            <w:tcW w:w="2920" w:type="dxa"/>
            <w:vAlign w:val="bottom"/>
          </w:tcPr>
          <w:p>
            <w:pPr>
              <w:jc w:val="right"/>
              <w:ind w:right="729"/>
              <w:spacing w:after="0"/>
              <w:rPr>
                <w:sz w:val="20"/>
                <w:szCs w:val="20"/>
                <w:color w:val="auto"/>
              </w:rPr>
            </w:pPr>
            <w:r>
              <w:rPr>
                <w:rFonts w:ascii="Arial" w:cs="Arial" w:eastAsia="Arial" w:hAnsi="Arial"/>
                <w:sz w:val="14"/>
                <w:szCs w:val="14"/>
                <w:b w:val="1"/>
                <w:bCs w:val="1"/>
                <w:color w:val="55565A"/>
              </w:rPr>
              <w:t>(1)</w:t>
            </w:r>
          </w:p>
        </w:tc>
        <w:tc>
          <w:tcPr>
            <w:tcW w:w="1600" w:type="dxa"/>
            <w:vAlign w:val="bottom"/>
          </w:tcPr>
          <w:p>
            <w:pPr>
              <w:jc w:val="right"/>
              <w:ind w:right="389"/>
              <w:spacing w:after="0"/>
              <w:rPr>
                <w:sz w:val="20"/>
                <w:szCs w:val="20"/>
                <w:color w:val="auto"/>
              </w:rPr>
            </w:pPr>
            <w:r>
              <w:rPr>
                <w:rFonts w:ascii="Arial" w:cs="Arial" w:eastAsia="Arial" w:hAnsi="Arial"/>
                <w:sz w:val="14"/>
                <w:szCs w:val="14"/>
                <w:color w:val="55565A"/>
              </w:rPr>
              <w:t>69</w:t>
            </w:r>
          </w:p>
        </w:tc>
      </w:tr>
      <w:tr>
        <w:trPr>
          <w:trHeight w:val="160"/>
        </w:trPr>
        <w:tc>
          <w:tcPr>
            <w:tcW w:w="20" w:type="dxa"/>
            <w:vAlign w:val="bottom"/>
          </w:tcPr>
          <w:p>
            <w:pPr>
              <w:spacing w:after="0"/>
              <w:rPr>
                <w:sz w:val="13"/>
                <w:szCs w:val="13"/>
                <w:color w:val="auto"/>
              </w:rPr>
            </w:pPr>
          </w:p>
        </w:tc>
        <w:tc>
          <w:tcPr>
            <w:tcW w:w="638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Other</w:t>
            </w:r>
          </w:p>
        </w:tc>
        <w:tc>
          <w:tcPr>
            <w:tcW w:w="2920" w:type="dxa"/>
            <w:vAlign w:val="bottom"/>
            <w:tcBorders>
              <w:bottom w:val="single" w:sz="8" w:color="88888B"/>
            </w:tcBorders>
            <w:shd w:val="clear" w:color="auto" w:fill="CCEEFF"/>
          </w:tcPr>
          <w:p>
            <w:pPr>
              <w:jc w:val="right"/>
              <w:ind w:right="729"/>
              <w:spacing w:after="0"/>
              <w:rPr>
                <w:sz w:val="20"/>
                <w:szCs w:val="20"/>
                <w:color w:val="auto"/>
              </w:rPr>
            </w:pPr>
            <w:r>
              <w:rPr>
                <w:rFonts w:ascii="Arial" w:cs="Arial" w:eastAsia="Arial" w:hAnsi="Arial"/>
                <w:sz w:val="14"/>
                <w:szCs w:val="14"/>
                <w:b w:val="1"/>
                <w:bCs w:val="1"/>
                <w:color w:val="55565A"/>
              </w:rPr>
              <w:t>5</w:t>
            </w:r>
          </w:p>
        </w:tc>
        <w:tc>
          <w:tcPr>
            <w:tcW w:w="1600" w:type="dxa"/>
            <w:vAlign w:val="bottom"/>
            <w:tcBorders>
              <w:bottom w:val="single" w:sz="8" w:color="88888B"/>
            </w:tcBorders>
            <w:shd w:val="clear" w:color="auto" w:fill="CCEEFF"/>
          </w:tcPr>
          <w:p>
            <w:pPr>
              <w:jc w:val="right"/>
              <w:ind w:right="389"/>
              <w:spacing w:after="0"/>
              <w:rPr>
                <w:sz w:val="20"/>
                <w:szCs w:val="20"/>
                <w:color w:val="auto"/>
              </w:rPr>
            </w:pPr>
            <w:r>
              <w:rPr>
                <w:rFonts w:ascii="Arial" w:cs="Arial" w:eastAsia="Arial" w:hAnsi="Arial"/>
                <w:sz w:val="14"/>
                <w:szCs w:val="14"/>
                <w:color w:val="55565A"/>
              </w:rPr>
              <w:t>(2)</w:t>
            </w:r>
          </w:p>
        </w:tc>
      </w:tr>
      <w:tr>
        <w:trPr>
          <w:trHeight w:val="154"/>
        </w:trPr>
        <w:tc>
          <w:tcPr>
            <w:tcW w:w="20" w:type="dxa"/>
            <w:vAlign w:val="bottom"/>
            <w:tcBorders>
              <w:bottom w:val="single" w:sz="8" w:color="88888B"/>
            </w:tcBorders>
          </w:tcPr>
          <w:p>
            <w:pPr>
              <w:spacing w:after="0"/>
              <w:rPr>
                <w:sz w:val="13"/>
                <w:szCs w:val="13"/>
                <w:color w:val="auto"/>
              </w:rPr>
            </w:pPr>
          </w:p>
        </w:tc>
        <w:tc>
          <w:tcPr>
            <w:tcW w:w="6380" w:type="dxa"/>
            <w:vAlign w:val="bottom"/>
            <w:tcBorders>
              <w:bottom w:val="single" w:sz="8" w:color="88888B"/>
            </w:tcBorders>
          </w:tcPr>
          <w:p>
            <w:pPr>
              <w:spacing w:after="0" w:line="154" w:lineRule="exact"/>
              <w:rPr>
                <w:sz w:val="20"/>
                <w:szCs w:val="20"/>
                <w:color w:val="auto"/>
              </w:rPr>
            </w:pPr>
            <w:r>
              <w:rPr>
                <w:rFonts w:ascii="Arial" w:cs="Arial" w:eastAsia="Arial" w:hAnsi="Arial"/>
                <w:sz w:val="14"/>
                <w:szCs w:val="14"/>
                <w:color w:val="55565A"/>
              </w:rPr>
              <w:t>Other finance (income) costs</w:t>
            </w:r>
          </w:p>
        </w:tc>
        <w:tc>
          <w:tcPr>
            <w:tcW w:w="2920" w:type="dxa"/>
            <w:vAlign w:val="bottom"/>
            <w:tcBorders>
              <w:bottom w:val="single" w:sz="8" w:color="88888B"/>
            </w:tcBorders>
          </w:tcPr>
          <w:p>
            <w:pPr>
              <w:jc w:val="right"/>
              <w:ind w:right="729"/>
              <w:spacing w:after="0" w:line="154" w:lineRule="exact"/>
              <w:rPr>
                <w:sz w:val="20"/>
                <w:szCs w:val="20"/>
                <w:color w:val="auto"/>
              </w:rPr>
            </w:pPr>
            <w:r>
              <w:rPr>
                <w:rFonts w:ascii="Arial" w:cs="Arial" w:eastAsia="Arial" w:hAnsi="Arial"/>
                <w:sz w:val="14"/>
                <w:szCs w:val="14"/>
                <w:b w:val="1"/>
                <w:bCs w:val="1"/>
                <w:color w:val="55565A"/>
              </w:rPr>
              <w:t>(22)</w:t>
            </w:r>
          </w:p>
        </w:tc>
        <w:tc>
          <w:tcPr>
            <w:tcW w:w="1600" w:type="dxa"/>
            <w:vAlign w:val="bottom"/>
            <w:tcBorders>
              <w:bottom w:val="single" w:sz="8" w:color="88888B"/>
            </w:tcBorders>
          </w:tcPr>
          <w:p>
            <w:pPr>
              <w:jc w:val="right"/>
              <w:ind w:right="389"/>
              <w:spacing w:after="0" w:line="154" w:lineRule="exact"/>
              <w:rPr>
                <w:sz w:val="20"/>
                <w:szCs w:val="20"/>
                <w:color w:val="auto"/>
              </w:rPr>
            </w:pPr>
            <w:r>
              <w:rPr>
                <w:rFonts w:ascii="Arial" w:cs="Arial" w:eastAsia="Arial" w:hAnsi="Arial"/>
                <w:sz w:val="14"/>
                <w:szCs w:val="14"/>
                <w:color w:val="55565A"/>
              </w:rPr>
              <w:t>90</w:t>
            </w:r>
          </w:p>
        </w:tc>
      </w:tr>
    </w:tbl>
    <w:p>
      <w:pPr>
        <w:spacing w:after="0" w:line="93" w:lineRule="exact"/>
        <w:rPr>
          <w:sz w:val="20"/>
          <w:szCs w:val="20"/>
          <w:color w:val="auto"/>
        </w:rPr>
      </w:pPr>
    </w:p>
    <w:p>
      <w:pPr>
        <w:ind w:right="380"/>
        <w:spacing w:after="0" w:line="279" w:lineRule="auto"/>
        <w:rPr>
          <w:sz w:val="20"/>
          <w:szCs w:val="20"/>
          <w:color w:val="auto"/>
        </w:rPr>
      </w:pPr>
      <w:r>
        <w:rPr>
          <w:rFonts w:ascii="Arial" w:cs="Arial" w:eastAsia="Arial" w:hAnsi="Arial"/>
          <w:sz w:val="16"/>
          <w:szCs w:val="16"/>
          <w:color w:val="55565A"/>
        </w:rPr>
        <w:t>Net (gains) losses due to changes in foreign currency exchange rates were principally comprised of amounts related to certain intercompany funding arrangements.</w:t>
      </w:r>
    </w:p>
    <w:p>
      <w:pPr>
        <w:spacing w:after="0" w:line="54"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55565A"/>
        </w:rPr>
        <w:t>Net (gains) losses on derivative instruments related to foreign exchange contracts that are intended to reduce foreign currency risk on a portion of the Company’s indirect investment in LSEG, which is denominated in British pounds sterling.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8: Equity Method Investments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5565A"/>
        </w:rPr>
        <w:t>Equity method investments in the consolidated statement of financial position were comprised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Borders>
              <w:top w:val="single" w:sz="8" w:color="88888B"/>
            </w:tcBorders>
          </w:tcPr>
          <w:p>
            <w:pPr>
              <w:spacing w:after="0"/>
              <w:rPr>
                <w:sz w:val="18"/>
                <w:szCs w:val="18"/>
                <w:color w:val="auto"/>
              </w:rPr>
            </w:pPr>
          </w:p>
        </w:tc>
        <w:tc>
          <w:tcPr>
            <w:tcW w:w="4080" w:type="dxa"/>
            <w:vAlign w:val="bottom"/>
            <w:tcBorders>
              <w:top w:val="single" w:sz="8" w:color="88888B"/>
            </w:tcBorders>
          </w:tcPr>
          <w:p>
            <w:pPr>
              <w:jc w:val="right"/>
              <w:ind w:right="309"/>
              <w:spacing w:after="0"/>
              <w:rPr>
                <w:sz w:val="20"/>
                <w:szCs w:val="20"/>
                <w:color w:val="auto"/>
              </w:rPr>
            </w:pPr>
            <w:r>
              <w:rPr>
                <w:rFonts w:ascii="Arial" w:cs="Arial" w:eastAsia="Arial" w:hAnsi="Arial"/>
                <w:sz w:val="14"/>
                <w:szCs w:val="14"/>
                <w:b w:val="1"/>
                <w:bCs w:val="1"/>
                <w:color w:val="55565A"/>
              </w:rPr>
              <w:t>March 31,</w:t>
            </w:r>
          </w:p>
        </w:tc>
        <w:tc>
          <w:tcPr>
            <w:tcW w:w="1680" w:type="dxa"/>
            <w:vAlign w:val="bottom"/>
            <w:tcBorders>
              <w:top w:val="single" w:sz="8" w:color="88888B"/>
            </w:tcBorders>
          </w:tcPr>
          <w:p>
            <w:pPr>
              <w:jc w:val="right"/>
              <w:ind w:right="329"/>
              <w:spacing w:after="0"/>
              <w:rPr>
                <w:sz w:val="20"/>
                <w:szCs w:val="20"/>
                <w:color w:val="auto"/>
              </w:rPr>
            </w:pPr>
            <w:r>
              <w:rPr>
                <w:rFonts w:ascii="Arial" w:cs="Arial" w:eastAsia="Arial" w:hAnsi="Arial"/>
                <w:sz w:val="14"/>
                <w:szCs w:val="14"/>
                <w:b w:val="1"/>
                <w:bCs w:val="1"/>
                <w:color w:val="55565A"/>
              </w:rPr>
              <w:t>December 31,</w:t>
            </w:r>
          </w:p>
        </w:tc>
      </w:tr>
      <w:tr>
        <w:trPr>
          <w:trHeight w:val="218"/>
        </w:trPr>
        <w:tc>
          <w:tcPr>
            <w:tcW w:w="5160" w:type="dxa"/>
            <w:vAlign w:val="bottom"/>
          </w:tcPr>
          <w:p>
            <w:pPr>
              <w:spacing w:after="0"/>
              <w:rPr>
                <w:sz w:val="18"/>
                <w:szCs w:val="18"/>
                <w:color w:val="auto"/>
              </w:rPr>
            </w:pPr>
          </w:p>
        </w:tc>
        <w:tc>
          <w:tcPr>
            <w:tcW w:w="4080" w:type="dxa"/>
            <w:vAlign w:val="bottom"/>
          </w:tcPr>
          <w:p>
            <w:pPr>
              <w:jc w:val="right"/>
              <w:ind w:right="289"/>
              <w:spacing w:after="0"/>
              <w:rPr>
                <w:sz w:val="20"/>
                <w:szCs w:val="20"/>
                <w:color w:val="auto"/>
              </w:rPr>
            </w:pPr>
            <w:r>
              <w:rPr>
                <w:rFonts w:ascii="Arial" w:cs="Arial" w:eastAsia="Arial" w:hAnsi="Arial"/>
                <w:sz w:val="14"/>
                <w:szCs w:val="14"/>
                <w:b w:val="1"/>
                <w:bCs w:val="1"/>
                <w:color w:val="55565A"/>
              </w:rPr>
              <w:t>2024</w:t>
            </w:r>
          </w:p>
        </w:tc>
        <w:tc>
          <w:tcPr>
            <w:tcW w:w="1680" w:type="dxa"/>
            <w:vAlign w:val="bottom"/>
          </w:tcPr>
          <w:p>
            <w:pPr>
              <w:jc w:val="right"/>
              <w:ind w:right="329"/>
              <w:spacing w:after="0"/>
              <w:rPr>
                <w:sz w:val="20"/>
                <w:szCs w:val="20"/>
                <w:color w:val="auto"/>
              </w:rPr>
            </w:pPr>
            <w:r>
              <w:rPr>
                <w:rFonts w:ascii="Arial" w:cs="Arial" w:eastAsia="Arial" w:hAnsi="Arial"/>
                <w:sz w:val="14"/>
                <w:szCs w:val="14"/>
                <w:color w:val="55565A"/>
              </w:rPr>
              <w:t>2023</w:t>
            </w:r>
          </w:p>
        </w:tc>
      </w:tr>
      <w:tr>
        <w:trPr>
          <w:trHeight w:val="28"/>
        </w:trPr>
        <w:tc>
          <w:tcPr>
            <w:tcW w:w="5160" w:type="dxa"/>
            <w:vAlign w:val="bottom"/>
            <w:tcBorders>
              <w:bottom w:val="single" w:sz="8" w:color="88888B"/>
            </w:tcBorders>
          </w:tcPr>
          <w:p>
            <w:pPr>
              <w:spacing w:after="0"/>
              <w:rPr>
                <w:sz w:val="2"/>
                <w:szCs w:val="2"/>
                <w:color w:val="auto"/>
              </w:rPr>
            </w:pPr>
          </w:p>
        </w:tc>
        <w:tc>
          <w:tcPr>
            <w:tcW w:w="4080" w:type="dxa"/>
            <w:vAlign w:val="bottom"/>
            <w:tcBorders>
              <w:bottom w:val="single" w:sz="8" w:color="88888B"/>
            </w:tcBorders>
          </w:tcPr>
          <w:p>
            <w:pPr>
              <w:spacing w:after="0"/>
              <w:rPr>
                <w:sz w:val="2"/>
                <w:szCs w:val="2"/>
                <w:color w:val="auto"/>
              </w:rPr>
            </w:pPr>
          </w:p>
        </w:tc>
        <w:tc>
          <w:tcPr>
            <w:tcW w:w="1680" w:type="dxa"/>
            <w:vAlign w:val="bottom"/>
            <w:tcBorders>
              <w:bottom w:val="single" w:sz="8" w:color="88888B"/>
            </w:tcBorders>
          </w:tcPr>
          <w:p>
            <w:pPr>
              <w:spacing w:after="0"/>
              <w:rPr>
                <w:sz w:val="2"/>
                <w:szCs w:val="2"/>
                <w:color w:val="auto"/>
              </w:rPr>
            </w:pPr>
          </w:p>
        </w:tc>
      </w:tr>
      <w:tr>
        <w:trPr>
          <w:trHeight w:val="154"/>
        </w:trPr>
        <w:tc>
          <w:tcPr>
            <w:tcW w:w="516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YPL</w:t>
            </w:r>
          </w:p>
        </w:tc>
        <w:tc>
          <w:tcPr>
            <w:tcW w:w="4080" w:type="dxa"/>
            <w:vAlign w:val="bottom"/>
            <w:shd w:val="clear" w:color="auto" w:fill="CCEEFF"/>
          </w:tcPr>
          <w:p>
            <w:pPr>
              <w:jc w:val="right"/>
              <w:ind w:right="289"/>
              <w:spacing w:after="0" w:line="154" w:lineRule="exact"/>
              <w:rPr>
                <w:sz w:val="20"/>
                <w:szCs w:val="20"/>
                <w:color w:val="auto"/>
              </w:rPr>
            </w:pPr>
            <w:r>
              <w:rPr>
                <w:rFonts w:ascii="Arial" w:cs="Arial" w:eastAsia="Arial" w:hAnsi="Arial"/>
                <w:sz w:val="14"/>
                <w:szCs w:val="14"/>
                <w:b w:val="1"/>
                <w:bCs w:val="1"/>
                <w:color w:val="55565A"/>
              </w:rPr>
              <w:t>611</w:t>
            </w:r>
          </w:p>
        </w:tc>
        <w:tc>
          <w:tcPr>
            <w:tcW w:w="1680" w:type="dxa"/>
            <w:vAlign w:val="bottom"/>
            <w:shd w:val="clear" w:color="auto" w:fill="CCEEFF"/>
          </w:tcPr>
          <w:p>
            <w:pPr>
              <w:jc w:val="right"/>
              <w:ind w:right="329"/>
              <w:spacing w:after="0" w:line="154" w:lineRule="exact"/>
              <w:rPr>
                <w:sz w:val="20"/>
                <w:szCs w:val="20"/>
                <w:color w:val="auto"/>
              </w:rPr>
            </w:pPr>
            <w:r>
              <w:rPr>
                <w:rFonts w:ascii="Arial" w:cs="Arial" w:eastAsia="Arial" w:hAnsi="Arial"/>
                <w:sz w:val="14"/>
                <w:szCs w:val="14"/>
                <w:color w:val="55565A"/>
              </w:rPr>
              <w:t>1,798</w:t>
            </w:r>
          </w:p>
        </w:tc>
      </w:tr>
      <w:tr>
        <w:trPr>
          <w:trHeight w:val="187"/>
        </w:trPr>
        <w:tc>
          <w:tcPr>
            <w:tcW w:w="516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Other equity method investments</w:t>
            </w:r>
          </w:p>
        </w:tc>
        <w:tc>
          <w:tcPr>
            <w:tcW w:w="408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b w:val="1"/>
                <w:bCs w:val="1"/>
                <w:color w:val="55565A"/>
              </w:rPr>
              <w:t>225</w:t>
            </w:r>
          </w:p>
        </w:tc>
        <w:tc>
          <w:tcPr>
            <w:tcW w:w="1680" w:type="dxa"/>
            <w:vAlign w:val="bottom"/>
            <w:tcBorders>
              <w:bottom w:val="single" w:sz="8" w:color="88888B"/>
            </w:tcBorders>
          </w:tcPr>
          <w:p>
            <w:pPr>
              <w:jc w:val="right"/>
              <w:ind w:right="329"/>
              <w:spacing w:after="0"/>
              <w:rPr>
                <w:sz w:val="20"/>
                <w:szCs w:val="20"/>
                <w:color w:val="auto"/>
              </w:rPr>
            </w:pPr>
            <w:r>
              <w:rPr>
                <w:rFonts w:ascii="Arial" w:cs="Arial" w:eastAsia="Arial" w:hAnsi="Arial"/>
                <w:sz w:val="14"/>
                <w:szCs w:val="14"/>
                <w:color w:val="55565A"/>
              </w:rPr>
              <w:t>232</w:t>
            </w:r>
          </w:p>
        </w:tc>
      </w:tr>
      <w:tr>
        <w:trPr>
          <w:trHeight w:val="181"/>
        </w:trPr>
        <w:tc>
          <w:tcPr>
            <w:tcW w:w="516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Total equity method investments</w:t>
            </w:r>
          </w:p>
        </w:tc>
        <w:tc>
          <w:tcPr>
            <w:tcW w:w="4080" w:type="dxa"/>
            <w:vAlign w:val="bottom"/>
            <w:tcBorders>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836</w:t>
            </w:r>
          </w:p>
        </w:tc>
        <w:tc>
          <w:tcPr>
            <w:tcW w:w="1680" w:type="dxa"/>
            <w:vAlign w:val="bottom"/>
            <w:tcBorders>
              <w:bottom w:val="single" w:sz="8" w:color="88888B"/>
            </w:tcBorders>
            <w:shd w:val="clear" w:color="auto" w:fill="CCEEFF"/>
          </w:tcPr>
          <w:p>
            <w:pPr>
              <w:jc w:val="right"/>
              <w:ind w:right="329"/>
              <w:spacing w:after="0"/>
              <w:rPr>
                <w:sz w:val="20"/>
                <w:szCs w:val="20"/>
                <w:color w:val="auto"/>
              </w:rPr>
            </w:pPr>
            <w:r>
              <w:rPr>
                <w:rFonts w:ascii="Arial" w:cs="Arial" w:eastAsia="Arial" w:hAnsi="Arial"/>
                <w:sz w:val="14"/>
                <w:szCs w:val="14"/>
                <w:color w:val="55565A"/>
              </w:rPr>
              <w:t>2,030</w:t>
            </w:r>
          </w:p>
        </w:tc>
      </w:tr>
    </w:tbl>
    <w:p>
      <w:pPr>
        <w:spacing w:after="0" w:line="9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55565A"/>
        </w:rPr>
        <w:t>Equity method investments were primarily comprised of the Company’s indirect investment in LSEG shares, which it holds through its direct investment in York Parent Limited and its subsidiaries (“YPL”). YPL is an entity jointly owned by the Company and Blackstone’s consortium (comprised of The Blackstone Group and its subsidiaries, and private equity funds affiliated with Blackstone).</w:t>
      </w:r>
    </w:p>
    <w:p>
      <w:pPr>
        <w:spacing w:after="0" w:line="6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55565A"/>
        </w:rPr>
        <w:t>The investment in LSEG is subject to equity accounting because the LSEG shares are held through YPL, over which the Company has significant influence. As YPL owns only the financial investment in LSEG shares, which the parties intend to sell over time, and is not involved in operating LSEG, the investment in LSEG shares held by YPL is accounted for at fair value, based on the share price of LSEG. As the investment in LSEG is denominated in British pounds sterling, the Company has entered into a series of foreign exchange contracts to mitigate currency risk on its investment (see note 11).</w:t>
      </w:r>
    </w:p>
    <w:p>
      <w:pPr>
        <w:spacing w:after="0" w:line="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55565A"/>
        </w:rPr>
        <w:t>On March 5, 2024, LSEG amended the terms of contractual lock-up provisions previously agreed between LSEG and the Blackstone consortium/Thomson Reuters entities that hold the LSEG shares, which increased the number of LSEG shares the Company could sell between March 2, 2024 and January 29, 2025 from 6.1 million shares to 7.5 million shares. In the three months ended March 31, 2024, the Company sold 10.1 million shares of LSEG that it indirectly owned, including 2.6 million that were subject to call options. The company received $1.2 billion of gross proceeds related to LSEG transactions, which included $57 million from the settlement of foreign exchange contracts and $58 million from shares sold in 2023 that settled in 2024. Virtually all of the $1.2 billion was received in the form of dividends from YPL.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47</w:t>
      </w:r>
    </w:p>
    <w:p>
      <w:pPr>
        <w:sectPr>
          <w:pgSz w:w="11900" w:h="16838" w:orient="portrait"/>
          <w:cols w:equalWidth="0" w:num="1">
            <w:col w:w="10920"/>
          </w:cols>
          <w:pgMar w:left="480" w:top="1440" w:right="49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color w:val="55565A"/>
        </w:rPr>
        <w:t>In the three months ended March 31, 2023, the Company sold 24.5 million shares of LSEG that it indirectly owned. The company received $2.3 billion of gross proceeds related to LSEG transactions, which included $96 million from the settlement of foreign exchange contracts. Of this amount, $2.2 billion was received in the form of dividends from YPL.</w:t>
      </w:r>
    </w:p>
    <w:p>
      <w:pPr>
        <w:spacing w:after="0" w:line="66"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color w:val="55565A"/>
        </w:rPr>
        <w:t>These amounts were recorded as a reduction of the Company’s investment (except for the amounts related to the settlement of the foreign exchange contracts) and presented as investing activities in the consolidated statement of cash flow.</w:t>
      </w:r>
    </w:p>
    <w:p>
      <w:pPr>
        <w:spacing w:after="0" w:line="5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55565A"/>
        </w:rPr>
        <w:t>As of March 31, 2024, YPL held LSEG ordinary shares, which carry an approximate 6% economic and voting interest in LSEG. As of December 31, 2023, YPL held a combination of LSEG ordinary shares and LSEG limited-voting ordinary shares, with the shares carrying in aggregate an approximate 12% economic interest and 9% voting interest in LSEG.</w:t>
      </w:r>
    </w:p>
    <w:p>
      <w:pPr>
        <w:spacing w:after="0" w:line="66"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55565A"/>
        </w:rPr>
        <w:t>As of March 31, 2024, the Company owned 18.2% (December 31, 2023 – 24.6%) of YPL and indirectly owned approximately 5.9 million (December 31, 2023 – 16.0 million) LSEG shares, which are subject to amended lock-up provisions that allow it to sell all of these remaining shares after January 29, 2025.</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55565A"/>
        </w:rPr>
        <w:t>See note 20 for transactions that occurred after March 31, 2024.</w:t>
      </w:r>
    </w:p>
    <w:p>
      <w:pPr>
        <w:spacing w:after="0" w:line="110"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55565A"/>
        </w:rPr>
        <w:t>The Company’s share of post-tax (losses) earnings in equity method investments as reported in the consolidated income statement is comprised of the following: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00" w:type="dxa"/>
            <w:vAlign w:val="bottom"/>
            <w:tcBorders>
              <w:top w:val="single" w:sz="8" w:color="88888B"/>
            </w:tcBorders>
          </w:tcPr>
          <w:p>
            <w:pPr>
              <w:spacing w:after="0"/>
              <w:rPr>
                <w:sz w:val="15"/>
                <w:szCs w:val="15"/>
                <w:color w:val="auto"/>
              </w:rPr>
            </w:pPr>
          </w:p>
        </w:tc>
        <w:tc>
          <w:tcPr>
            <w:tcW w:w="2180" w:type="dxa"/>
            <w:vAlign w:val="bottom"/>
            <w:tcBorders>
              <w:top w:val="single" w:sz="8" w:color="88888B"/>
            </w:tcBorders>
          </w:tcPr>
          <w:p>
            <w:pPr>
              <w:jc w:val="right"/>
              <w:spacing w:after="0"/>
              <w:rPr>
                <w:sz w:val="20"/>
                <w:szCs w:val="20"/>
                <w:color w:val="auto"/>
              </w:rPr>
            </w:pPr>
            <w:r>
              <w:rPr>
                <w:rFonts w:ascii="Arial" w:cs="Arial" w:eastAsia="Arial" w:hAnsi="Arial"/>
                <w:sz w:val="14"/>
                <w:szCs w:val="14"/>
                <w:b w:val="1"/>
                <w:bCs w:val="1"/>
                <w:color w:val="55565A"/>
              </w:rPr>
              <w:t>Three months ended March 31,</w:t>
            </w:r>
          </w:p>
        </w:tc>
        <w:tc>
          <w:tcPr>
            <w:tcW w:w="820" w:type="dxa"/>
            <w:vAlign w:val="bottom"/>
            <w:tcBorders>
              <w:top w:val="single" w:sz="8" w:color="88888B"/>
            </w:tcBorders>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7900" w:type="dxa"/>
            <w:vAlign w:val="bottom"/>
            <w:tcBorders>
              <w:bottom w:val="single" w:sz="8" w:color="88888B"/>
            </w:tcBorders>
          </w:tcPr>
          <w:p>
            <w:pPr>
              <w:spacing w:after="0"/>
              <w:rPr>
                <w:sz w:val="14"/>
                <w:szCs w:val="14"/>
                <w:color w:val="auto"/>
              </w:rPr>
            </w:pPr>
          </w:p>
        </w:tc>
        <w:tc>
          <w:tcPr>
            <w:tcW w:w="2180" w:type="dxa"/>
            <w:vAlign w:val="bottom"/>
            <w:tcBorders>
              <w:bottom w:val="single" w:sz="8" w:color="88888B"/>
            </w:tcBorders>
          </w:tcPr>
          <w:p>
            <w:pPr>
              <w:jc w:val="right"/>
              <w:ind w:right="1509"/>
              <w:spacing w:after="0"/>
              <w:rPr>
                <w:sz w:val="20"/>
                <w:szCs w:val="20"/>
                <w:color w:val="auto"/>
              </w:rPr>
            </w:pPr>
            <w:r>
              <w:rPr>
                <w:rFonts w:ascii="Arial" w:cs="Arial" w:eastAsia="Arial" w:hAnsi="Arial"/>
                <w:sz w:val="14"/>
                <w:szCs w:val="14"/>
                <w:b w:val="1"/>
                <w:bCs w:val="1"/>
                <w:color w:val="55565A"/>
              </w:rPr>
              <w:t>2024</w:t>
            </w:r>
          </w:p>
        </w:tc>
        <w:tc>
          <w:tcPr>
            <w:tcW w:w="820" w:type="dxa"/>
            <w:vAlign w:val="bottom"/>
            <w:tcBorders>
              <w:bottom w:val="single" w:sz="8" w:color="88888B"/>
            </w:tcBorders>
          </w:tcPr>
          <w:p>
            <w:pPr>
              <w:jc w:val="right"/>
              <w:ind w:right="389"/>
              <w:spacing w:after="0"/>
              <w:rPr>
                <w:sz w:val="20"/>
                <w:szCs w:val="20"/>
                <w:color w:val="auto"/>
              </w:rPr>
            </w:pPr>
            <w:r>
              <w:rPr>
                <w:rFonts w:ascii="Arial" w:cs="Arial" w:eastAsia="Arial" w:hAnsi="Arial"/>
                <w:sz w:val="14"/>
                <w:szCs w:val="14"/>
                <w:color w:val="55565A"/>
              </w:rPr>
              <w:t>2023</w:t>
            </w:r>
          </w:p>
        </w:tc>
      </w:tr>
      <w:tr>
        <w:trPr>
          <w:trHeight w:val="154"/>
        </w:trPr>
        <w:tc>
          <w:tcPr>
            <w:tcW w:w="20" w:type="dxa"/>
            <w:vAlign w:val="bottom"/>
          </w:tcPr>
          <w:p>
            <w:pPr>
              <w:spacing w:after="0"/>
              <w:rPr>
                <w:sz w:val="13"/>
                <w:szCs w:val="13"/>
                <w:color w:val="auto"/>
              </w:rPr>
            </w:pPr>
          </w:p>
        </w:tc>
        <w:tc>
          <w:tcPr>
            <w:tcW w:w="790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YPL</w:t>
            </w:r>
          </w:p>
        </w:tc>
        <w:tc>
          <w:tcPr>
            <w:tcW w:w="2180" w:type="dxa"/>
            <w:vAlign w:val="bottom"/>
            <w:shd w:val="clear" w:color="auto" w:fill="CCEEFF"/>
          </w:tcPr>
          <w:p>
            <w:pPr>
              <w:jc w:val="right"/>
              <w:ind w:right="1509"/>
              <w:spacing w:after="0" w:line="154" w:lineRule="exact"/>
              <w:rPr>
                <w:sz w:val="20"/>
                <w:szCs w:val="20"/>
                <w:color w:val="auto"/>
              </w:rPr>
            </w:pPr>
            <w:r>
              <w:rPr>
                <w:rFonts w:ascii="Arial" w:cs="Arial" w:eastAsia="Arial" w:hAnsi="Arial"/>
                <w:sz w:val="14"/>
                <w:szCs w:val="14"/>
                <w:b w:val="1"/>
                <w:bCs w:val="1"/>
                <w:color w:val="55565A"/>
              </w:rPr>
              <w:t>–</w:t>
            </w:r>
          </w:p>
        </w:tc>
        <w:tc>
          <w:tcPr>
            <w:tcW w:w="820" w:type="dxa"/>
            <w:vAlign w:val="bottom"/>
            <w:shd w:val="clear" w:color="auto" w:fill="CCEEFF"/>
          </w:tcPr>
          <w:p>
            <w:pPr>
              <w:jc w:val="right"/>
              <w:ind w:right="389"/>
              <w:spacing w:after="0" w:line="154" w:lineRule="exact"/>
              <w:rPr>
                <w:sz w:val="20"/>
                <w:szCs w:val="20"/>
                <w:color w:val="auto"/>
              </w:rPr>
            </w:pPr>
            <w:r>
              <w:rPr>
                <w:rFonts w:ascii="Arial" w:cs="Arial" w:eastAsia="Arial" w:hAnsi="Arial"/>
                <w:sz w:val="14"/>
                <w:szCs w:val="14"/>
                <w:color w:val="55565A"/>
              </w:rPr>
              <w:t>574</w:t>
            </w:r>
          </w:p>
        </w:tc>
      </w:tr>
      <w:tr>
        <w:trPr>
          <w:trHeight w:val="187"/>
        </w:trPr>
        <w:tc>
          <w:tcPr>
            <w:tcW w:w="20" w:type="dxa"/>
            <w:vAlign w:val="bottom"/>
          </w:tcPr>
          <w:p>
            <w:pPr>
              <w:spacing w:after="0"/>
              <w:rPr>
                <w:sz w:val="16"/>
                <w:szCs w:val="16"/>
                <w:color w:val="auto"/>
              </w:rPr>
            </w:pPr>
          </w:p>
        </w:tc>
        <w:tc>
          <w:tcPr>
            <w:tcW w:w="790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Other equity method investments</w:t>
            </w:r>
          </w:p>
        </w:tc>
        <w:tc>
          <w:tcPr>
            <w:tcW w:w="2180" w:type="dxa"/>
            <w:vAlign w:val="bottom"/>
            <w:tcBorders>
              <w:bottom w:val="single" w:sz="8" w:color="88888B"/>
            </w:tcBorders>
          </w:tcPr>
          <w:p>
            <w:pPr>
              <w:jc w:val="right"/>
              <w:ind w:right="1509"/>
              <w:spacing w:after="0"/>
              <w:rPr>
                <w:sz w:val="20"/>
                <w:szCs w:val="20"/>
                <w:color w:val="auto"/>
              </w:rPr>
            </w:pPr>
            <w:r>
              <w:rPr>
                <w:rFonts w:ascii="Arial" w:cs="Arial" w:eastAsia="Arial" w:hAnsi="Arial"/>
                <w:sz w:val="14"/>
                <w:szCs w:val="14"/>
                <w:b w:val="1"/>
                <w:bCs w:val="1"/>
                <w:color w:val="55565A"/>
              </w:rPr>
              <w:t>(8)</w:t>
            </w:r>
          </w:p>
        </w:tc>
        <w:tc>
          <w:tcPr>
            <w:tcW w:w="820" w:type="dxa"/>
            <w:vAlign w:val="bottom"/>
            <w:tcBorders>
              <w:bottom w:val="single" w:sz="8" w:color="88888B"/>
            </w:tcBorders>
          </w:tcPr>
          <w:p>
            <w:pPr>
              <w:jc w:val="right"/>
              <w:ind w:right="389"/>
              <w:spacing w:after="0"/>
              <w:rPr>
                <w:sz w:val="20"/>
                <w:szCs w:val="20"/>
                <w:color w:val="auto"/>
              </w:rPr>
            </w:pPr>
            <w:r>
              <w:rPr>
                <w:rFonts w:ascii="Arial" w:cs="Arial" w:eastAsia="Arial" w:hAnsi="Arial"/>
                <w:sz w:val="14"/>
                <w:szCs w:val="14"/>
                <w:color w:val="55565A"/>
              </w:rPr>
              <w:t>(4)</w:t>
            </w:r>
          </w:p>
        </w:tc>
      </w:tr>
      <w:tr>
        <w:trPr>
          <w:trHeight w:val="181"/>
        </w:trPr>
        <w:tc>
          <w:tcPr>
            <w:tcW w:w="20" w:type="dxa"/>
            <w:vAlign w:val="bottom"/>
          </w:tcPr>
          <w:p>
            <w:pPr>
              <w:spacing w:after="0"/>
              <w:rPr>
                <w:sz w:val="15"/>
                <w:szCs w:val="15"/>
                <w:color w:val="auto"/>
              </w:rPr>
            </w:pPr>
          </w:p>
        </w:tc>
        <w:tc>
          <w:tcPr>
            <w:tcW w:w="79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Total share of post-tax (losses) earnings in equity method investments</w:t>
            </w:r>
          </w:p>
        </w:tc>
        <w:tc>
          <w:tcPr>
            <w:tcW w:w="2180" w:type="dxa"/>
            <w:vAlign w:val="bottom"/>
            <w:tcBorders>
              <w:bottom w:val="single" w:sz="8" w:color="88888B"/>
            </w:tcBorders>
            <w:shd w:val="clear" w:color="auto" w:fill="CCEEFF"/>
          </w:tcPr>
          <w:p>
            <w:pPr>
              <w:jc w:val="right"/>
              <w:ind w:right="1509"/>
              <w:spacing w:after="0"/>
              <w:rPr>
                <w:sz w:val="20"/>
                <w:szCs w:val="20"/>
                <w:color w:val="auto"/>
              </w:rPr>
            </w:pPr>
            <w:r>
              <w:rPr>
                <w:rFonts w:ascii="Arial" w:cs="Arial" w:eastAsia="Arial" w:hAnsi="Arial"/>
                <w:sz w:val="14"/>
                <w:szCs w:val="14"/>
                <w:b w:val="1"/>
                <w:bCs w:val="1"/>
                <w:color w:val="55565A"/>
              </w:rPr>
              <w:t>(8)</w:t>
            </w:r>
          </w:p>
        </w:tc>
        <w:tc>
          <w:tcPr>
            <w:tcW w:w="820" w:type="dxa"/>
            <w:vAlign w:val="bottom"/>
            <w:tcBorders>
              <w:bottom w:val="single" w:sz="8" w:color="88888B"/>
            </w:tcBorders>
            <w:shd w:val="clear" w:color="auto" w:fill="CCEEFF"/>
          </w:tcPr>
          <w:p>
            <w:pPr>
              <w:jc w:val="right"/>
              <w:ind w:right="389"/>
              <w:spacing w:after="0"/>
              <w:rPr>
                <w:sz w:val="20"/>
                <w:szCs w:val="20"/>
                <w:color w:val="auto"/>
              </w:rPr>
            </w:pPr>
            <w:r>
              <w:rPr>
                <w:rFonts w:ascii="Arial" w:cs="Arial" w:eastAsia="Arial" w:hAnsi="Arial"/>
                <w:sz w:val="14"/>
                <w:szCs w:val="14"/>
                <w:color w:val="55565A"/>
              </w:rPr>
              <w:t>570</w:t>
            </w:r>
          </w:p>
        </w:tc>
      </w:tr>
      <w:tr>
        <w:trPr>
          <w:trHeight w:val="297"/>
        </w:trPr>
        <w:tc>
          <w:tcPr>
            <w:tcW w:w="7920" w:type="dxa"/>
            <w:vAlign w:val="bottom"/>
            <w:gridSpan w:val="2"/>
          </w:tcPr>
          <w:p>
            <w:pPr>
              <w:spacing w:after="0"/>
              <w:rPr>
                <w:sz w:val="20"/>
                <w:szCs w:val="20"/>
                <w:color w:val="auto"/>
              </w:rPr>
            </w:pPr>
            <w:r>
              <w:rPr>
                <w:rFonts w:ascii="Arial" w:cs="Arial" w:eastAsia="Arial" w:hAnsi="Arial"/>
                <w:sz w:val="16"/>
                <w:szCs w:val="16"/>
                <w:color w:val="55565A"/>
              </w:rPr>
              <w:t>The Company’s share of post-tax (losses) earnings in its YPL investment was comprised of the following items:</w:t>
            </w: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0"/>
        </w:trPr>
        <w:tc>
          <w:tcPr>
            <w:tcW w:w="20" w:type="dxa"/>
            <w:vAlign w:val="bottom"/>
          </w:tcPr>
          <w:p>
            <w:pPr>
              <w:spacing w:after="0"/>
              <w:rPr>
                <w:sz w:val="9"/>
                <w:szCs w:val="9"/>
                <w:color w:val="auto"/>
              </w:rPr>
            </w:pPr>
          </w:p>
        </w:tc>
        <w:tc>
          <w:tcPr>
            <w:tcW w:w="7900" w:type="dxa"/>
            <w:vAlign w:val="bottom"/>
            <w:tcBorders>
              <w:bottom w:val="single" w:sz="8" w:color="88888B"/>
            </w:tcBorders>
          </w:tcPr>
          <w:p>
            <w:pPr>
              <w:spacing w:after="0"/>
              <w:rPr>
                <w:sz w:val="9"/>
                <w:szCs w:val="9"/>
                <w:color w:val="auto"/>
              </w:rPr>
            </w:pPr>
          </w:p>
        </w:tc>
        <w:tc>
          <w:tcPr>
            <w:tcW w:w="2180" w:type="dxa"/>
            <w:vAlign w:val="bottom"/>
            <w:tcBorders>
              <w:bottom w:val="single" w:sz="8" w:color="88888B"/>
            </w:tcBorders>
          </w:tcPr>
          <w:p>
            <w:pPr>
              <w:spacing w:after="0"/>
              <w:rPr>
                <w:sz w:val="9"/>
                <w:szCs w:val="9"/>
                <w:color w:val="auto"/>
              </w:rPr>
            </w:pPr>
          </w:p>
        </w:tc>
        <w:tc>
          <w:tcPr>
            <w:tcW w:w="820" w:type="dxa"/>
            <w:vAlign w:val="bottom"/>
            <w:tcBorders>
              <w:bottom w:val="single" w:sz="8" w:color="88888B"/>
            </w:tcBorders>
          </w:tcPr>
          <w:p>
            <w:pPr>
              <w:spacing w:after="0"/>
              <w:rPr>
                <w:sz w:val="9"/>
                <w:szCs w:val="9"/>
                <w:color w:val="auto"/>
              </w:rPr>
            </w:pPr>
          </w:p>
        </w:tc>
      </w:tr>
      <w:tr>
        <w:trPr>
          <w:trHeight w:val="158"/>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2180" w:type="dxa"/>
            <w:vAlign w:val="bottom"/>
          </w:tcPr>
          <w:p>
            <w:pPr>
              <w:jc w:val="right"/>
              <w:spacing w:after="0" w:line="158" w:lineRule="exact"/>
              <w:rPr>
                <w:sz w:val="20"/>
                <w:szCs w:val="20"/>
                <w:color w:val="auto"/>
              </w:rPr>
            </w:pPr>
            <w:r>
              <w:rPr>
                <w:rFonts w:ascii="Arial" w:cs="Arial" w:eastAsia="Arial" w:hAnsi="Arial"/>
                <w:sz w:val="14"/>
                <w:szCs w:val="14"/>
                <w:b w:val="1"/>
                <w:bCs w:val="1"/>
                <w:color w:val="55565A"/>
              </w:rPr>
              <w:t>Three months ended March 31,</w:t>
            </w:r>
          </w:p>
        </w:tc>
        <w:tc>
          <w:tcPr>
            <w:tcW w:w="82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900" w:type="dxa"/>
            <w:vAlign w:val="bottom"/>
            <w:tcBorders>
              <w:bottom w:val="single" w:sz="8" w:color="88888B"/>
            </w:tcBorders>
          </w:tcPr>
          <w:p>
            <w:pPr>
              <w:spacing w:after="0"/>
              <w:rPr>
                <w:sz w:val="14"/>
                <w:szCs w:val="14"/>
                <w:color w:val="auto"/>
              </w:rPr>
            </w:pPr>
          </w:p>
        </w:tc>
        <w:tc>
          <w:tcPr>
            <w:tcW w:w="2180" w:type="dxa"/>
            <w:vAlign w:val="bottom"/>
            <w:tcBorders>
              <w:bottom w:val="single" w:sz="8" w:color="88888B"/>
            </w:tcBorders>
          </w:tcPr>
          <w:p>
            <w:pPr>
              <w:jc w:val="right"/>
              <w:ind w:right="1509"/>
              <w:spacing w:after="0"/>
              <w:rPr>
                <w:sz w:val="20"/>
                <w:szCs w:val="20"/>
                <w:color w:val="auto"/>
              </w:rPr>
            </w:pPr>
            <w:r>
              <w:rPr>
                <w:rFonts w:ascii="Arial" w:cs="Arial" w:eastAsia="Arial" w:hAnsi="Arial"/>
                <w:sz w:val="14"/>
                <w:szCs w:val="14"/>
                <w:b w:val="1"/>
                <w:bCs w:val="1"/>
                <w:color w:val="55565A"/>
              </w:rPr>
              <w:t>2024</w:t>
            </w:r>
          </w:p>
        </w:tc>
        <w:tc>
          <w:tcPr>
            <w:tcW w:w="820" w:type="dxa"/>
            <w:vAlign w:val="bottom"/>
            <w:tcBorders>
              <w:bottom w:val="single" w:sz="8" w:color="88888B"/>
            </w:tcBorders>
          </w:tcPr>
          <w:p>
            <w:pPr>
              <w:jc w:val="right"/>
              <w:ind w:right="409"/>
              <w:spacing w:after="0"/>
              <w:rPr>
                <w:sz w:val="20"/>
                <w:szCs w:val="20"/>
                <w:color w:val="auto"/>
              </w:rPr>
            </w:pPr>
            <w:r>
              <w:rPr>
                <w:rFonts w:ascii="Arial" w:cs="Arial" w:eastAsia="Arial" w:hAnsi="Arial"/>
                <w:sz w:val="14"/>
                <w:szCs w:val="14"/>
                <w:color w:val="55565A"/>
              </w:rPr>
              <w:t>2023</w:t>
            </w:r>
          </w:p>
        </w:tc>
      </w:tr>
      <w:tr>
        <w:trPr>
          <w:trHeight w:val="154"/>
        </w:trPr>
        <w:tc>
          <w:tcPr>
            <w:tcW w:w="20" w:type="dxa"/>
            <w:vAlign w:val="bottom"/>
          </w:tcPr>
          <w:p>
            <w:pPr>
              <w:spacing w:after="0"/>
              <w:rPr>
                <w:sz w:val="13"/>
                <w:szCs w:val="13"/>
                <w:color w:val="auto"/>
              </w:rPr>
            </w:pPr>
          </w:p>
        </w:tc>
        <w:tc>
          <w:tcPr>
            <w:tcW w:w="790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(Decrease) increase in LSEG share price</w:t>
            </w:r>
          </w:p>
        </w:tc>
        <w:tc>
          <w:tcPr>
            <w:tcW w:w="2180" w:type="dxa"/>
            <w:vAlign w:val="bottom"/>
            <w:shd w:val="clear" w:color="auto" w:fill="CCEEFF"/>
          </w:tcPr>
          <w:p>
            <w:pPr>
              <w:jc w:val="right"/>
              <w:ind w:right="1509"/>
              <w:spacing w:after="0" w:line="154" w:lineRule="exact"/>
              <w:rPr>
                <w:sz w:val="20"/>
                <w:szCs w:val="20"/>
                <w:color w:val="auto"/>
              </w:rPr>
            </w:pPr>
            <w:r>
              <w:rPr>
                <w:rFonts w:ascii="Arial" w:cs="Arial" w:eastAsia="Arial" w:hAnsi="Arial"/>
                <w:sz w:val="14"/>
                <w:szCs w:val="14"/>
                <w:b w:val="1"/>
                <w:bCs w:val="1"/>
                <w:color w:val="55565A"/>
              </w:rPr>
              <w:t>(49)</w:t>
            </w:r>
          </w:p>
        </w:tc>
        <w:tc>
          <w:tcPr>
            <w:tcW w:w="820" w:type="dxa"/>
            <w:vAlign w:val="bottom"/>
            <w:shd w:val="clear" w:color="auto" w:fill="CCEEFF"/>
          </w:tcPr>
          <w:p>
            <w:pPr>
              <w:jc w:val="right"/>
              <w:ind w:right="409"/>
              <w:spacing w:after="0" w:line="154" w:lineRule="exact"/>
              <w:rPr>
                <w:sz w:val="20"/>
                <w:szCs w:val="20"/>
                <w:color w:val="auto"/>
              </w:rPr>
            </w:pPr>
            <w:r>
              <w:rPr>
                <w:rFonts w:ascii="Arial" w:cs="Arial" w:eastAsia="Arial" w:hAnsi="Arial"/>
                <w:sz w:val="14"/>
                <w:szCs w:val="14"/>
                <w:color w:val="55565A"/>
              </w:rPr>
              <w:t>478</w:t>
            </w:r>
          </w:p>
        </w:tc>
      </w:tr>
      <w:tr>
        <w:trPr>
          <w:trHeight w:val="160"/>
        </w:trPr>
        <w:tc>
          <w:tcPr>
            <w:tcW w:w="2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4"/>
                <w:szCs w:val="14"/>
                <w:color w:val="55565A"/>
              </w:rPr>
              <w:t>Foreign exchange (losses) gains on LSEG shares</w:t>
            </w:r>
          </w:p>
        </w:tc>
        <w:tc>
          <w:tcPr>
            <w:tcW w:w="2180" w:type="dxa"/>
            <w:vAlign w:val="bottom"/>
          </w:tcPr>
          <w:p>
            <w:pPr>
              <w:jc w:val="right"/>
              <w:ind w:right="1509"/>
              <w:spacing w:after="0"/>
              <w:rPr>
                <w:sz w:val="20"/>
                <w:szCs w:val="20"/>
                <w:color w:val="auto"/>
              </w:rPr>
            </w:pPr>
            <w:r>
              <w:rPr>
                <w:rFonts w:ascii="Arial" w:cs="Arial" w:eastAsia="Arial" w:hAnsi="Arial"/>
                <w:sz w:val="14"/>
                <w:szCs w:val="14"/>
                <w:b w:val="1"/>
                <w:bCs w:val="1"/>
                <w:color w:val="55565A"/>
              </w:rPr>
              <w:t>(7)</w:t>
            </w:r>
          </w:p>
        </w:tc>
        <w:tc>
          <w:tcPr>
            <w:tcW w:w="820" w:type="dxa"/>
            <w:vAlign w:val="bottom"/>
          </w:tcPr>
          <w:p>
            <w:pPr>
              <w:jc w:val="right"/>
              <w:ind w:right="409"/>
              <w:spacing w:after="0"/>
              <w:rPr>
                <w:sz w:val="20"/>
                <w:szCs w:val="20"/>
                <w:color w:val="auto"/>
              </w:rPr>
            </w:pPr>
            <w:r>
              <w:rPr>
                <w:rFonts w:ascii="Arial" w:cs="Arial" w:eastAsia="Arial" w:hAnsi="Arial"/>
                <w:sz w:val="14"/>
                <w:szCs w:val="14"/>
                <w:color w:val="55565A"/>
              </w:rPr>
              <w:t>159</w:t>
            </w: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4"/>
                <w:szCs w:val="14"/>
                <w:color w:val="55565A"/>
              </w:rPr>
              <w:t>Loss from forward contract</w:t>
            </w:r>
          </w:p>
        </w:tc>
        <w:tc>
          <w:tcPr>
            <w:tcW w:w="2180" w:type="dxa"/>
            <w:vAlign w:val="bottom"/>
            <w:shd w:val="clear" w:color="auto" w:fill="CCEEFF"/>
          </w:tcPr>
          <w:p>
            <w:pPr>
              <w:jc w:val="right"/>
              <w:ind w:right="1509"/>
              <w:spacing w:after="0"/>
              <w:rPr>
                <w:sz w:val="20"/>
                <w:szCs w:val="20"/>
                <w:color w:val="auto"/>
              </w:rPr>
            </w:pPr>
            <w:r>
              <w:rPr>
                <w:rFonts w:ascii="Arial" w:cs="Arial" w:eastAsia="Arial" w:hAnsi="Arial"/>
                <w:sz w:val="14"/>
                <w:szCs w:val="14"/>
                <w:b w:val="1"/>
                <w:bCs w:val="1"/>
                <w:color w:val="55565A"/>
              </w:rPr>
              <w:t>–</w:t>
            </w:r>
          </w:p>
        </w:tc>
        <w:tc>
          <w:tcPr>
            <w:tcW w:w="82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(77)</w:t>
            </w:r>
          </w:p>
        </w:tc>
      </w:tr>
      <w:tr>
        <w:trPr>
          <w:trHeight w:val="160"/>
        </w:trPr>
        <w:tc>
          <w:tcPr>
            <w:tcW w:w="2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4"/>
                <w:szCs w:val="14"/>
                <w:color w:val="55565A"/>
              </w:rPr>
              <w:t>Gain from call options</w:t>
            </w:r>
          </w:p>
        </w:tc>
        <w:tc>
          <w:tcPr>
            <w:tcW w:w="2180" w:type="dxa"/>
            <w:vAlign w:val="bottom"/>
          </w:tcPr>
          <w:p>
            <w:pPr>
              <w:jc w:val="right"/>
              <w:ind w:right="1509"/>
              <w:spacing w:after="0"/>
              <w:rPr>
                <w:sz w:val="20"/>
                <w:szCs w:val="20"/>
                <w:color w:val="auto"/>
              </w:rPr>
            </w:pPr>
            <w:r>
              <w:rPr>
                <w:rFonts w:ascii="Arial" w:cs="Arial" w:eastAsia="Arial" w:hAnsi="Arial"/>
                <w:sz w:val="14"/>
                <w:szCs w:val="14"/>
                <w:b w:val="1"/>
                <w:bCs w:val="1"/>
                <w:color w:val="55565A"/>
              </w:rPr>
              <w:t>22</w:t>
            </w:r>
          </w:p>
        </w:tc>
        <w:tc>
          <w:tcPr>
            <w:tcW w:w="820" w:type="dxa"/>
            <w:vAlign w:val="bottom"/>
          </w:tcPr>
          <w:p>
            <w:pPr>
              <w:jc w:val="right"/>
              <w:ind w:right="409"/>
              <w:spacing w:after="0"/>
              <w:rPr>
                <w:sz w:val="20"/>
                <w:szCs w:val="20"/>
                <w:color w:val="auto"/>
              </w:rPr>
            </w:pPr>
            <w:r>
              <w:rPr>
                <w:rFonts w:ascii="Arial" w:cs="Arial" w:eastAsia="Arial" w:hAnsi="Arial"/>
                <w:sz w:val="14"/>
                <w:szCs w:val="14"/>
                <w:color w:val="55565A"/>
              </w:rPr>
              <w:t>–</w:t>
            </w:r>
          </w:p>
        </w:tc>
      </w:tr>
      <w:tr>
        <w:trPr>
          <w:trHeight w:val="214"/>
        </w:trPr>
        <w:tc>
          <w:tcPr>
            <w:tcW w:w="20" w:type="dxa"/>
            <w:vAlign w:val="bottom"/>
          </w:tcPr>
          <w:p>
            <w:pPr>
              <w:spacing w:after="0"/>
              <w:rPr>
                <w:sz w:val="18"/>
                <w:szCs w:val="18"/>
                <w:color w:val="auto"/>
              </w:rPr>
            </w:pPr>
          </w:p>
        </w:tc>
        <w:tc>
          <w:tcPr>
            <w:tcW w:w="7900" w:type="dxa"/>
            <w:vAlign w:val="bottom"/>
            <w:tcBorders>
              <w:bottom w:val="single" w:sz="8" w:color="88888B"/>
            </w:tcBorders>
            <w:shd w:val="clear" w:color="auto" w:fill="CCEEFF"/>
          </w:tcPr>
          <w:p>
            <w:pPr>
              <w:spacing w:after="0" w:line="214" w:lineRule="exact"/>
              <w:rPr>
                <w:sz w:val="20"/>
                <w:szCs w:val="20"/>
                <w:color w:val="auto"/>
              </w:rPr>
            </w:pPr>
            <w:r>
              <w:rPr>
                <w:rFonts w:ascii="Arial" w:cs="Arial" w:eastAsia="Arial" w:hAnsi="Arial"/>
                <w:sz w:val="14"/>
                <w:szCs w:val="14"/>
                <w:color w:val="55565A"/>
              </w:rPr>
              <w:t>Historical excluded equity adjustment</w:t>
            </w:r>
            <w:r>
              <w:rPr>
                <w:rFonts w:ascii="Arial" w:cs="Arial" w:eastAsia="Arial" w:hAnsi="Arial"/>
                <w:sz w:val="21"/>
                <w:szCs w:val="21"/>
                <w:color w:val="55565A"/>
                <w:vertAlign w:val="superscript"/>
              </w:rPr>
              <w:t>(1)</w:t>
            </w:r>
          </w:p>
        </w:tc>
        <w:tc>
          <w:tcPr>
            <w:tcW w:w="2180" w:type="dxa"/>
            <w:vAlign w:val="bottom"/>
            <w:tcBorders>
              <w:bottom w:val="single" w:sz="8" w:color="88888B"/>
            </w:tcBorders>
            <w:shd w:val="clear" w:color="auto" w:fill="CCEEFF"/>
          </w:tcPr>
          <w:p>
            <w:pPr>
              <w:jc w:val="right"/>
              <w:ind w:right="1509"/>
              <w:spacing w:after="0"/>
              <w:rPr>
                <w:sz w:val="20"/>
                <w:szCs w:val="20"/>
                <w:color w:val="auto"/>
              </w:rPr>
            </w:pPr>
            <w:r>
              <w:rPr>
                <w:rFonts w:ascii="Arial" w:cs="Arial" w:eastAsia="Arial" w:hAnsi="Arial"/>
                <w:sz w:val="14"/>
                <w:szCs w:val="14"/>
                <w:b w:val="1"/>
                <w:bCs w:val="1"/>
                <w:color w:val="55565A"/>
              </w:rPr>
              <w:t>34</w:t>
            </w:r>
          </w:p>
        </w:tc>
        <w:tc>
          <w:tcPr>
            <w:tcW w:w="82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14</w:t>
            </w:r>
          </w:p>
        </w:tc>
      </w:tr>
      <w:tr>
        <w:trPr>
          <w:trHeight w:val="201"/>
        </w:trPr>
        <w:tc>
          <w:tcPr>
            <w:tcW w:w="20" w:type="dxa"/>
            <w:vAlign w:val="bottom"/>
            <w:tcBorders>
              <w:bottom w:val="single" w:sz="8" w:color="88888B"/>
            </w:tcBorders>
          </w:tcPr>
          <w:p>
            <w:pPr>
              <w:spacing w:after="0"/>
              <w:rPr>
                <w:sz w:val="17"/>
                <w:szCs w:val="17"/>
                <w:color w:val="auto"/>
              </w:rPr>
            </w:pPr>
          </w:p>
        </w:tc>
        <w:tc>
          <w:tcPr>
            <w:tcW w:w="790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YPL - Share of post-tax earnings in equity method investments</w:t>
            </w:r>
          </w:p>
        </w:tc>
        <w:tc>
          <w:tcPr>
            <w:tcW w:w="2180" w:type="dxa"/>
            <w:vAlign w:val="bottom"/>
            <w:tcBorders>
              <w:bottom w:val="single" w:sz="8" w:color="88888B"/>
            </w:tcBorders>
          </w:tcPr>
          <w:p>
            <w:pPr>
              <w:jc w:val="right"/>
              <w:ind w:right="1509"/>
              <w:spacing w:after="0"/>
              <w:rPr>
                <w:sz w:val="20"/>
                <w:szCs w:val="20"/>
                <w:color w:val="auto"/>
              </w:rPr>
            </w:pPr>
            <w:r>
              <w:rPr>
                <w:rFonts w:ascii="Arial" w:cs="Arial" w:eastAsia="Arial" w:hAnsi="Arial"/>
                <w:sz w:val="14"/>
                <w:szCs w:val="14"/>
                <w:b w:val="1"/>
                <w:bCs w:val="1"/>
                <w:color w:val="55565A"/>
              </w:rPr>
              <w:t>–</w:t>
            </w:r>
          </w:p>
        </w:tc>
        <w:tc>
          <w:tcPr>
            <w:tcW w:w="820" w:type="dxa"/>
            <w:vAlign w:val="bottom"/>
            <w:tcBorders>
              <w:bottom w:val="single" w:sz="8" w:color="88888B"/>
            </w:tcBorders>
          </w:tcPr>
          <w:p>
            <w:pPr>
              <w:jc w:val="right"/>
              <w:ind w:right="409"/>
              <w:spacing w:after="0"/>
              <w:rPr>
                <w:sz w:val="20"/>
                <w:szCs w:val="20"/>
                <w:color w:val="auto"/>
              </w:rPr>
            </w:pPr>
            <w:r>
              <w:rPr>
                <w:rFonts w:ascii="Arial" w:cs="Arial" w:eastAsia="Arial" w:hAnsi="Arial"/>
                <w:sz w:val="14"/>
                <w:szCs w:val="14"/>
                <w:color w:val="55565A"/>
              </w:rPr>
              <w:t>574</w:t>
            </w:r>
          </w:p>
        </w:tc>
      </w:tr>
    </w:tbl>
    <w:p>
      <w:pPr>
        <w:spacing w:after="0" w:line="102" w:lineRule="exact"/>
        <w:rPr>
          <w:sz w:val="20"/>
          <w:szCs w:val="20"/>
          <w:color w:val="auto"/>
        </w:rPr>
      </w:pPr>
    </w:p>
    <w:p>
      <w:pPr>
        <w:ind w:left="320" w:hanging="313"/>
        <w:spacing w:after="0"/>
        <w:tabs>
          <w:tab w:leader="none" w:pos="320" w:val="left"/>
        </w:tabs>
        <w:numPr>
          <w:ilvl w:val="0"/>
          <w:numId w:val="30"/>
        </w:numPr>
        <w:rPr>
          <w:rFonts w:ascii="Arial" w:cs="Arial" w:eastAsia="Arial" w:hAnsi="Arial"/>
          <w:sz w:val="12"/>
          <w:szCs w:val="12"/>
          <w:color w:val="55565A"/>
        </w:rPr>
      </w:pPr>
      <w:r>
        <w:rPr>
          <w:rFonts w:ascii="Arial" w:cs="Arial" w:eastAsia="Arial" w:hAnsi="Arial"/>
          <w:sz w:val="12"/>
          <w:szCs w:val="12"/>
          <w:color w:val="55565A"/>
        </w:rPr>
        <w:t>Represents income from the recognition of a portion of the cumulative impact of equity transactions that were excluded from the Company’s investment in YPL.</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55565A"/>
        </w:rPr>
        <w:t>Set forth below is summarized financial information for 100% of YPL.</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40" w:type="dxa"/>
            <w:vAlign w:val="bottom"/>
            <w:tcBorders>
              <w:top w:val="single" w:sz="8" w:color="88888B"/>
            </w:tcBorders>
          </w:tcPr>
          <w:p>
            <w:pPr>
              <w:spacing w:after="0"/>
              <w:rPr>
                <w:sz w:val="15"/>
                <w:szCs w:val="15"/>
                <w:color w:val="auto"/>
              </w:rPr>
            </w:pPr>
          </w:p>
        </w:tc>
        <w:tc>
          <w:tcPr>
            <w:tcW w:w="5760" w:type="dxa"/>
            <w:vAlign w:val="bottom"/>
            <w:tcBorders>
              <w:top w:val="single" w:sz="8" w:color="88888B"/>
            </w:tcBorders>
            <w:gridSpan w:val="2"/>
          </w:tcPr>
          <w:p>
            <w:pPr>
              <w:jc w:val="right"/>
              <w:ind w:right="629"/>
              <w:spacing w:after="0"/>
              <w:rPr>
                <w:sz w:val="20"/>
                <w:szCs w:val="20"/>
                <w:color w:val="auto"/>
              </w:rPr>
            </w:pPr>
            <w:r>
              <w:rPr>
                <w:rFonts w:ascii="Arial" w:cs="Arial" w:eastAsia="Arial" w:hAnsi="Arial"/>
                <w:sz w:val="14"/>
                <w:szCs w:val="14"/>
                <w:b w:val="1"/>
                <w:bCs w:val="1"/>
                <w:color w:val="55565A"/>
              </w:rPr>
              <w:t>Three months ended March 31,</w:t>
            </w:r>
          </w:p>
        </w:tc>
      </w:tr>
      <w:tr>
        <w:trPr>
          <w:trHeight w:val="170"/>
        </w:trPr>
        <w:tc>
          <w:tcPr>
            <w:tcW w:w="20" w:type="dxa"/>
            <w:vAlign w:val="bottom"/>
          </w:tcPr>
          <w:p>
            <w:pPr>
              <w:spacing w:after="0"/>
              <w:rPr>
                <w:sz w:val="14"/>
                <w:szCs w:val="14"/>
                <w:color w:val="auto"/>
              </w:rPr>
            </w:pPr>
          </w:p>
        </w:tc>
        <w:tc>
          <w:tcPr>
            <w:tcW w:w="5140" w:type="dxa"/>
            <w:vAlign w:val="bottom"/>
            <w:tcBorders>
              <w:bottom w:val="single" w:sz="8" w:color="88888B"/>
            </w:tcBorders>
          </w:tcPr>
          <w:p>
            <w:pPr>
              <w:spacing w:after="0"/>
              <w:rPr>
                <w:sz w:val="14"/>
                <w:szCs w:val="14"/>
                <w:color w:val="auto"/>
              </w:rPr>
            </w:pPr>
          </w:p>
        </w:tc>
        <w:tc>
          <w:tcPr>
            <w:tcW w:w="4300" w:type="dxa"/>
            <w:vAlign w:val="bottom"/>
            <w:tcBorders>
              <w:bottom w:val="single" w:sz="8" w:color="88888B"/>
            </w:tcBorders>
          </w:tcPr>
          <w:p>
            <w:pPr>
              <w:jc w:val="right"/>
              <w:ind w:right="669"/>
              <w:spacing w:after="0"/>
              <w:rPr>
                <w:sz w:val="20"/>
                <w:szCs w:val="20"/>
                <w:color w:val="auto"/>
              </w:rPr>
            </w:pPr>
            <w:r>
              <w:rPr>
                <w:rFonts w:ascii="Arial" w:cs="Arial" w:eastAsia="Arial" w:hAnsi="Arial"/>
                <w:sz w:val="14"/>
                <w:szCs w:val="14"/>
                <w:b w:val="1"/>
                <w:bCs w:val="1"/>
                <w:color w:val="55565A"/>
              </w:rPr>
              <w:t>2024</w:t>
            </w:r>
          </w:p>
        </w:tc>
        <w:tc>
          <w:tcPr>
            <w:tcW w:w="1460" w:type="dxa"/>
            <w:vAlign w:val="bottom"/>
            <w:tcBorders>
              <w:bottom w:val="single" w:sz="8" w:color="88888B"/>
            </w:tcBorders>
          </w:tcPr>
          <w:p>
            <w:pPr>
              <w:jc w:val="right"/>
              <w:ind w:right="309"/>
              <w:spacing w:after="0"/>
              <w:rPr>
                <w:sz w:val="20"/>
                <w:szCs w:val="20"/>
                <w:color w:val="auto"/>
              </w:rPr>
            </w:pPr>
            <w:r>
              <w:rPr>
                <w:rFonts w:ascii="Arial" w:cs="Arial" w:eastAsia="Arial" w:hAnsi="Arial"/>
                <w:sz w:val="14"/>
                <w:szCs w:val="14"/>
                <w:color w:val="55565A"/>
              </w:rPr>
              <w:t>2023</w:t>
            </w:r>
          </w:p>
        </w:tc>
      </w:tr>
      <w:tr>
        <w:trPr>
          <w:trHeight w:val="154"/>
        </w:trPr>
        <w:tc>
          <w:tcPr>
            <w:tcW w:w="20" w:type="dxa"/>
            <w:vAlign w:val="bottom"/>
          </w:tcPr>
          <w:p>
            <w:pPr>
              <w:spacing w:after="0"/>
              <w:rPr>
                <w:sz w:val="13"/>
                <w:szCs w:val="13"/>
                <w:color w:val="auto"/>
              </w:rPr>
            </w:pPr>
          </w:p>
        </w:tc>
        <w:tc>
          <w:tcPr>
            <w:tcW w:w="514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Mark-to-market of LSEG shares</w:t>
            </w:r>
          </w:p>
        </w:tc>
        <w:tc>
          <w:tcPr>
            <w:tcW w:w="4300" w:type="dxa"/>
            <w:vAlign w:val="bottom"/>
            <w:shd w:val="clear" w:color="auto" w:fill="CCEEFF"/>
          </w:tcPr>
          <w:p>
            <w:pPr>
              <w:jc w:val="right"/>
              <w:ind w:right="669"/>
              <w:spacing w:after="0" w:line="154" w:lineRule="exact"/>
              <w:rPr>
                <w:sz w:val="20"/>
                <w:szCs w:val="20"/>
                <w:color w:val="auto"/>
              </w:rPr>
            </w:pPr>
            <w:r>
              <w:rPr>
                <w:rFonts w:ascii="Arial" w:cs="Arial" w:eastAsia="Arial" w:hAnsi="Arial"/>
                <w:sz w:val="14"/>
                <w:szCs w:val="14"/>
                <w:b w:val="1"/>
                <w:bCs w:val="1"/>
                <w:color w:val="55565A"/>
              </w:rPr>
              <w:t>(258)</w:t>
            </w:r>
          </w:p>
        </w:tc>
        <w:tc>
          <w:tcPr>
            <w:tcW w:w="1460" w:type="dxa"/>
            <w:vAlign w:val="bottom"/>
            <w:shd w:val="clear" w:color="auto" w:fill="CCEEFF"/>
          </w:tcPr>
          <w:p>
            <w:pPr>
              <w:jc w:val="right"/>
              <w:ind w:right="309"/>
              <w:spacing w:after="0" w:line="154" w:lineRule="exact"/>
              <w:rPr>
                <w:sz w:val="20"/>
                <w:szCs w:val="20"/>
                <w:color w:val="auto"/>
              </w:rPr>
            </w:pPr>
            <w:r>
              <w:rPr>
                <w:rFonts w:ascii="Arial" w:cs="Arial" w:eastAsia="Arial" w:hAnsi="Arial"/>
                <w:sz w:val="14"/>
                <w:szCs w:val="14"/>
                <w:color w:val="55565A"/>
              </w:rPr>
              <w:t>1,541</w:t>
            </w: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4"/>
                <w:szCs w:val="14"/>
                <w:color w:val="55565A"/>
              </w:rPr>
              <w:t>Loss from forward contract</w:t>
            </w:r>
          </w:p>
        </w:tc>
        <w:tc>
          <w:tcPr>
            <w:tcW w:w="4300" w:type="dxa"/>
            <w:vAlign w:val="bottom"/>
          </w:tcPr>
          <w:p>
            <w:pPr>
              <w:jc w:val="right"/>
              <w:ind w:right="669"/>
              <w:spacing w:after="0"/>
              <w:rPr>
                <w:sz w:val="20"/>
                <w:szCs w:val="20"/>
                <w:color w:val="auto"/>
              </w:rPr>
            </w:pPr>
            <w:r>
              <w:rPr>
                <w:rFonts w:ascii="Arial" w:cs="Arial" w:eastAsia="Arial" w:hAnsi="Arial"/>
                <w:sz w:val="14"/>
                <w:szCs w:val="14"/>
                <w:b w:val="1"/>
                <w:bCs w:val="1"/>
                <w:color w:val="55565A"/>
              </w:rPr>
              <w:t>–</w:t>
            </w:r>
          </w:p>
        </w:tc>
        <w:tc>
          <w:tcPr>
            <w:tcW w:w="1460" w:type="dxa"/>
            <w:vAlign w:val="bottom"/>
          </w:tcPr>
          <w:p>
            <w:pPr>
              <w:jc w:val="right"/>
              <w:ind w:right="309"/>
              <w:spacing w:after="0"/>
              <w:rPr>
                <w:sz w:val="20"/>
                <w:szCs w:val="20"/>
                <w:color w:val="auto"/>
              </w:rPr>
            </w:pPr>
            <w:r>
              <w:rPr>
                <w:rFonts w:ascii="Arial" w:cs="Arial" w:eastAsia="Arial" w:hAnsi="Arial"/>
                <w:sz w:val="14"/>
                <w:szCs w:val="14"/>
                <w:color w:val="55565A"/>
              </w:rPr>
              <w:t>(179)</w:t>
            </w:r>
          </w:p>
        </w:tc>
      </w:tr>
      <w:tr>
        <w:trPr>
          <w:trHeight w:val="207"/>
        </w:trPr>
        <w:tc>
          <w:tcPr>
            <w:tcW w:w="20" w:type="dxa"/>
            <w:vAlign w:val="bottom"/>
          </w:tcPr>
          <w:p>
            <w:pPr>
              <w:spacing w:after="0"/>
              <w:rPr>
                <w:sz w:val="18"/>
                <w:szCs w:val="18"/>
                <w:color w:val="auto"/>
              </w:rPr>
            </w:pPr>
          </w:p>
        </w:tc>
        <w:tc>
          <w:tcPr>
            <w:tcW w:w="514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Gain from call options</w:t>
            </w:r>
          </w:p>
        </w:tc>
        <w:tc>
          <w:tcPr>
            <w:tcW w:w="4300" w:type="dxa"/>
            <w:vAlign w:val="bottom"/>
            <w:tcBorders>
              <w:bottom w:val="single" w:sz="8" w:color="88888B"/>
            </w:tcBorders>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74</w:t>
            </w:r>
          </w:p>
        </w:tc>
        <w:tc>
          <w:tcPr>
            <w:tcW w:w="1460" w:type="dxa"/>
            <w:vAlign w:val="bottom"/>
            <w:tcBorders>
              <w:bottom w:val="single" w:sz="8" w:color="88888B"/>
            </w:tcBorders>
            <w:shd w:val="clear" w:color="auto" w:fill="CCEEFF"/>
          </w:tcPr>
          <w:p>
            <w:pPr>
              <w:jc w:val="right"/>
              <w:ind w:right="309"/>
              <w:spacing w:after="0"/>
              <w:rPr>
                <w:sz w:val="20"/>
                <w:szCs w:val="20"/>
                <w:color w:val="auto"/>
              </w:rPr>
            </w:pPr>
            <w:r>
              <w:rPr>
                <w:rFonts w:ascii="Arial" w:cs="Arial" w:eastAsia="Arial" w:hAnsi="Arial"/>
                <w:sz w:val="14"/>
                <w:szCs w:val="14"/>
                <w:color w:val="55565A"/>
              </w:rPr>
              <w:t>–</w:t>
            </w:r>
          </w:p>
        </w:tc>
      </w:tr>
      <w:tr>
        <w:trPr>
          <w:trHeight w:val="207"/>
        </w:trPr>
        <w:tc>
          <w:tcPr>
            <w:tcW w:w="20" w:type="dxa"/>
            <w:vAlign w:val="bottom"/>
          </w:tcPr>
          <w:p>
            <w:pPr>
              <w:spacing w:after="0"/>
              <w:rPr>
                <w:sz w:val="18"/>
                <w:szCs w:val="18"/>
                <w:color w:val="auto"/>
              </w:rPr>
            </w:pPr>
          </w:p>
        </w:tc>
        <w:tc>
          <w:tcPr>
            <w:tcW w:w="514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Net (loss) earnings</w:t>
            </w:r>
          </w:p>
        </w:tc>
        <w:tc>
          <w:tcPr>
            <w:tcW w:w="4300" w:type="dxa"/>
            <w:vAlign w:val="bottom"/>
            <w:tcBorders>
              <w:bottom w:val="single" w:sz="8" w:color="88888B"/>
            </w:tcBorders>
          </w:tcPr>
          <w:p>
            <w:pPr>
              <w:jc w:val="right"/>
              <w:ind w:right="669"/>
              <w:spacing w:after="0"/>
              <w:rPr>
                <w:sz w:val="20"/>
                <w:szCs w:val="20"/>
                <w:color w:val="auto"/>
              </w:rPr>
            </w:pPr>
            <w:r>
              <w:rPr>
                <w:rFonts w:ascii="Arial" w:cs="Arial" w:eastAsia="Arial" w:hAnsi="Arial"/>
                <w:sz w:val="14"/>
                <w:szCs w:val="14"/>
                <w:b w:val="1"/>
                <w:bCs w:val="1"/>
                <w:color w:val="55565A"/>
              </w:rPr>
              <w:t>(184)</w:t>
            </w:r>
          </w:p>
        </w:tc>
        <w:tc>
          <w:tcPr>
            <w:tcW w:w="1460" w:type="dxa"/>
            <w:vAlign w:val="bottom"/>
            <w:tcBorders>
              <w:bottom w:val="single" w:sz="8" w:color="88888B"/>
            </w:tcBorders>
          </w:tcPr>
          <w:p>
            <w:pPr>
              <w:jc w:val="right"/>
              <w:ind w:right="309"/>
              <w:spacing w:after="0"/>
              <w:rPr>
                <w:sz w:val="20"/>
                <w:szCs w:val="20"/>
                <w:color w:val="auto"/>
              </w:rPr>
            </w:pPr>
            <w:r>
              <w:rPr>
                <w:rFonts w:ascii="Arial" w:cs="Arial" w:eastAsia="Arial" w:hAnsi="Arial"/>
                <w:sz w:val="14"/>
                <w:szCs w:val="14"/>
                <w:color w:val="55565A"/>
              </w:rPr>
              <w:t>1,362</w:t>
            </w:r>
          </w:p>
        </w:tc>
      </w:tr>
      <w:tr>
        <w:trPr>
          <w:trHeight w:val="207"/>
        </w:trPr>
        <w:tc>
          <w:tcPr>
            <w:tcW w:w="20" w:type="dxa"/>
            <w:vAlign w:val="bottom"/>
          </w:tcPr>
          <w:p>
            <w:pPr>
              <w:spacing w:after="0"/>
              <w:rPr>
                <w:sz w:val="18"/>
                <w:szCs w:val="18"/>
                <w:color w:val="auto"/>
              </w:rPr>
            </w:pPr>
          </w:p>
        </w:tc>
        <w:tc>
          <w:tcPr>
            <w:tcW w:w="514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Total comprehensive (loss) income</w:t>
            </w:r>
          </w:p>
        </w:tc>
        <w:tc>
          <w:tcPr>
            <w:tcW w:w="4300" w:type="dxa"/>
            <w:vAlign w:val="bottom"/>
            <w:tcBorders>
              <w:bottom w:val="single" w:sz="8" w:color="88888B"/>
            </w:tcBorders>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(184)</w:t>
            </w:r>
          </w:p>
        </w:tc>
        <w:tc>
          <w:tcPr>
            <w:tcW w:w="1460" w:type="dxa"/>
            <w:vAlign w:val="bottom"/>
            <w:tcBorders>
              <w:bottom w:val="single" w:sz="8" w:color="88888B"/>
            </w:tcBorders>
            <w:shd w:val="clear" w:color="auto" w:fill="CCEEFF"/>
          </w:tcPr>
          <w:p>
            <w:pPr>
              <w:jc w:val="right"/>
              <w:ind w:right="309"/>
              <w:spacing w:after="0"/>
              <w:rPr>
                <w:sz w:val="20"/>
                <w:szCs w:val="20"/>
                <w:color w:val="auto"/>
              </w:rPr>
            </w:pPr>
            <w:r>
              <w:rPr>
                <w:rFonts w:ascii="Arial" w:cs="Arial" w:eastAsia="Arial" w:hAnsi="Arial"/>
                <w:sz w:val="14"/>
                <w:szCs w:val="14"/>
                <w:color w:val="55565A"/>
              </w:rPr>
              <w:t>1,362</w:t>
            </w:r>
          </w:p>
        </w:tc>
      </w:tr>
      <w:tr>
        <w:trPr>
          <w:trHeight w:val="160"/>
        </w:trPr>
        <w:tc>
          <w:tcPr>
            <w:tcW w:w="20" w:type="dxa"/>
            <w:vAlign w:val="bottom"/>
          </w:tcPr>
          <w:p>
            <w:pPr>
              <w:spacing w:after="0"/>
              <w:rPr>
                <w:sz w:val="13"/>
                <w:szCs w:val="13"/>
                <w:color w:val="auto"/>
              </w:rPr>
            </w:pPr>
          </w:p>
        </w:tc>
        <w:tc>
          <w:tcPr>
            <w:tcW w:w="5140" w:type="dxa"/>
            <w:vAlign w:val="bottom"/>
            <w:tcBorders>
              <w:bottom w:val="single" w:sz="8" w:color="55565A"/>
            </w:tcBorders>
          </w:tcPr>
          <w:p>
            <w:pPr>
              <w:spacing w:after="0"/>
              <w:rPr>
                <w:sz w:val="13"/>
                <w:szCs w:val="13"/>
                <w:color w:val="auto"/>
              </w:rPr>
            </w:pPr>
          </w:p>
        </w:tc>
        <w:tc>
          <w:tcPr>
            <w:tcW w:w="4300" w:type="dxa"/>
            <w:vAlign w:val="bottom"/>
            <w:tcBorders>
              <w:bottom w:val="single" w:sz="8" w:color="55565A"/>
            </w:tcBorders>
          </w:tcPr>
          <w:p>
            <w:pPr>
              <w:spacing w:after="0"/>
              <w:rPr>
                <w:sz w:val="13"/>
                <w:szCs w:val="13"/>
                <w:color w:val="auto"/>
              </w:rPr>
            </w:pPr>
          </w:p>
        </w:tc>
        <w:tc>
          <w:tcPr>
            <w:tcW w:w="1460" w:type="dxa"/>
            <w:vAlign w:val="bottom"/>
            <w:tcBorders>
              <w:bottom w:val="single" w:sz="8" w:color="55565A"/>
            </w:tcBorders>
          </w:tcPr>
          <w:p>
            <w:pPr>
              <w:spacing w:after="0"/>
              <w:rPr>
                <w:sz w:val="13"/>
                <w:szCs w:val="13"/>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55565A"/>
        </w:rPr>
        <w:t>Page 48</w:t>
      </w:r>
    </w:p>
    <w:p>
      <w:pPr>
        <w:sectPr>
          <w:pgSz w:w="11900" w:h="16838" w:orient="portrait"/>
          <w:cols w:equalWidth="0" w:num="1">
            <w:col w:w="10920"/>
          </w:cols>
          <w:pgMar w:left="480" w:top="1440" w:right="49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55565A"/>
        </w:rPr>
        <w:t>The following table reconciles the net assets attributable to YPL to the Company’s carrying value of its investment in YPL:</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Borders>
              <w:top w:val="single" w:sz="8" w:color="88888B"/>
            </w:tcBorders>
          </w:tcPr>
          <w:p>
            <w:pPr>
              <w:spacing w:after="0"/>
              <w:rPr>
                <w:sz w:val="18"/>
                <w:szCs w:val="18"/>
                <w:color w:val="auto"/>
              </w:rPr>
            </w:pPr>
          </w:p>
        </w:tc>
        <w:tc>
          <w:tcPr>
            <w:tcW w:w="3600" w:type="dxa"/>
            <w:vAlign w:val="bottom"/>
            <w:tcBorders>
              <w:top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March 31,</w:t>
            </w:r>
          </w:p>
        </w:tc>
        <w:tc>
          <w:tcPr>
            <w:tcW w:w="1620" w:type="dxa"/>
            <w:vAlign w:val="bottom"/>
            <w:tcBorders>
              <w:top w:val="single" w:sz="8" w:color="88888B"/>
            </w:tcBorders>
          </w:tcPr>
          <w:p>
            <w:pPr>
              <w:jc w:val="right"/>
              <w:ind w:right="349"/>
              <w:spacing w:after="0"/>
              <w:rPr>
                <w:sz w:val="20"/>
                <w:szCs w:val="20"/>
                <w:color w:val="auto"/>
              </w:rPr>
            </w:pPr>
            <w:r>
              <w:rPr>
                <w:rFonts w:ascii="Arial" w:cs="Arial" w:eastAsia="Arial" w:hAnsi="Arial"/>
                <w:sz w:val="14"/>
                <w:szCs w:val="14"/>
                <w:color w:val="55565A"/>
              </w:rPr>
              <w:t>December 31,</w:t>
            </w:r>
          </w:p>
        </w:tc>
      </w:tr>
      <w:tr>
        <w:trPr>
          <w:trHeight w:val="254"/>
        </w:trPr>
        <w:tc>
          <w:tcPr>
            <w:tcW w:w="5700" w:type="dxa"/>
            <w:vAlign w:val="bottom"/>
          </w:tcPr>
          <w:p>
            <w:pPr>
              <w:spacing w:after="0"/>
              <w:rPr>
                <w:sz w:val="22"/>
                <w:szCs w:val="22"/>
                <w:color w:val="auto"/>
              </w:rPr>
            </w:pPr>
          </w:p>
        </w:tc>
        <w:tc>
          <w:tcPr>
            <w:tcW w:w="3600" w:type="dxa"/>
            <w:vAlign w:val="bottom"/>
          </w:tcPr>
          <w:p>
            <w:pPr>
              <w:jc w:val="right"/>
              <w:ind w:right="249"/>
              <w:spacing w:after="0"/>
              <w:rPr>
                <w:sz w:val="20"/>
                <w:szCs w:val="20"/>
                <w:color w:val="auto"/>
              </w:rPr>
            </w:pPr>
            <w:r>
              <w:rPr>
                <w:rFonts w:ascii="Arial" w:cs="Arial" w:eastAsia="Arial" w:hAnsi="Arial"/>
                <w:sz w:val="14"/>
                <w:szCs w:val="14"/>
                <w:b w:val="1"/>
                <w:bCs w:val="1"/>
                <w:color w:val="55565A"/>
              </w:rPr>
              <w:t>2024</w:t>
            </w:r>
          </w:p>
        </w:tc>
        <w:tc>
          <w:tcPr>
            <w:tcW w:w="1620" w:type="dxa"/>
            <w:vAlign w:val="bottom"/>
          </w:tcPr>
          <w:p>
            <w:pPr>
              <w:jc w:val="right"/>
              <w:ind w:right="349"/>
              <w:spacing w:after="0"/>
              <w:rPr>
                <w:sz w:val="20"/>
                <w:szCs w:val="20"/>
                <w:color w:val="auto"/>
              </w:rPr>
            </w:pPr>
            <w:r>
              <w:rPr>
                <w:rFonts w:ascii="Arial" w:cs="Arial" w:eastAsia="Arial" w:hAnsi="Arial"/>
                <w:sz w:val="14"/>
                <w:szCs w:val="14"/>
                <w:color w:val="55565A"/>
              </w:rPr>
              <w:t>2023</w:t>
            </w:r>
          </w:p>
        </w:tc>
      </w:tr>
      <w:tr>
        <w:trPr>
          <w:trHeight w:val="55"/>
        </w:trPr>
        <w:tc>
          <w:tcPr>
            <w:tcW w:w="5700" w:type="dxa"/>
            <w:vAlign w:val="bottom"/>
            <w:tcBorders>
              <w:bottom w:val="single" w:sz="8" w:color="88888B"/>
            </w:tcBorders>
          </w:tcPr>
          <w:p>
            <w:pPr>
              <w:spacing w:after="0"/>
              <w:rPr>
                <w:sz w:val="4"/>
                <w:szCs w:val="4"/>
                <w:color w:val="auto"/>
              </w:rPr>
            </w:pPr>
          </w:p>
        </w:tc>
        <w:tc>
          <w:tcPr>
            <w:tcW w:w="3600" w:type="dxa"/>
            <w:vAlign w:val="bottom"/>
            <w:tcBorders>
              <w:bottom w:val="single" w:sz="8" w:color="88888B"/>
            </w:tcBorders>
          </w:tcPr>
          <w:p>
            <w:pPr>
              <w:spacing w:after="0"/>
              <w:rPr>
                <w:sz w:val="4"/>
                <w:szCs w:val="4"/>
                <w:color w:val="auto"/>
              </w:rPr>
            </w:pPr>
          </w:p>
        </w:tc>
        <w:tc>
          <w:tcPr>
            <w:tcW w:w="1620" w:type="dxa"/>
            <w:vAlign w:val="bottom"/>
            <w:tcBorders>
              <w:bottom w:val="single" w:sz="8" w:color="88888B"/>
            </w:tcBorders>
          </w:tcPr>
          <w:p>
            <w:pPr>
              <w:spacing w:after="0"/>
              <w:rPr>
                <w:sz w:val="4"/>
                <w:szCs w:val="4"/>
                <w:color w:val="auto"/>
              </w:rPr>
            </w:pPr>
          </w:p>
        </w:tc>
      </w:tr>
      <w:tr>
        <w:trPr>
          <w:trHeight w:val="201"/>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5565A"/>
              </w:rPr>
              <w:t>Assets</w:t>
            </w:r>
          </w:p>
        </w:tc>
        <w:tc>
          <w:tcPr>
            <w:tcW w:w="36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r>
      <w:tr>
        <w:trPr>
          <w:trHeight w:val="220"/>
        </w:trPr>
        <w:tc>
          <w:tcPr>
            <w:tcW w:w="5700" w:type="dxa"/>
            <w:vAlign w:val="bottom"/>
          </w:tcPr>
          <w:p>
            <w:pPr>
              <w:spacing w:after="0"/>
              <w:rPr>
                <w:sz w:val="20"/>
                <w:szCs w:val="20"/>
                <w:color w:val="auto"/>
              </w:rPr>
            </w:pPr>
            <w:r>
              <w:rPr>
                <w:rFonts w:ascii="Arial" w:cs="Arial" w:eastAsia="Arial" w:hAnsi="Arial"/>
                <w:sz w:val="14"/>
                <w:szCs w:val="14"/>
                <w:color w:val="55565A"/>
              </w:rPr>
              <w:t>Current assets</w:t>
            </w:r>
          </w:p>
        </w:tc>
        <w:tc>
          <w:tcPr>
            <w:tcW w:w="3600" w:type="dxa"/>
            <w:vAlign w:val="bottom"/>
          </w:tcPr>
          <w:p>
            <w:pPr>
              <w:jc w:val="right"/>
              <w:ind w:right="249"/>
              <w:spacing w:after="0"/>
              <w:rPr>
                <w:sz w:val="20"/>
                <w:szCs w:val="20"/>
                <w:color w:val="auto"/>
              </w:rPr>
            </w:pPr>
            <w:r>
              <w:rPr>
                <w:rFonts w:ascii="Arial" w:cs="Arial" w:eastAsia="Arial" w:hAnsi="Arial"/>
                <w:sz w:val="14"/>
                <w:szCs w:val="14"/>
                <w:b w:val="1"/>
                <w:bCs w:val="1"/>
                <w:color w:val="55565A"/>
              </w:rPr>
              <w:t>11</w:t>
            </w:r>
          </w:p>
        </w:tc>
        <w:tc>
          <w:tcPr>
            <w:tcW w:w="1620" w:type="dxa"/>
            <w:vAlign w:val="bottom"/>
          </w:tcPr>
          <w:p>
            <w:pPr>
              <w:jc w:val="right"/>
              <w:ind w:right="349"/>
              <w:spacing w:after="0"/>
              <w:rPr>
                <w:sz w:val="20"/>
                <w:szCs w:val="20"/>
                <w:color w:val="auto"/>
              </w:rPr>
            </w:pPr>
            <w:r>
              <w:rPr>
                <w:rFonts w:ascii="Arial" w:cs="Arial" w:eastAsia="Arial" w:hAnsi="Arial"/>
                <w:sz w:val="14"/>
                <w:szCs w:val="14"/>
                <w:color w:val="55565A"/>
              </w:rPr>
              <w:t>160</w:t>
            </w:r>
          </w:p>
        </w:tc>
      </w:tr>
      <w:tr>
        <w:trPr>
          <w:trHeight w:val="228"/>
        </w:trPr>
        <w:tc>
          <w:tcPr>
            <w:tcW w:w="57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Non-current assets</w:t>
            </w:r>
          </w:p>
        </w:tc>
        <w:tc>
          <w:tcPr>
            <w:tcW w:w="360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4,128</w:t>
            </w:r>
          </w:p>
        </w:tc>
        <w:tc>
          <w:tcPr>
            <w:tcW w:w="1620" w:type="dxa"/>
            <w:vAlign w:val="bottom"/>
            <w:tcBorders>
              <w:bottom w:val="single" w:sz="8" w:color="88888B"/>
            </w:tcBorders>
            <w:shd w:val="clear" w:color="auto" w:fill="CCEEFF"/>
          </w:tcPr>
          <w:p>
            <w:pPr>
              <w:jc w:val="right"/>
              <w:ind w:right="349"/>
              <w:spacing w:after="0"/>
              <w:rPr>
                <w:sz w:val="20"/>
                <w:szCs w:val="20"/>
                <w:color w:val="auto"/>
              </w:rPr>
            </w:pPr>
            <w:r>
              <w:rPr>
                <w:rFonts w:ascii="Arial" w:cs="Arial" w:eastAsia="Arial" w:hAnsi="Arial"/>
                <w:sz w:val="14"/>
                <w:szCs w:val="14"/>
                <w:color w:val="55565A"/>
              </w:rPr>
              <w:t>8,036</w:t>
            </w:r>
          </w:p>
        </w:tc>
      </w:tr>
      <w:tr>
        <w:trPr>
          <w:trHeight w:val="221"/>
        </w:trPr>
        <w:tc>
          <w:tcPr>
            <w:tcW w:w="570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Total assets</w:t>
            </w:r>
          </w:p>
        </w:tc>
        <w:tc>
          <w:tcPr>
            <w:tcW w:w="360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4,139</w:t>
            </w:r>
          </w:p>
        </w:tc>
        <w:tc>
          <w:tcPr>
            <w:tcW w:w="1620" w:type="dxa"/>
            <w:vAlign w:val="bottom"/>
            <w:tcBorders>
              <w:bottom w:val="single" w:sz="8" w:color="88888B"/>
            </w:tcBorders>
          </w:tcPr>
          <w:p>
            <w:pPr>
              <w:jc w:val="right"/>
              <w:ind w:right="349"/>
              <w:spacing w:after="0"/>
              <w:rPr>
                <w:sz w:val="20"/>
                <w:szCs w:val="20"/>
                <w:color w:val="auto"/>
              </w:rPr>
            </w:pPr>
            <w:r>
              <w:rPr>
                <w:rFonts w:ascii="Arial" w:cs="Arial" w:eastAsia="Arial" w:hAnsi="Arial"/>
                <w:sz w:val="14"/>
                <w:szCs w:val="14"/>
                <w:color w:val="55565A"/>
              </w:rPr>
              <w:t>8,196</w:t>
            </w:r>
          </w:p>
        </w:tc>
      </w:tr>
      <w:tr>
        <w:trPr>
          <w:trHeight w:val="207"/>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5565A"/>
              </w:rPr>
              <w:t>Liabilities</w:t>
            </w:r>
          </w:p>
        </w:tc>
        <w:tc>
          <w:tcPr>
            <w:tcW w:w="36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r>
      <w:tr>
        <w:trPr>
          <w:trHeight w:val="220"/>
        </w:trPr>
        <w:tc>
          <w:tcPr>
            <w:tcW w:w="5700" w:type="dxa"/>
            <w:vAlign w:val="bottom"/>
          </w:tcPr>
          <w:p>
            <w:pPr>
              <w:spacing w:after="0"/>
              <w:rPr>
                <w:sz w:val="20"/>
                <w:szCs w:val="20"/>
                <w:color w:val="auto"/>
              </w:rPr>
            </w:pPr>
            <w:r>
              <w:rPr>
                <w:rFonts w:ascii="Arial" w:cs="Arial" w:eastAsia="Arial" w:hAnsi="Arial"/>
                <w:sz w:val="14"/>
                <w:szCs w:val="14"/>
                <w:color w:val="55565A"/>
              </w:rPr>
              <w:t>Current liabilities</w:t>
            </w:r>
          </w:p>
        </w:tc>
        <w:tc>
          <w:tcPr>
            <w:tcW w:w="3600" w:type="dxa"/>
            <w:vAlign w:val="bottom"/>
          </w:tcPr>
          <w:p>
            <w:pPr>
              <w:jc w:val="right"/>
              <w:ind w:right="249"/>
              <w:spacing w:after="0"/>
              <w:rPr>
                <w:sz w:val="20"/>
                <w:szCs w:val="20"/>
                <w:color w:val="auto"/>
              </w:rPr>
            </w:pPr>
            <w:r>
              <w:rPr>
                <w:rFonts w:ascii="Arial" w:cs="Arial" w:eastAsia="Arial" w:hAnsi="Arial"/>
                <w:sz w:val="14"/>
                <w:szCs w:val="14"/>
                <w:b w:val="1"/>
                <w:bCs w:val="1"/>
                <w:color w:val="55565A"/>
              </w:rPr>
              <w:t>36</w:t>
            </w:r>
          </w:p>
        </w:tc>
        <w:tc>
          <w:tcPr>
            <w:tcW w:w="1620" w:type="dxa"/>
            <w:vAlign w:val="bottom"/>
          </w:tcPr>
          <w:p>
            <w:pPr>
              <w:jc w:val="right"/>
              <w:ind w:right="349"/>
              <w:spacing w:after="0"/>
              <w:rPr>
                <w:sz w:val="20"/>
                <w:szCs w:val="20"/>
                <w:color w:val="auto"/>
              </w:rPr>
            </w:pPr>
            <w:r>
              <w:rPr>
                <w:rFonts w:ascii="Arial" w:cs="Arial" w:eastAsia="Arial" w:hAnsi="Arial"/>
                <w:sz w:val="14"/>
                <w:szCs w:val="14"/>
                <w:color w:val="55565A"/>
              </w:rPr>
              <w:t>105</w:t>
            </w:r>
          </w:p>
        </w:tc>
      </w:tr>
      <w:tr>
        <w:trPr>
          <w:trHeight w:val="228"/>
        </w:trPr>
        <w:tc>
          <w:tcPr>
            <w:tcW w:w="57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Non-current liabilities</w:t>
            </w:r>
          </w:p>
        </w:tc>
        <w:tc>
          <w:tcPr>
            <w:tcW w:w="360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243</w:t>
            </w:r>
          </w:p>
        </w:tc>
        <w:tc>
          <w:tcPr>
            <w:tcW w:w="1620" w:type="dxa"/>
            <w:vAlign w:val="bottom"/>
            <w:tcBorders>
              <w:bottom w:val="single" w:sz="8" w:color="88888B"/>
            </w:tcBorders>
            <w:shd w:val="clear" w:color="auto" w:fill="CCEEFF"/>
          </w:tcPr>
          <w:p>
            <w:pPr>
              <w:jc w:val="right"/>
              <w:ind w:right="349"/>
              <w:spacing w:after="0"/>
              <w:rPr>
                <w:sz w:val="20"/>
                <w:szCs w:val="20"/>
                <w:color w:val="auto"/>
              </w:rPr>
            </w:pPr>
            <w:r>
              <w:rPr>
                <w:rFonts w:ascii="Arial" w:cs="Arial" w:eastAsia="Arial" w:hAnsi="Arial"/>
                <w:sz w:val="14"/>
                <w:szCs w:val="14"/>
                <w:color w:val="55565A"/>
              </w:rPr>
              <w:t>236</w:t>
            </w:r>
          </w:p>
        </w:tc>
      </w:tr>
      <w:tr>
        <w:trPr>
          <w:trHeight w:val="221"/>
        </w:trPr>
        <w:tc>
          <w:tcPr>
            <w:tcW w:w="570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Total liabilities</w:t>
            </w:r>
          </w:p>
        </w:tc>
        <w:tc>
          <w:tcPr>
            <w:tcW w:w="360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279</w:t>
            </w:r>
          </w:p>
        </w:tc>
        <w:tc>
          <w:tcPr>
            <w:tcW w:w="1620" w:type="dxa"/>
            <w:vAlign w:val="bottom"/>
            <w:tcBorders>
              <w:bottom w:val="single" w:sz="8" w:color="88888B"/>
            </w:tcBorders>
          </w:tcPr>
          <w:p>
            <w:pPr>
              <w:jc w:val="right"/>
              <w:ind w:right="349"/>
              <w:spacing w:after="0"/>
              <w:rPr>
                <w:sz w:val="20"/>
                <w:szCs w:val="20"/>
                <w:color w:val="auto"/>
              </w:rPr>
            </w:pPr>
            <w:r>
              <w:rPr>
                <w:rFonts w:ascii="Arial" w:cs="Arial" w:eastAsia="Arial" w:hAnsi="Arial"/>
                <w:sz w:val="14"/>
                <w:szCs w:val="14"/>
                <w:color w:val="55565A"/>
              </w:rPr>
              <w:t>341</w:t>
            </w:r>
          </w:p>
        </w:tc>
      </w:tr>
      <w:tr>
        <w:trPr>
          <w:trHeight w:val="221"/>
        </w:trPr>
        <w:tc>
          <w:tcPr>
            <w:tcW w:w="57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Net assets attributable to YPL</w:t>
            </w:r>
          </w:p>
        </w:tc>
        <w:tc>
          <w:tcPr>
            <w:tcW w:w="360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3,860</w:t>
            </w:r>
          </w:p>
        </w:tc>
        <w:tc>
          <w:tcPr>
            <w:tcW w:w="1620" w:type="dxa"/>
            <w:vAlign w:val="bottom"/>
            <w:tcBorders>
              <w:bottom w:val="single" w:sz="8" w:color="88888B"/>
            </w:tcBorders>
            <w:shd w:val="clear" w:color="auto" w:fill="CCEEFF"/>
          </w:tcPr>
          <w:p>
            <w:pPr>
              <w:jc w:val="right"/>
              <w:ind w:right="349"/>
              <w:spacing w:after="0"/>
              <w:rPr>
                <w:sz w:val="20"/>
                <w:szCs w:val="20"/>
                <w:color w:val="auto"/>
              </w:rPr>
            </w:pPr>
            <w:r>
              <w:rPr>
                <w:rFonts w:ascii="Arial" w:cs="Arial" w:eastAsia="Arial" w:hAnsi="Arial"/>
                <w:sz w:val="14"/>
                <w:szCs w:val="14"/>
                <w:color w:val="55565A"/>
              </w:rPr>
              <w:t>7,855</w:t>
            </w:r>
          </w:p>
        </w:tc>
      </w:tr>
      <w:tr>
        <w:trPr>
          <w:trHeight w:val="220"/>
        </w:trPr>
        <w:tc>
          <w:tcPr>
            <w:tcW w:w="5700" w:type="dxa"/>
            <w:vAlign w:val="bottom"/>
          </w:tcPr>
          <w:p>
            <w:pPr>
              <w:spacing w:after="0"/>
              <w:rPr>
                <w:sz w:val="20"/>
                <w:szCs w:val="20"/>
                <w:color w:val="auto"/>
              </w:rPr>
            </w:pPr>
            <w:r>
              <w:rPr>
                <w:rFonts w:ascii="Arial" w:cs="Arial" w:eastAsia="Arial" w:hAnsi="Arial"/>
                <w:sz w:val="14"/>
                <w:szCs w:val="14"/>
                <w:color w:val="55565A"/>
              </w:rPr>
              <w:t>Net assets attributable to YPL - beginning period</w:t>
            </w:r>
          </w:p>
        </w:tc>
        <w:tc>
          <w:tcPr>
            <w:tcW w:w="3600" w:type="dxa"/>
            <w:vAlign w:val="bottom"/>
          </w:tcPr>
          <w:p>
            <w:pPr>
              <w:jc w:val="right"/>
              <w:ind w:right="249"/>
              <w:spacing w:after="0"/>
              <w:rPr>
                <w:sz w:val="20"/>
                <w:szCs w:val="20"/>
                <w:color w:val="auto"/>
              </w:rPr>
            </w:pPr>
            <w:r>
              <w:rPr>
                <w:rFonts w:ascii="Arial" w:cs="Arial" w:eastAsia="Arial" w:hAnsi="Arial"/>
                <w:sz w:val="14"/>
                <w:szCs w:val="14"/>
                <w:b w:val="1"/>
                <w:bCs w:val="1"/>
                <w:color w:val="55565A"/>
              </w:rPr>
              <w:t>7,855</w:t>
            </w:r>
          </w:p>
        </w:tc>
        <w:tc>
          <w:tcPr>
            <w:tcW w:w="1620" w:type="dxa"/>
            <w:vAlign w:val="bottom"/>
          </w:tcPr>
          <w:p>
            <w:pPr>
              <w:jc w:val="right"/>
              <w:ind w:right="349"/>
              <w:spacing w:after="0"/>
              <w:rPr>
                <w:sz w:val="20"/>
                <w:szCs w:val="20"/>
                <w:color w:val="auto"/>
              </w:rPr>
            </w:pPr>
            <w:r>
              <w:rPr>
                <w:rFonts w:ascii="Arial" w:cs="Arial" w:eastAsia="Arial" w:hAnsi="Arial"/>
                <w:sz w:val="14"/>
                <w:szCs w:val="14"/>
                <w:color w:val="55565A"/>
              </w:rPr>
              <w:t>14,598</w:t>
            </w:r>
          </w:p>
        </w:tc>
      </w:tr>
      <w:tr>
        <w:trPr>
          <w:trHeight w:val="235"/>
        </w:trPr>
        <w:tc>
          <w:tcPr>
            <w:tcW w:w="5700" w:type="dxa"/>
            <w:vAlign w:val="bottom"/>
            <w:shd w:val="clear" w:color="auto" w:fill="CCEEFF"/>
          </w:tcPr>
          <w:p>
            <w:pPr>
              <w:spacing w:after="0"/>
              <w:rPr>
                <w:sz w:val="20"/>
                <w:szCs w:val="20"/>
                <w:color w:val="auto"/>
              </w:rPr>
            </w:pPr>
            <w:r>
              <w:rPr>
                <w:rFonts w:ascii="Arial" w:cs="Arial" w:eastAsia="Arial" w:hAnsi="Arial"/>
                <w:sz w:val="14"/>
                <w:szCs w:val="14"/>
                <w:color w:val="55565A"/>
              </w:rPr>
              <w:t>Net (loss) earnings attributable to YPL</w:t>
            </w:r>
          </w:p>
        </w:tc>
        <w:tc>
          <w:tcPr>
            <w:tcW w:w="360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(184)</w:t>
            </w:r>
          </w:p>
        </w:tc>
        <w:tc>
          <w:tcPr>
            <w:tcW w:w="16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55565A"/>
              </w:rPr>
              <w:t>2,936</w:t>
            </w:r>
          </w:p>
        </w:tc>
      </w:tr>
      <w:tr>
        <w:trPr>
          <w:trHeight w:val="221"/>
        </w:trPr>
        <w:tc>
          <w:tcPr>
            <w:tcW w:w="570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Distributions to owners</w:t>
            </w:r>
          </w:p>
        </w:tc>
        <w:tc>
          <w:tcPr>
            <w:tcW w:w="360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(3,811)</w:t>
            </w:r>
          </w:p>
        </w:tc>
        <w:tc>
          <w:tcPr>
            <w:tcW w:w="1620" w:type="dxa"/>
            <w:vAlign w:val="bottom"/>
            <w:tcBorders>
              <w:bottom w:val="single" w:sz="8" w:color="88888B"/>
            </w:tcBorders>
          </w:tcPr>
          <w:p>
            <w:pPr>
              <w:jc w:val="right"/>
              <w:ind w:right="349"/>
              <w:spacing w:after="0"/>
              <w:rPr>
                <w:sz w:val="20"/>
                <w:szCs w:val="20"/>
                <w:color w:val="auto"/>
              </w:rPr>
            </w:pPr>
            <w:r>
              <w:rPr>
                <w:rFonts w:ascii="Arial" w:cs="Arial" w:eastAsia="Arial" w:hAnsi="Arial"/>
                <w:sz w:val="14"/>
                <w:szCs w:val="14"/>
                <w:color w:val="55565A"/>
              </w:rPr>
              <w:t>(9,679)</w:t>
            </w:r>
          </w:p>
        </w:tc>
      </w:tr>
      <w:tr>
        <w:trPr>
          <w:trHeight w:val="227"/>
        </w:trPr>
        <w:tc>
          <w:tcPr>
            <w:tcW w:w="5700" w:type="dxa"/>
            <w:vAlign w:val="bottom"/>
            <w:shd w:val="clear" w:color="auto" w:fill="CCEEFF"/>
          </w:tcPr>
          <w:p>
            <w:pPr>
              <w:spacing w:after="0"/>
              <w:rPr>
                <w:sz w:val="20"/>
                <w:szCs w:val="20"/>
                <w:color w:val="auto"/>
              </w:rPr>
            </w:pPr>
            <w:r>
              <w:rPr>
                <w:rFonts w:ascii="Arial" w:cs="Arial" w:eastAsia="Arial" w:hAnsi="Arial"/>
                <w:sz w:val="14"/>
                <w:szCs w:val="14"/>
                <w:color w:val="55565A"/>
              </w:rPr>
              <w:t>Net assets attributable to YPL - ending period</w:t>
            </w:r>
          </w:p>
        </w:tc>
        <w:tc>
          <w:tcPr>
            <w:tcW w:w="360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3,860</w:t>
            </w:r>
          </w:p>
        </w:tc>
        <w:tc>
          <w:tcPr>
            <w:tcW w:w="16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55565A"/>
              </w:rPr>
              <w:t>7,855</w:t>
            </w:r>
          </w:p>
        </w:tc>
      </w:tr>
      <w:tr>
        <w:trPr>
          <w:trHeight w:val="220"/>
        </w:trPr>
        <w:tc>
          <w:tcPr>
            <w:tcW w:w="5700" w:type="dxa"/>
            <w:vAlign w:val="bottom"/>
          </w:tcPr>
          <w:p>
            <w:pPr>
              <w:spacing w:after="0"/>
              <w:rPr>
                <w:sz w:val="20"/>
                <w:szCs w:val="20"/>
                <w:color w:val="auto"/>
              </w:rPr>
            </w:pPr>
            <w:r>
              <w:rPr>
                <w:rFonts w:ascii="Arial" w:cs="Arial" w:eastAsia="Arial" w:hAnsi="Arial"/>
                <w:sz w:val="14"/>
                <w:szCs w:val="14"/>
                <w:color w:val="55565A"/>
              </w:rPr>
              <w:t>Thomson Reuters % share</w:t>
            </w:r>
          </w:p>
        </w:tc>
        <w:tc>
          <w:tcPr>
            <w:tcW w:w="3600" w:type="dxa"/>
            <w:vAlign w:val="bottom"/>
          </w:tcPr>
          <w:p>
            <w:pPr>
              <w:jc w:val="right"/>
              <w:ind w:right="249"/>
              <w:spacing w:after="0"/>
              <w:rPr>
                <w:sz w:val="20"/>
                <w:szCs w:val="20"/>
                <w:color w:val="auto"/>
              </w:rPr>
            </w:pPr>
            <w:r>
              <w:rPr>
                <w:rFonts w:ascii="Arial" w:cs="Arial" w:eastAsia="Arial" w:hAnsi="Arial"/>
                <w:sz w:val="14"/>
                <w:szCs w:val="14"/>
                <w:b w:val="1"/>
                <w:bCs w:val="1"/>
                <w:color w:val="55565A"/>
              </w:rPr>
              <w:t>18.2%</w:t>
            </w:r>
          </w:p>
        </w:tc>
        <w:tc>
          <w:tcPr>
            <w:tcW w:w="1620" w:type="dxa"/>
            <w:vAlign w:val="bottom"/>
          </w:tcPr>
          <w:p>
            <w:pPr>
              <w:jc w:val="right"/>
              <w:ind w:right="349"/>
              <w:spacing w:after="0"/>
              <w:rPr>
                <w:sz w:val="20"/>
                <w:szCs w:val="20"/>
                <w:color w:val="auto"/>
              </w:rPr>
            </w:pPr>
            <w:r>
              <w:rPr>
                <w:rFonts w:ascii="Arial" w:cs="Arial" w:eastAsia="Arial" w:hAnsi="Arial"/>
                <w:sz w:val="14"/>
                <w:szCs w:val="14"/>
                <w:color w:val="55565A"/>
              </w:rPr>
              <w:t>24.6%</w:t>
            </w:r>
          </w:p>
        </w:tc>
      </w:tr>
      <w:tr>
        <w:trPr>
          <w:trHeight w:val="235"/>
        </w:trPr>
        <w:tc>
          <w:tcPr>
            <w:tcW w:w="5700" w:type="dxa"/>
            <w:vAlign w:val="bottom"/>
            <w:shd w:val="clear" w:color="auto" w:fill="CCEEFF"/>
          </w:tcPr>
          <w:p>
            <w:pPr>
              <w:spacing w:after="0"/>
              <w:rPr>
                <w:sz w:val="20"/>
                <w:szCs w:val="20"/>
                <w:color w:val="auto"/>
              </w:rPr>
            </w:pPr>
            <w:r>
              <w:rPr>
                <w:rFonts w:ascii="Arial" w:cs="Arial" w:eastAsia="Arial" w:hAnsi="Arial"/>
                <w:sz w:val="14"/>
                <w:szCs w:val="14"/>
                <w:color w:val="55565A"/>
              </w:rPr>
              <w:t>Thomson Reuters $ share</w:t>
            </w:r>
          </w:p>
        </w:tc>
        <w:tc>
          <w:tcPr>
            <w:tcW w:w="360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706</w:t>
            </w:r>
          </w:p>
        </w:tc>
        <w:tc>
          <w:tcPr>
            <w:tcW w:w="16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55565A"/>
              </w:rPr>
              <w:t>1,927</w:t>
            </w:r>
          </w:p>
        </w:tc>
      </w:tr>
      <w:tr>
        <w:trPr>
          <w:trHeight w:val="227"/>
        </w:trPr>
        <w:tc>
          <w:tcPr>
            <w:tcW w:w="5700" w:type="dxa"/>
            <w:vAlign w:val="bottom"/>
            <w:tcBorders>
              <w:bottom w:val="single" w:sz="8" w:color="88888B"/>
            </w:tcBorders>
          </w:tcPr>
          <w:p>
            <w:pPr>
              <w:spacing w:after="0" w:line="227" w:lineRule="exact"/>
              <w:rPr>
                <w:sz w:val="20"/>
                <w:szCs w:val="20"/>
                <w:color w:val="auto"/>
              </w:rPr>
            </w:pPr>
            <w:r>
              <w:rPr>
                <w:rFonts w:ascii="Arial" w:cs="Arial" w:eastAsia="Arial" w:hAnsi="Arial"/>
                <w:sz w:val="14"/>
                <w:szCs w:val="14"/>
                <w:color w:val="55565A"/>
              </w:rPr>
              <w:t>Historical excluded equity adjustment</w:t>
            </w:r>
            <w:r>
              <w:rPr>
                <w:rFonts w:ascii="Arial" w:cs="Arial" w:eastAsia="Arial" w:hAnsi="Arial"/>
                <w:sz w:val="21"/>
                <w:szCs w:val="21"/>
                <w:color w:val="55565A"/>
                <w:vertAlign w:val="superscript"/>
              </w:rPr>
              <w:t>(1)</w:t>
            </w:r>
          </w:p>
        </w:tc>
        <w:tc>
          <w:tcPr>
            <w:tcW w:w="360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(95)</w:t>
            </w:r>
          </w:p>
        </w:tc>
        <w:tc>
          <w:tcPr>
            <w:tcW w:w="1620" w:type="dxa"/>
            <w:vAlign w:val="bottom"/>
            <w:tcBorders>
              <w:bottom w:val="single" w:sz="8" w:color="88888B"/>
            </w:tcBorders>
          </w:tcPr>
          <w:p>
            <w:pPr>
              <w:jc w:val="right"/>
              <w:ind w:right="349"/>
              <w:spacing w:after="0"/>
              <w:rPr>
                <w:sz w:val="20"/>
                <w:szCs w:val="20"/>
                <w:color w:val="auto"/>
              </w:rPr>
            </w:pPr>
            <w:r>
              <w:rPr>
                <w:rFonts w:ascii="Arial" w:cs="Arial" w:eastAsia="Arial" w:hAnsi="Arial"/>
                <w:sz w:val="14"/>
                <w:szCs w:val="14"/>
                <w:color w:val="55565A"/>
              </w:rPr>
              <w:t>(129)</w:t>
            </w:r>
          </w:p>
        </w:tc>
      </w:tr>
      <w:tr>
        <w:trPr>
          <w:trHeight w:val="214"/>
        </w:trPr>
        <w:tc>
          <w:tcPr>
            <w:tcW w:w="57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Thomson Reuters carrying amount</w:t>
            </w:r>
          </w:p>
        </w:tc>
        <w:tc>
          <w:tcPr>
            <w:tcW w:w="360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611</w:t>
            </w:r>
          </w:p>
        </w:tc>
        <w:tc>
          <w:tcPr>
            <w:tcW w:w="1620" w:type="dxa"/>
            <w:vAlign w:val="bottom"/>
            <w:tcBorders>
              <w:bottom w:val="single" w:sz="8" w:color="88888B"/>
            </w:tcBorders>
            <w:shd w:val="clear" w:color="auto" w:fill="CCEEFF"/>
          </w:tcPr>
          <w:p>
            <w:pPr>
              <w:jc w:val="right"/>
              <w:ind w:right="349"/>
              <w:spacing w:after="0"/>
              <w:rPr>
                <w:sz w:val="20"/>
                <w:szCs w:val="20"/>
                <w:color w:val="auto"/>
              </w:rPr>
            </w:pPr>
            <w:r>
              <w:rPr>
                <w:rFonts w:ascii="Arial" w:cs="Arial" w:eastAsia="Arial" w:hAnsi="Arial"/>
                <w:sz w:val="14"/>
                <w:szCs w:val="14"/>
                <w:color w:val="55565A"/>
              </w:rPr>
              <w:t>1,798</w:t>
            </w:r>
          </w:p>
        </w:tc>
      </w:tr>
    </w:tbl>
    <w:p>
      <w:pPr>
        <w:spacing w:after="0" w:line="102" w:lineRule="exact"/>
        <w:rPr>
          <w:sz w:val="20"/>
          <w:szCs w:val="20"/>
          <w:color w:val="auto"/>
        </w:rPr>
      </w:pPr>
    </w:p>
    <w:p>
      <w:pPr>
        <w:ind w:left="320" w:hanging="313"/>
        <w:spacing w:after="0"/>
        <w:tabs>
          <w:tab w:leader="none" w:pos="320" w:val="left"/>
        </w:tabs>
        <w:numPr>
          <w:ilvl w:val="0"/>
          <w:numId w:val="31"/>
        </w:numPr>
        <w:rPr>
          <w:rFonts w:ascii="Arial" w:cs="Arial" w:eastAsia="Arial" w:hAnsi="Arial"/>
          <w:sz w:val="12"/>
          <w:szCs w:val="12"/>
          <w:color w:val="55565A"/>
        </w:rPr>
      </w:pPr>
      <w:r>
        <w:rPr>
          <w:rFonts w:ascii="Arial" w:cs="Arial" w:eastAsia="Arial" w:hAnsi="Arial"/>
          <w:sz w:val="12"/>
          <w:szCs w:val="12"/>
          <w:color w:val="55565A"/>
        </w:rPr>
        <w:t>Represents the cumulative impact of equity transactions excluded from the Company’s investment in YPL.</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55565A"/>
        </w:rPr>
        <w:t>See note 19 for related party transactions with YPL.</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9: Taxation</w:t>
      </w:r>
    </w:p>
    <w:p>
      <w:pPr>
        <w:spacing w:after="0" w:line="108"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55565A"/>
        </w:rPr>
        <w:t>Tax expense was $67 million and $196 million for the three months ended March 31, 2024 and 2023, respectively. In the three months ended March 31, 2024, tax expense included a $15 million benefit from the release of tax reserves due to the favorable resolution of a tax dispute. In the three months ended March 31, 2023, tax expense included $136 million related to the Company’s earnings in equity method investments.</w:t>
      </w:r>
    </w:p>
    <w:p>
      <w:pPr>
        <w:spacing w:after="0" w:line="6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55565A"/>
        </w:rPr>
        <w:t>In January 2024, the Company began recording tax expense associated with the “Pillar Two model rules” as published by the Organization for Economic Cooperation and Development (“OECD”). These rules are designed to ensure large multinational enterprises within the scope of the rules pay a minimum level of tax in each jurisdiction where they operate. In general, the “Pillar Two model rules” apply a system of top-up taxes to bring the enterprise’s effective tax rate in each jurisdiction to a minimum of 15%. In the three months ended March 31, 2024, income tax expense included $2 million of top-up tax which was attributable to the Company’s earnings in Switzerland.</w:t>
      </w:r>
    </w:p>
    <w:p>
      <w:pPr>
        <w:spacing w:after="0" w:line="73"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55565A"/>
        </w:rPr>
        <w:t>Additionally, tax expense in each period reflected the mix of taxing jurisdictions in which pre-tax profits and losses were recognized. Because the geographical mix of pre-tax profits and losses in interim periods may be different from that for the full year, tax expense or benefit in interim periods is not necessarily indicative of tax expense for the full year.</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10: Earnings Per Share</w:t>
      </w:r>
    </w:p>
    <w:p>
      <w:pPr>
        <w:spacing w:after="0" w:line="108"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55565A"/>
        </w:rPr>
        <w:t>Basic earnings per share was calculated by dividing earnings attributable to common shareholders less dividends declared on preference shares by the sum of the weighted-average number of common shares outstanding and vested deferred share units (“DSUs”) outstanding during the period. DSUs represent common shares that certain employees have elected to receive in the future upon vesting of share-based compensation awards or in lieu of cash compensation.</w:t>
      </w:r>
    </w:p>
    <w:p>
      <w:pPr>
        <w:spacing w:after="0" w:line="7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55565A"/>
        </w:rPr>
        <w:t>Diluted earnings per share was calculated using the denominator of the basic calculation described above adjusted to include the potentially dilutive effect of outstanding stock options and time-based restricted share units (“TRSUs”).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69297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ind w:left="10420"/>
        <w:spacing w:after="0"/>
        <w:rPr>
          <w:sz w:val="20"/>
          <w:szCs w:val="20"/>
          <w:color w:val="auto"/>
        </w:rPr>
      </w:pPr>
      <w:r>
        <w:rPr>
          <w:rFonts w:ascii="Arial" w:cs="Arial" w:eastAsia="Arial" w:hAnsi="Arial"/>
          <w:sz w:val="13"/>
          <w:szCs w:val="13"/>
          <w:color w:val="55565A"/>
        </w:rPr>
        <w:t>Page 49</w:t>
      </w:r>
    </w:p>
    <w:p>
      <w:pPr>
        <w:sectPr>
          <w:pgSz w:w="11900" w:h="16838" w:orient="portrait"/>
          <w:cols w:equalWidth="0" w:num="1">
            <w:col w:w="10920"/>
          </w:cols>
          <w:pgMar w:left="480" w:top="1440" w:right="49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55565A"/>
        </w:rPr>
        <w:t>Earnings used in determining consolidated earnings per share and earnings per share from continuing operations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5"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55565A"/>
        </w:rPr>
        <w:t>Three months ended March 31,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60" w:type="dxa"/>
            <w:vAlign w:val="bottom"/>
            <w:tcBorders>
              <w:top w:val="single" w:sz="8" w:color="88888B"/>
              <w:bottom w:val="single" w:sz="8" w:color="88888B"/>
            </w:tcBorders>
          </w:tcPr>
          <w:p>
            <w:pPr>
              <w:spacing w:after="0"/>
              <w:rPr>
                <w:sz w:val="18"/>
                <w:szCs w:val="18"/>
                <w:color w:val="auto"/>
              </w:rPr>
            </w:pPr>
          </w:p>
        </w:tc>
        <w:tc>
          <w:tcPr>
            <w:tcW w:w="3220" w:type="dxa"/>
            <w:vAlign w:val="bottom"/>
            <w:tcBorders>
              <w:top w:val="single" w:sz="8" w:color="88888B"/>
              <w:bottom w:val="single" w:sz="8" w:color="88888B"/>
            </w:tcBorders>
          </w:tcPr>
          <w:p>
            <w:pPr>
              <w:jc w:val="right"/>
              <w:ind w:right="669"/>
              <w:spacing w:after="0"/>
              <w:rPr>
                <w:sz w:val="20"/>
                <w:szCs w:val="20"/>
                <w:color w:val="auto"/>
              </w:rPr>
            </w:pPr>
            <w:r>
              <w:rPr>
                <w:rFonts w:ascii="Arial" w:cs="Arial" w:eastAsia="Arial" w:hAnsi="Arial"/>
                <w:sz w:val="14"/>
                <w:szCs w:val="14"/>
                <w:b w:val="1"/>
                <w:bCs w:val="1"/>
                <w:color w:val="55565A"/>
              </w:rPr>
              <w:t>2024</w:t>
            </w:r>
          </w:p>
        </w:tc>
        <w:tc>
          <w:tcPr>
            <w:tcW w:w="1540" w:type="dxa"/>
            <w:vAlign w:val="bottom"/>
            <w:tcBorders>
              <w:top w:val="single" w:sz="8" w:color="88888B"/>
              <w:bottom w:val="single" w:sz="8" w:color="88888B"/>
            </w:tcBorders>
          </w:tcPr>
          <w:p>
            <w:pPr>
              <w:jc w:val="right"/>
              <w:ind w:right="409"/>
              <w:spacing w:after="0"/>
              <w:rPr>
                <w:sz w:val="20"/>
                <w:szCs w:val="20"/>
                <w:color w:val="auto"/>
              </w:rPr>
            </w:pPr>
            <w:r>
              <w:rPr>
                <w:rFonts w:ascii="Arial" w:cs="Arial" w:eastAsia="Arial" w:hAnsi="Arial"/>
                <w:sz w:val="14"/>
                <w:szCs w:val="14"/>
                <w:color w:val="55565A"/>
              </w:rPr>
              <w:t>2023</w:t>
            </w:r>
          </w:p>
        </w:tc>
      </w:tr>
      <w:tr>
        <w:trPr>
          <w:trHeight w:val="155"/>
        </w:trPr>
        <w:tc>
          <w:tcPr>
            <w:tcW w:w="6160" w:type="dxa"/>
            <w:vAlign w:val="bottom"/>
            <w:shd w:val="clear" w:color="auto" w:fill="CCEEFF"/>
          </w:tcPr>
          <w:p>
            <w:pPr>
              <w:spacing w:after="0" w:line="155" w:lineRule="exact"/>
              <w:rPr>
                <w:sz w:val="20"/>
                <w:szCs w:val="20"/>
                <w:color w:val="auto"/>
              </w:rPr>
            </w:pPr>
            <w:r>
              <w:rPr>
                <w:rFonts w:ascii="Arial" w:cs="Arial" w:eastAsia="Arial" w:hAnsi="Arial"/>
                <w:sz w:val="14"/>
                <w:szCs w:val="14"/>
                <w:color w:val="55565A"/>
              </w:rPr>
              <w:t>Earnings attributable to common shareholders</w:t>
            </w:r>
          </w:p>
        </w:tc>
        <w:tc>
          <w:tcPr>
            <w:tcW w:w="3220" w:type="dxa"/>
            <w:vAlign w:val="bottom"/>
            <w:shd w:val="clear" w:color="auto" w:fill="CCEEFF"/>
          </w:tcPr>
          <w:p>
            <w:pPr>
              <w:jc w:val="right"/>
              <w:ind w:right="669"/>
              <w:spacing w:after="0" w:line="155" w:lineRule="exact"/>
              <w:rPr>
                <w:sz w:val="20"/>
                <w:szCs w:val="20"/>
                <w:color w:val="auto"/>
              </w:rPr>
            </w:pPr>
            <w:r>
              <w:rPr>
                <w:rFonts w:ascii="Arial" w:cs="Arial" w:eastAsia="Arial" w:hAnsi="Arial"/>
                <w:sz w:val="14"/>
                <w:szCs w:val="14"/>
                <w:b w:val="1"/>
                <w:bCs w:val="1"/>
                <w:color w:val="55565A"/>
              </w:rPr>
              <w:t>481</w:t>
            </w:r>
          </w:p>
        </w:tc>
        <w:tc>
          <w:tcPr>
            <w:tcW w:w="1540" w:type="dxa"/>
            <w:vAlign w:val="bottom"/>
            <w:shd w:val="clear" w:color="auto" w:fill="CCEEFF"/>
          </w:tcPr>
          <w:p>
            <w:pPr>
              <w:jc w:val="right"/>
              <w:ind w:right="409"/>
              <w:spacing w:after="0" w:line="155" w:lineRule="exact"/>
              <w:rPr>
                <w:sz w:val="20"/>
                <w:szCs w:val="20"/>
                <w:color w:val="auto"/>
              </w:rPr>
            </w:pPr>
            <w:r>
              <w:rPr>
                <w:rFonts w:ascii="Arial" w:cs="Arial" w:eastAsia="Arial" w:hAnsi="Arial"/>
                <w:sz w:val="14"/>
                <w:szCs w:val="14"/>
                <w:color w:val="55565A"/>
              </w:rPr>
              <w:t>756</w:t>
            </w:r>
          </w:p>
        </w:tc>
      </w:tr>
      <w:tr>
        <w:trPr>
          <w:trHeight w:val="160"/>
        </w:trPr>
        <w:tc>
          <w:tcPr>
            <w:tcW w:w="616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Less: Dividends declared on preference shares</w:t>
            </w:r>
          </w:p>
        </w:tc>
        <w:tc>
          <w:tcPr>
            <w:tcW w:w="3220" w:type="dxa"/>
            <w:vAlign w:val="bottom"/>
            <w:tcBorders>
              <w:bottom w:val="single" w:sz="8" w:color="88888B"/>
            </w:tcBorders>
          </w:tcPr>
          <w:p>
            <w:pPr>
              <w:jc w:val="right"/>
              <w:ind w:right="669"/>
              <w:spacing w:after="0"/>
              <w:rPr>
                <w:sz w:val="20"/>
                <w:szCs w:val="20"/>
                <w:color w:val="auto"/>
              </w:rPr>
            </w:pPr>
            <w:r>
              <w:rPr>
                <w:rFonts w:ascii="Arial" w:cs="Arial" w:eastAsia="Arial" w:hAnsi="Arial"/>
                <w:sz w:val="14"/>
                <w:szCs w:val="14"/>
                <w:b w:val="1"/>
                <w:bCs w:val="1"/>
                <w:color w:val="55565A"/>
              </w:rPr>
              <w:t>(1)</w:t>
            </w:r>
          </w:p>
        </w:tc>
        <w:tc>
          <w:tcPr>
            <w:tcW w:w="1540" w:type="dxa"/>
            <w:vAlign w:val="bottom"/>
            <w:tcBorders>
              <w:bottom w:val="single" w:sz="8" w:color="88888B"/>
            </w:tcBorders>
          </w:tcPr>
          <w:p>
            <w:pPr>
              <w:jc w:val="right"/>
              <w:ind w:right="409"/>
              <w:spacing w:after="0"/>
              <w:rPr>
                <w:sz w:val="20"/>
                <w:szCs w:val="20"/>
                <w:color w:val="auto"/>
              </w:rPr>
            </w:pPr>
            <w:r>
              <w:rPr>
                <w:rFonts w:ascii="Arial" w:cs="Arial" w:eastAsia="Arial" w:hAnsi="Arial"/>
                <w:sz w:val="14"/>
                <w:szCs w:val="14"/>
                <w:color w:val="55565A"/>
              </w:rPr>
              <w:t>(1)</w:t>
            </w:r>
          </w:p>
        </w:tc>
      </w:tr>
      <w:tr>
        <w:trPr>
          <w:trHeight w:val="154"/>
        </w:trPr>
        <w:tc>
          <w:tcPr>
            <w:tcW w:w="616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Earnings used in consolidated earnings per share</w:t>
            </w:r>
          </w:p>
        </w:tc>
        <w:tc>
          <w:tcPr>
            <w:tcW w:w="3220" w:type="dxa"/>
            <w:vAlign w:val="bottom"/>
            <w:shd w:val="clear" w:color="auto" w:fill="CCEEFF"/>
          </w:tcPr>
          <w:p>
            <w:pPr>
              <w:jc w:val="right"/>
              <w:ind w:right="669"/>
              <w:spacing w:after="0" w:line="154" w:lineRule="exact"/>
              <w:rPr>
                <w:sz w:val="20"/>
                <w:szCs w:val="20"/>
                <w:color w:val="auto"/>
              </w:rPr>
            </w:pPr>
            <w:r>
              <w:rPr>
                <w:rFonts w:ascii="Arial" w:cs="Arial" w:eastAsia="Arial" w:hAnsi="Arial"/>
                <w:sz w:val="14"/>
                <w:szCs w:val="14"/>
                <w:b w:val="1"/>
                <w:bCs w:val="1"/>
                <w:color w:val="55565A"/>
              </w:rPr>
              <w:t>480</w:t>
            </w:r>
          </w:p>
        </w:tc>
        <w:tc>
          <w:tcPr>
            <w:tcW w:w="1540" w:type="dxa"/>
            <w:vAlign w:val="bottom"/>
            <w:shd w:val="clear" w:color="auto" w:fill="CCEEFF"/>
          </w:tcPr>
          <w:p>
            <w:pPr>
              <w:jc w:val="right"/>
              <w:ind w:right="409"/>
              <w:spacing w:after="0" w:line="154" w:lineRule="exact"/>
              <w:rPr>
                <w:sz w:val="20"/>
                <w:szCs w:val="20"/>
                <w:color w:val="auto"/>
              </w:rPr>
            </w:pPr>
            <w:r>
              <w:rPr>
                <w:rFonts w:ascii="Arial" w:cs="Arial" w:eastAsia="Arial" w:hAnsi="Arial"/>
                <w:sz w:val="14"/>
                <w:szCs w:val="14"/>
                <w:color w:val="55565A"/>
              </w:rPr>
              <w:t>755</w:t>
            </w:r>
          </w:p>
        </w:tc>
      </w:tr>
      <w:tr>
        <w:trPr>
          <w:trHeight w:val="160"/>
        </w:trPr>
        <w:tc>
          <w:tcPr>
            <w:tcW w:w="616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Less: Earnings from discontinued operations, net of tax</w:t>
            </w:r>
          </w:p>
        </w:tc>
        <w:tc>
          <w:tcPr>
            <w:tcW w:w="3220" w:type="dxa"/>
            <w:vAlign w:val="bottom"/>
            <w:tcBorders>
              <w:bottom w:val="single" w:sz="8" w:color="88888B"/>
            </w:tcBorders>
          </w:tcPr>
          <w:p>
            <w:pPr>
              <w:jc w:val="right"/>
              <w:ind w:right="669"/>
              <w:spacing w:after="0"/>
              <w:rPr>
                <w:sz w:val="20"/>
                <w:szCs w:val="20"/>
                <w:color w:val="auto"/>
              </w:rPr>
            </w:pPr>
            <w:r>
              <w:rPr>
                <w:rFonts w:ascii="Arial" w:cs="Arial" w:eastAsia="Arial" w:hAnsi="Arial"/>
                <w:sz w:val="14"/>
                <w:szCs w:val="14"/>
                <w:b w:val="1"/>
                <w:bCs w:val="1"/>
                <w:color w:val="55565A"/>
              </w:rPr>
              <w:t>(14)</w:t>
            </w:r>
          </w:p>
        </w:tc>
        <w:tc>
          <w:tcPr>
            <w:tcW w:w="1540" w:type="dxa"/>
            <w:vAlign w:val="bottom"/>
            <w:tcBorders>
              <w:bottom w:val="single" w:sz="8" w:color="88888B"/>
            </w:tcBorders>
          </w:tcPr>
          <w:p>
            <w:pPr>
              <w:jc w:val="right"/>
              <w:ind w:right="409"/>
              <w:spacing w:after="0"/>
              <w:rPr>
                <w:sz w:val="20"/>
                <w:szCs w:val="20"/>
                <w:color w:val="auto"/>
              </w:rPr>
            </w:pPr>
            <w:r>
              <w:rPr>
                <w:rFonts w:ascii="Arial" w:cs="Arial" w:eastAsia="Arial" w:hAnsi="Arial"/>
                <w:sz w:val="14"/>
                <w:szCs w:val="14"/>
                <w:color w:val="55565A"/>
              </w:rPr>
              <w:t>(19)</w:t>
            </w:r>
          </w:p>
        </w:tc>
      </w:tr>
      <w:tr>
        <w:trPr>
          <w:trHeight w:val="214"/>
        </w:trPr>
        <w:tc>
          <w:tcPr>
            <w:tcW w:w="616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Earnings used in earnings per share from continuing operations</w:t>
            </w:r>
          </w:p>
        </w:tc>
        <w:tc>
          <w:tcPr>
            <w:tcW w:w="3220" w:type="dxa"/>
            <w:vAlign w:val="bottom"/>
            <w:tcBorders>
              <w:bottom w:val="single" w:sz="8" w:color="88888B"/>
            </w:tcBorders>
            <w:shd w:val="clear" w:color="auto" w:fill="CCEEFF"/>
          </w:tcPr>
          <w:p>
            <w:pPr>
              <w:jc w:val="right"/>
              <w:ind w:right="669"/>
              <w:spacing w:after="0"/>
              <w:rPr>
                <w:sz w:val="20"/>
                <w:szCs w:val="20"/>
                <w:color w:val="auto"/>
              </w:rPr>
            </w:pPr>
            <w:r>
              <w:rPr>
                <w:rFonts w:ascii="Arial" w:cs="Arial" w:eastAsia="Arial" w:hAnsi="Arial"/>
                <w:sz w:val="14"/>
                <w:szCs w:val="14"/>
                <w:b w:val="1"/>
                <w:bCs w:val="1"/>
                <w:color w:val="55565A"/>
              </w:rPr>
              <w:t>466</w:t>
            </w:r>
          </w:p>
        </w:tc>
        <w:tc>
          <w:tcPr>
            <w:tcW w:w="154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736</w:t>
            </w:r>
          </w:p>
        </w:tc>
      </w:tr>
    </w:tbl>
    <w:p>
      <w:pPr>
        <w:spacing w:after="0" w:line="200" w:lineRule="exact"/>
        <w:rPr>
          <w:sz w:val="20"/>
          <w:szCs w:val="20"/>
          <w:color w:val="auto"/>
        </w:rPr>
      </w:pPr>
    </w:p>
    <w:p>
      <w:pPr>
        <w:ind w:right="600"/>
        <w:spacing w:after="0" w:line="262" w:lineRule="auto"/>
        <w:rPr>
          <w:sz w:val="20"/>
          <w:szCs w:val="20"/>
          <w:color w:val="auto"/>
        </w:rPr>
      </w:pPr>
      <w:r>
        <w:rPr>
          <w:rFonts w:ascii="Arial" w:cs="Arial" w:eastAsia="Arial" w:hAnsi="Arial"/>
          <w:sz w:val="16"/>
          <w:szCs w:val="16"/>
          <w:color w:val="55565A"/>
        </w:rPr>
        <w:t>The weighted-average number of common shares outstanding, as well as a reconciliation of the weighted-average number of common shares outstanding used in the basic earnings per share computation to the weighted-average number of common shares outstanding used in the diluted earnings per share computation,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6929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1"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55565A"/>
        </w:rPr>
        <w:t>Three months ended March 31,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20" w:type="dxa"/>
            <w:vAlign w:val="bottom"/>
            <w:tcBorders>
              <w:top w:val="single" w:sz="8" w:color="88888B"/>
            </w:tcBorders>
          </w:tcPr>
          <w:p>
            <w:pPr>
              <w:spacing w:after="0"/>
              <w:rPr>
                <w:sz w:val="18"/>
                <w:szCs w:val="18"/>
                <w:color w:val="auto"/>
              </w:rPr>
            </w:pPr>
          </w:p>
        </w:tc>
        <w:tc>
          <w:tcPr>
            <w:tcW w:w="3460" w:type="dxa"/>
            <w:vAlign w:val="bottom"/>
            <w:tcBorders>
              <w:top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2024</w:t>
            </w:r>
          </w:p>
        </w:tc>
        <w:tc>
          <w:tcPr>
            <w:tcW w:w="1440" w:type="dxa"/>
            <w:vAlign w:val="bottom"/>
            <w:tcBorders>
              <w:top w:val="single" w:sz="8" w:color="88888B"/>
            </w:tcBorders>
          </w:tcPr>
          <w:p>
            <w:pPr>
              <w:jc w:val="right"/>
              <w:ind w:right="249"/>
              <w:spacing w:after="0"/>
              <w:rPr>
                <w:sz w:val="20"/>
                <w:szCs w:val="20"/>
                <w:color w:val="auto"/>
              </w:rPr>
            </w:pPr>
            <w:r>
              <w:rPr>
                <w:rFonts w:ascii="Arial" w:cs="Arial" w:eastAsia="Arial" w:hAnsi="Arial"/>
                <w:sz w:val="14"/>
                <w:szCs w:val="14"/>
                <w:color w:val="55565A"/>
              </w:rPr>
              <w:t>2023</w:t>
            </w:r>
          </w:p>
        </w:tc>
      </w:tr>
      <w:tr>
        <w:trPr>
          <w:trHeight w:val="55"/>
        </w:trPr>
        <w:tc>
          <w:tcPr>
            <w:tcW w:w="6020" w:type="dxa"/>
            <w:vAlign w:val="bottom"/>
            <w:tcBorders>
              <w:bottom w:val="single" w:sz="8" w:color="88888B"/>
            </w:tcBorders>
          </w:tcPr>
          <w:p>
            <w:pPr>
              <w:spacing w:after="0"/>
              <w:rPr>
                <w:sz w:val="4"/>
                <w:szCs w:val="4"/>
                <w:color w:val="auto"/>
              </w:rPr>
            </w:pPr>
          </w:p>
        </w:tc>
        <w:tc>
          <w:tcPr>
            <w:tcW w:w="3460" w:type="dxa"/>
            <w:vAlign w:val="bottom"/>
            <w:tcBorders>
              <w:bottom w:val="single" w:sz="8" w:color="88888B"/>
            </w:tcBorders>
          </w:tcPr>
          <w:p>
            <w:pPr>
              <w:spacing w:after="0"/>
              <w:rPr>
                <w:sz w:val="4"/>
                <w:szCs w:val="4"/>
                <w:color w:val="auto"/>
              </w:rPr>
            </w:pPr>
          </w:p>
        </w:tc>
        <w:tc>
          <w:tcPr>
            <w:tcW w:w="1440" w:type="dxa"/>
            <w:vAlign w:val="bottom"/>
            <w:tcBorders>
              <w:bottom w:val="single" w:sz="8" w:color="88888B"/>
            </w:tcBorders>
          </w:tcPr>
          <w:p>
            <w:pPr>
              <w:spacing w:after="0"/>
              <w:rPr>
                <w:sz w:val="4"/>
                <w:szCs w:val="4"/>
                <w:color w:val="auto"/>
              </w:rPr>
            </w:pPr>
          </w:p>
        </w:tc>
      </w:tr>
      <w:tr>
        <w:trPr>
          <w:trHeight w:val="154"/>
        </w:trPr>
        <w:tc>
          <w:tcPr>
            <w:tcW w:w="602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Weighted-average number of common shares outstanding</w:t>
            </w:r>
          </w:p>
        </w:tc>
        <w:tc>
          <w:tcPr>
            <w:tcW w:w="3460" w:type="dxa"/>
            <w:vAlign w:val="bottom"/>
            <w:shd w:val="clear" w:color="auto" w:fill="CCEEFF"/>
          </w:tcPr>
          <w:p>
            <w:pPr>
              <w:jc w:val="right"/>
              <w:ind w:right="249"/>
              <w:spacing w:after="0" w:line="154" w:lineRule="exact"/>
              <w:rPr>
                <w:sz w:val="20"/>
                <w:szCs w:val="20"/>
                <w:color w:val="auto"/>
              </w:rPr>
            </w:pPr>
            <w:r>
              <w:rPr>
                <w:rFonts w:ascii="Arial" w:cs="Arial" w:eastAsia="Arial" w:hAnsi="Arial"/>
                <w:sz w:val="14"/>
                <w:szCs w:val="14"/>
                <w:b w:val="1"/>
                <w:bCs w:val="1"/>
                <w:color w:val="55565A"/>
              </w:rPr>
              <w:t>451,984,791</w:t>
            </w:r>
          </w:p>
        </w:tc>
        <w:tc>
          <w:tcPr>
            <w:tcW w:w="1440" w:type="dxa"/>
            <w:vAlign w:val="bottom"/>
            <w:shd w:val="clear" w:color="auto" w:fill="CCEEFF"/>
          </w:tcPr>
          <w:p>
            <w:pPr>
              <w:jc w:val="right"/>
              <w:ind w:right="249"/>
              <w:spacing w:after="0" w:line="154" w:lineRule="exact"/>
              <w:rPr>
                <w:sz w:val="20"/>
                <w:szCs w:val="20"/>
                <w:color w:val="auto"/>
              </w:rPr>
            </w:pPr>
            <w:r>
              <w:rPr>
                <w:rFonts w:ascii="Arial" w:cs="Arial" w:eastAsia="Arial" w:hAnsi="Arial"/>
                <w:sz w:val="14"/>
                <w:szCs w:val="14"/>
                <w:color w:val="55565A"/>
              </w:rPr>
              <w:t>473,101,530</w:t>
            </w:r>
          </w:p>
        </w:tc>
      </w:tr>
      <w:tr>
        <w:trPr>
          <w:trHeight w:val="160"/>
        </w:trPr>
        <w:tc>
          <w:tcPr>
            <w:tcW w:w="602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Weighted-average number of vested DSUs</w:t>
            </w:r>
          </w:p>
        </w:tc>
        <w:tc>
          <w:tcPr>
            <w:tcW w:w="346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141,538</w:t>
            </w:r>
          </w:p>
        </w:tc>
        <w:tc>
          <w:tcPr>
            <w:tcW w:w="144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color w:val="55565A"/>
              </w:rPr>
              <w:t>167,526</w:t>
            </w:r>
          </w:p>
        </w:tc>
      </w:tr>
      <w:tr>
        <w:trPr>
          <w:trHeight w:val="154"/>
        </w:trPr>
        <w:tc>
          <w:tcPr>
            <w:tcW w:w="602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Basic</w:t>
            </w:r>
          </w:p>
        </w:tc>
        <w:tc>
          <w:tcPr>
            <w:tcW w:w="3460" w:type="dxa"/>
            <w:vAlign w:val="bottom"/>
            <w:shd w:val="clear" w:color="auto" w:fill="CCEEFF"/>
          </w:tcPr>
          <w:p>
            <w:pPr>
              <w:jc w:val="right"/>
              <w:ind w:right="249"/>
              <w:spacing w:after="0" w:line="154" w:lineRule="exact"/>
              <w:rPr>
                <w:sz w:val="20"/>
                <w:szCs w:val="20"/>
                <w:color w:val="auto"/>
              </w:rPr>
            </w:pPr>
            <w:r>
              <w:rPr>
                <w:rFonts w:ascii="Arial" w:cs="Arial" w:eastAsia="Arial" w:hAnsi="Arial"/>
                <w:sz w:val="14"/>
                <w:szCs w:val="14"/>
                <w:b w:val="1"/>
                <w:bCs w:val="1"/>
                <w:color w:val="55565A"/>
              </w:rPr>
              <w:t>452,126,329</w:t>
            </w:r>
          </w:p>
        </w:tc>
        <w:tc>
          <w:tcPr>
            <w:tcW w:w="1440" w:type="dxa"/>
            <w:vAlign w:val="bottom"/>
            <w:shd w:val="clear" w:color="auto" w:fill="CCEEFF"/>
          </w:tcPr>
          <w:p>
            <w:pPr>
              <w:jc w:val="right"/>
              <w:ind w:right="249"/>
              <w:spacing w:after="0" w:line="154" w:lineRule="exact"/>
              <w:rPr>
                <w:sz w:val="20"/>
                <w:szCs w:val="20"/>
                <w:color w:val="auto"/>
              </w:rPr>
            </w:pPr>
            <w:r>
              <w:rPr>
                <w:rFonts w:ascii="Arial" w:cs="Arial" w:eastAsia="Arial" w:hAnsi="Arial"/>
                <w:sz w:val="14"/>
                <w:szCs w:val="14"/>
                <w:color w:val="55565A"/>
              </w:rPr>
              <w:t>473,269,056</w:t>
            </w:r>
          </w:p>
        </w:tc>
      </w:tr>
      <w:tr>
        <w:trPr>
          <w:trHeight w:val="160"/>
        </w:trPr>
        <w:tc>
          <w:tcPr>
            <w:tcW w:w="602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Effect of stock options and TRSUs</w:t>
            </w:r>
          </w:p>
        </w:tc>
        <w:tc>
          <w:tcPr>
            <w:tcW w:w="346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700,734</w:t>
            </w:r>
          </w:p>
        </w:tc>
        <w:tc>
          <w:tcPr>
            <w:tcW w:w="144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color w:val="55565A"/>
              </w:rPr>
              <w:t>893,743</w:t>
            </w:r>
          </w:p>
        </w:tc>
      </w:tr>
      <w:tr>
        <w:trPr>
          <w:trHeight w:val="154"/>
        </w:trPr>
        <w:tc>
          <w:tcPr>
            <w:tcW w:w="6020" w:type="dxa"/>
            <w:vAlign w:val="bottom"/>
            <w:tcBorders>
              <w:bottom w:val="single" w:sz="8" w:color="55565A"/>
            </w:tcBorders>
            <w:shd w:val="clear" w:color="auto" w:fill="CCEEFF"/>
          </w:tcPr>
          <w:p>
            <w:pPr>
              <w:spacing w:after="0" w:line="154" w:lineRule="exact"/>
              <w:rPr>
                <w:sz w:val="20"/>
                <w:szCs w:val="20"/>
                <w:color w:val="auto"/>
              </w:rPr>
            </w:pPr>
            <w:r>
              <w:rPr>
                <w:rFonts w:ascii="Arial" w:cs="Arial" w:eastAsia="Arial" w:hAnsi="Arial"/>
                <w:sz w:val="14"/>
                <w:szCs w:val="14"/>
                <w:color w:val="55565A"/>
              </w:rPr>
              <w:t>Diluted</w:t>
            </w:r>
          </w:p>
        </w:tc>
        <w:tc>
          <w:tcPr>
            <w:tcW w:w="3460" w:type="dxa"/>
            <w:vAlign w:val="bottom"/>
            <w:tcBorders>
              <w:bottom w:val="single" w:sz="8" w:color="55565A"/>
            </w:tcBorders>
            <w:shd w:val="clear" w:color="auto" w:fill="CCEEFF"/>
          </w:tcPr>
          <w:p>
            <w:pPr>
              <w:jc w:val="right"/>
              <w:ind w:right="249"/>
              <w:spacing w:after="0" w:line="154" w:lineRule="exact"/>
              <w:rPr>
                <w:sz w:val="20"/>
                <w:szCs w:val="20"/>
                <w:color w:val="auto"/>
              </w:rPr>
            </w:pPr>
            <w:r>
              <w:rPr>
                <w:rFonts w:ascii="Arial" w:cs="Arial" w:eastAsia="Arial" w:hAnsi="Arial"/>
                <w:sz w:val="14"/>
                <w:szCs w:val="14"/>
                <w:b w:val="1"/>
                <w:bCs w:val="1"/>
                <w:color w:val="55565A"/>
              </w:rPr>
              <w:t>452,827,063</w:t>
            </w:r>
          </w:p>
        </w:tc>
        <w:tc>
          <w:tcPr>
            <w:tcW w:w="1440" w:type="dxa"/>
            <w:vAlign w:val="bottom"/>
            <w:tcBorders>
              <w:bottom w:val="single" w:sz="8" w:color="55565A"/>
            </w:tcBorders>
            <w:shd w:val="clear" w:color="auto" w:fill="CCEEFF"/>
          </w:tcPr>
          <w:p>
            <w:pPr>
              <w:jc w:val="right"/>
              <w:ind w:right="249"/>
              <w:spacing w:after="0" w:line="154" w:lineRule="exact"/>
              <w:rPr>
                <w:sz w:val="20"/>
                <w:szCs w:val="20"/>
                <w:color w:val="auto"/>
              </w:rPr>
            </w:pPr>
            <w:r>
              <w:rPr>
                <w:rFonts w:ascii="Arial" w:cs="Arial" w:eastAsia="Arial" w:hAnsi="Arial"/>
                <w:sz w:val="14"/>
                <w:szCs w:val="14"/>
                <w:color w:val="55565A"/>
              </w:rPr>
              <w:t>474,162,799</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11: Financial Instruments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Financial assets and liabilities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5565A"/>
        </w:rPr>
        <w:t>Financial assets and liabilities in the consolidated statement of financial position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340" w:type="dxa"/>
            <w:vAlign w:val="bottom"/>
            <w:tcBorders>
              <w:top w:val="single" w:sz="8" w:color="88888B"/>
            </w:tcBorders>
          </w:tcPr>
          <w:p>
            <w:pPr>
              <w:spacing w:after="0"/>
              <w:rPr>
                <w:sz w:val="15"/>
                <w:szCs w:val="15"/>
                <w:color w:val="auto"/>
              </w:rPr>
            </w:pPr>
          </w:p>
        </w:tc>
        <w:tc>
          <w:tcPr>
            <w:tcW w:w="1860" w:type="dxa"/>
            <w:vAlign w:val="bottom"/>
            <w:tcBorders>
              <w:top w:val="single" w:sz="8" w:color="88888B"/>
            </w:tcBorders>
          </w:tcPr>
          <w:p>
            <w:pPr>
              <w:spacing w:after="0"/>
              <w:rPr>
                <w:sz w:val="15"/>
                <w:szCs w:val="15"/>
                <w:color w:val="auto"/>
              </w:rPr>
            </w:pPr>
          </w:p>
        </w:tc>
        <w:tc>
          <w:tcPr>
            <w:tcW w:w="1340" w:type="dxa"/>
            <w:vAlign w:val="bottom"/>
            <w:tcBorders>
              <w:top w:val="single" w:sz="8" w:color="88888B"/>
            </w:tcBorders>
          </w:tcPr>
          <w:p>
            <w:pPr>
              <w:jc w:val="center"/>
              <w:spacing w:after="0"/>
              <w:rPr>
                <w:sz w:val="20"/>
                <w:szCs w:val="20"/>
                <w:color w:val="auto"/>
              </w:rPr>
            </w:pPr>
            <w:r>
              <w:rPr>
                <w:rFonts w:ascii="Arial" w:cs="Arial" w:eastAsia="Arial" w:hAnsi="Arial"/>
                <w:sz w:val="14"/>
                <w:szCs w:val="14"/>
                <w:color w:val="55565A"/>
              </w:rPr>
              <w:t>Assets/</w:t>
            </w:r>
          </w:p>
        </w:tc>
        <w:tc>
          <w:tcPr>
            <w:tcW w:w="1720" w:type="dxa"/>
            <w:vAlign w:val="bottom"/>
            <w:tcBorders>
              <w:top w:val="single" w:sz="8" w:color="88888B"/>
            </w:tcBorders>
          </w:tcPr>
          <w:p>
            <w:pPr>
              <w:spacing w:after="0"/>
              <w:rPr>
                <w:sz w:val="15"/>
                <w:szCs w:val="15"/>
                <w:color w:val="auto"/>
              </w:rPr>
            </w:pPr>
          </w:p>
        </w:tc>
        <w:tc>
          <w:tcPr>
            <w:tcW w:w="1440" w:type="dxa"/>
            <w:vAlign w:val="bottom"/>
            <w:tcBorders>
              <w:top w:val="single" w:sz="8" w:color="88888B"/>
            </w:tcBorders>
          </w:tcPr>
          <w:p>
            <w:pPr>
              <w:spacing w:after="0"/>
              <w:rPr>
                <w:sz w:val="15"/>
                <w:szCs w:val="15"/>
                <w:color w:val="auto"/>
              </w:rPr>
            </w:pPr>
          </w:p>
        </w:tc>
        <w:tc>
          <w:tcPr>
            <w:tcW w:w="1200" w:type="dxa"/>
            <w:vAlign w:val="bottom"/>
            <w:tcBorders>
              <w:top w:val="single" w:sz="8" w:color="88888B"/>
            </w:tcBorders>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60" w:type="dxa"/>
            <w:vAlign w:val="bottom"/>
          </w:tcPr>
          <w:p>
            <w:pPr>
              <w:jc w:val="center"/>
              <w:ind w:left="469"/>
              <w:spacing w:after="0"/>
              <w:rPr>
                <w:sz w:val="20"/>
                <w:szCs w:val="20"/>
                <w:color w:val="auto"/>
              </w:rPr>
            </w:pPr>
            <w:r>
              <w:rPr>
                <w:rFonts w:ascii="Arial" w:cs="Arial" w:eastAsia="Arial" w:hAnsi="Arial"/>
                <w:sz w:val="14"/>
                <w:szCs w:val="14"/>
                <w:color w:val="55565A"/>
              </w:rPr>
              <w:t>Assets/</w:t>
            </w:r>
          </w:p>
        </w:tc>
        <w:tc>
          <w:tcPr>
            <w:tcW w:w="1340" w:type="dxa"/>
            <w:vAlign w:val="bottom"/>
          </w:tcPr>
          <w:p>
            <w:pPr>
              <w:jc w:val="center"/>
              <w:spacing w:after="0"/>
              <w:rPr>
                <w:sz w:val="20"/>
                <w:szCs w:val="20"/>
                <w:color w:val="auto"/>
              </w:rPr>
            </w:pPr>
            <w:r>
              <w:rPr>
                <w:rFonts w:ascii="Arial" w:cs="Arial" w:eastAsia="Arial" w:hAnsi="Arial"/>
                <w:sz w:val="14"/>
                <w:szCs w:val="14"/>
                <w:color w:val="55565A"/>
              </w:rPr>
              <w:t>(Liabilities)</w:t>
            </w:r>
          </w:p>
        </w:tc>
        <w:tc>
          <w:tcPr>
            <w:tcW w:w="1720" w:type="dxa"/>
            <w:vAlign w:val="bottom"/>
          </w:tcPr>
          <w:p>
            <w:pPr>
              <w:jc w:val="center"/>
              <w:spacing w:after="0"/>
              <w:rPr>
                <w:sz w:val="20"/>
                <w:szCs w:val="20"/>
                <w:color w:val="auto"/>
              </w:rPr>
            </w:pPr>
            <w:r>
              <w:rPr>
                <w:rFonts w:ascii="Arial" w:cs="Arial" w:eastAsia="Arial" w:hAnsi="Arial"/>
                <w:sz w:val="14"/>
                <w:szCs w:val="14"/>
                <w:color w:val="55565A"/>
              </w:rPr>
              <w:t>Assets at Fair</w:t>
            </w:r>
          </w:p>
        </w:tc>
        <w:tc>
          <w:tcPr>
            <w:tcW w:w="14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60" w:type="dxa"/>
            <w:vAlign w:val="bottom"/>
          </w:tcPr>
          <w:p>
            <w:pPr>
              <w:jc w:val="center"/>
              <w:ind w:left="469"/>
              <w:spacing w:after="0"/>
              <w:rPr>
                <w:sz w:val="20"/>
                <w:szCs w:val="20"/>
                <w:color w:val="auto"/>
              </w:rPr>
            </w:pPr>
            <w:r>
              <w:rPr>
                <w:rFonts w:ascii="Arial" w:cs="Arial" w:eastAsia="Arial" w:hAnsi="Arial"/>
                <w:sz w:val="14"/>
                <w:szCs w:val="14"/>
                <w:color w:val="55565A"/>
              </w:rPr>
              <w:t>(Liabilities)</w:t>
            </w:r>
          </w:p>
        </w:tc>
        <w:tc>
          <w:tcPr>
            <w:tcW w:w="1340" w:type="dxa"/>
            <w:vAlign w:val="bottom"/>
          </w:tcPr>
          <w:p>
            <w:pPr>
              <w:jc w:val="center"/>
              <w:spacing w:after="0"/>
              <w:rPr>
                <w:sz w:val="20"/>
                <w:szCs w:val="20"/>
                <w:color w:val="auto"/>
              </w:rPr>
            </w:pPr>
            <w:r>
              <w:rPr>
                <w:rFonts w:ascii="Arial" w:cs="Arial" w:eastAsia="Arial" w:hAnsi="Arial"/>
                <w:sz w:val="14"/>
                <w:szCs w:val="14"/>
                <w:color w:val="55565A"/>
              </w:rPr>
              <w:t>at Fair</w:t>
            </w:r>
          </w:p>
        </w:tc>
        <w:tc>
          <w:tcPr>
            <w:tcW w:w="1720" w:type="dxa"/>
            <w:vAlign w:val="bottom"/>
          </w:tcPr>
          <w:p>
            <w:pPr>
              <w:jc w:val="center"/>
              <w:spacing w:after="0"/>
              <w:rPr>
                <w:sz w:val="20"/>
                <w:szCs w:val="20"/>
                <w:color w:val="auto"/>
              </w:rPr>
            </w:pPr>
            <w:r>
              <w:rPr>
                <w:rFonts w:ascii="Arial" w:cs="Arial" w:eastAsia="Arial" w:hAnsi="Arial"/>
                <w:sz w:val="14"/>
                <w:szCs w:val="14"/>
                <w:color w:val="55565A"/>
              </w:rPr>
              <w:t>Value through</w:t>
            </w:r>
          </w:p>
        </w:tc>
        <w:tc>
          <w:tcPr>
            <w:tcW w:w="14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60" w:type="dxa"/>
            <w:vAlign w:val="bottom"/>
          </w:tcPr>
          <w:p>
            <w:pPr>
              <w:jc w:val="center"/>
              <w:ind w:left="469"/>
              <w:spacing w:after="0"/>
              <w:rPr>
                <w:sz w:val="20"/>
                <w:szCs w:val="20"/>
                <w:color w:val="auto"/>
              </w:rPr>
            </w:pPr>
            <w:r>
              <w:rPr>
                <w:rFonts w:ascii="Arial" w:cs="Arial" w:eastAsia="Arial" w:hAnsi="Arial"/>
                <w:sz w:val="14"/>
                <w:szCs w:val="14"/>
                <w:color w:val="55565A"/>
              </w:rPr>
              <w:t>at</w:t>
            </w:r>
          </w:p>
        </w:tc>
        <w:tc>
          <w:tcPr>
            <w:tcW w:w="1340" w:type="dxa"/>
            <w:vAlign w:val="bottom"/>
          </w:tcPr>
          <w:p>
            <w:pPr>
              <w:jc w:val="center"/>
              <w:spacing w:after="0"/>
              <w:rPr>
                <w:sz w:val="20"/>
                <w:szCs w:val="20"/>
                <w:color w:val="auto"/>
              </w:rPr>
            </w:pPr>
            <w:r>
              <w:rPr>
                <w:rFonts w:ascii="Arial" w:cs="Arial" w:eastAsia="Arial" w:hAnsi="Arial"/>
                <w:sz w:val="14"/>
                <w:szCs w:val="14"/>
                <w:color w:val="55565A"/>
                <w:w w:val="94"/>
              </w:rPr>
              <w:t>Value</w:t>
            </w:r>
          </w:p>
        </w:tc>
        <w:tc>
          <w:tcPr>
            <w:tcW w:w="1720" w:type="dxa"/>
            <w:vAlign w:val="bottom"/>
          </w:tcPr>
          <w:p>
            <w:pPr>
              <w:jc w:val="center"/>
              <w:spacing w:after="0"/>
              <w:rPr>
                <w:sz w:val="20"/>
                <w:szCs w:val="20"/>
                <w:color w:val="auto"/>
              </w:rPr>
            </w:pPr>
            <w:r>
              <w:rPr>
                <w:rFonts w:ascii="Arial" w:cs="Arial" w:eastAsia="Arial" w:hAnsi="Arial"/>
                <w:sz w:val="14"/>
                <w:szCs w:val="14"/>
                <w:color w:val="55565A"/>
              </w:rPr>
              <w:t>Other</w:t>
            </w:r>
          </w:p>
        </w:tc>
        <w:tc>
          <w:tcPr>
            <w:tcW w:w="1440" w:type="dxa"/>
            <w:vAlign w:val="bottom"/>
          </w:tcPr>
          <w:p>
            <w:pPr>
              <w:jc w:val="center"/>
              <w:spacing w:after="0"/>
              <w:rPr>
                <w:sz w:val="20"/>
                <w:szCs w:val="20"/>
                <w:color w:val="auto"/>
              </w:rPr>
            </w:pPr>
            <w:r>
              <w:rPr>
                <w:rFonts w:ascii="Arial" w:cs="Arial" w:eastAsia="Arial" w:hAnsi="Arial"/>
                <w:sz w:val="14"/>
                <w:szCs w:val="14"/>
                <w:color w:val="55565A"/>
              </w:rPr>
              <w:t>Derivatives</w:t>
            </w:r>
          </w:p>
        </w:tc>
        <w:tc>
          <w:tcPr>
            <w:tcW w:w="12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60" w:type="dxa"/>
            <w:vAlign w:val="bottom"/>
          </w:tcPr>
          <w:p>
            <w:pPr>
              <w:jc w:val="center"/>
              <w:ind w:left="469"/>
              <w:spacing w:after="0"/>
              <w:rPr>
                <w:sz w:val="20"/>
                <w:szCs w:val="20"/>
                <w:color w:val="auto"/>
              </w:rPr>
            </w:pPr>
            <w:r>
              <w:rPr>
                <w:rFonts w:ascii="Arial" w:cs="Arial" w:eastAsia="Arial" w:hAnsi="Arial"/>
                <w:sz w:val="14"/>
                <w:szCs w:val="14"/>
                <w:color w:val="55565A"/>
              </w:rPr>
              <w:t>Amortized</w:t>
            </w:r>
          </w:p>
        </w:tc>
        <w:tc>
          <w:tcPr>
            <w:tcW w:w="1340" w:type="dxa"/>
            <w:vAlign w:val="bottom"/>
          </w:tcPr>
          <w:p>
            <w:pPr>
              <w:jc w:val="center"/>
              <w:spacing w:after="0"/>
              <w:rPr>
                <w:sz w:val="20"/>
                <w:szCs w:val="20"/>
                <w:color w:val="auto"/>
              </w:rPr>
            </w:pPr>
            <w:r>
              <w:rPr>
                <w:rFonts w:ascii="Arial" w:cs="Arial" w:eastAsia="Arial" w:hAnsi="Arial"/>
                <w:sz w:val="14"/>
                <w:szCs w:val="14"/>
                <w:color w:val="55565A"/>
              </w:rPr>
              <w:t>through</w:t>
            </w:r>
          </w:p>
        </w:tc>
        <w:tc>
          <w:tcPr>
            <w:tcW w:w="1720" w:type="dxa"/>
            <w:vAlign w:val="bottom"/>
          </w:tcPr>
          <w:p>
            <w:pPr>
              <w:jc w:val="center"/>
              <w:spacing w:after="0"/>
              <w:rPr>
                <w:sz w:val="20"/>
                <w:szCs w:val="20"/>
                <w:color w:val="auto"/>
              </w:rPr>
            </w:pPr>
            <w:r>
              <w:rPr>
                <w:rFonts w:ascii="Arial" w:cs="Arial" w:eastAsia="Arial" w:hAnsi="Arial"/>
                <w:sz w:val="14"/>
                <w:szCs w:val="14"/>
                <w:color w:val="55565A"/>
              </w:rPr>
              <w:t>Comprehensive</w:t>
            </w:r>
          </w:p>
        </w:tc>
        <w:tc>
          <w:tcPr>
            <w:tcW w:w="1440" w:type="dxa"/>
            <w:vAlign w:val="bottom"/>
          </w:tcPr>
          <w:p>
            <w:pPr>
              <w:jc w:val="center"/>
              <w:spacing w:after="0"/>
              <w:rPr>
                <w:sz w:val="20"/>
                <w:szCs w:val="20"/>
                <w:color w:val="auto"/>
              </w:rPr>
            </w:pPr>
            <w:r>
              <w:rPr>
                <w:rFonts w:ascii="Arial" w:cs="Arial" w:eastAsia="Arial" w:hAnsi="Arial"/>
                <w:sz w:val="14"/>
                <w:szCs w:val="14"/>
                <w:color w:val="55565A"/>
              </w:rPr>
              <w:t>Used for</w:t>
            </w:r>
          </w:p>
        </w:tc>
        <w:tc>
          <w:tcPr>
            <w:tcW w:w="1200" w:type="dxa"/>
            <w:vAlign w:val="bottom"/>
          </w:tcPr>
          <w:p>
            <w:pPr>
              <w:spacing w:after="0"/>
              <w:rPr>
                <w:sz w:val="13"/>
                <w:szCs w:val="13"/>
                <w:color w:val="auto"/>
              </w:rPr>
            </w:pPr>
          </w:p>
        </w:tc>
      </w:tr>
      <w:tr>
        <w:trPr>
          <w:trHeight w:val="195"/>
        </w:trPr>
        <w:tc>
          <w:tcPr>
            <w:tcW w:w="3360" w:type="dxa"/>
            <w:vAlign w:val="bottom"/>
            <w:gridSpan w:val="2"/>
          </w:tcPr>
          <w:p>
            <w:pPr>
              <w:spacing w:after="0"/>
              <w:rPr>
                <w:sz w:val="20"/>
                <w:szCs w:val="20"/>
                <w:color w:val="auto"/>
              </w:rPr>
            </w:pPr>
            <w:r>
              <w:rPr>
                <w:rFonts w:ascii="Arial" w:cs="Arial" w:eastAsia="Arial" w:hAnsi="Arial"/>
                <w:sz w:val="14"/>
                <w:szCs w:val="14"/>
                <w:b w:val="1"/>
                <w:bCs w:val="1"/>
                <w:color w:val="55565A"/>
              </w:rPr>
              <w:t>March 31, 2024</w:t>
            </w:r>
          </w:p>
        </w:tc>
        <w:tc>
          <w:tcPr>
            <w:tcW w:w="1860" w:type="dxa"/>
            <w:vAlign w:val="bottom"/>
          </w:tcPr>
          <w:p>
            <w:pPr>
              <w:jc w:val="center"/>
              <w:ind w:left="469"/>
              <w:spacing w:after="0"/>
              <w:rPr>
                <w:sz w:val="20"/>
                <w:szCs w:val="20"/>
                <w:color w:val="auto"/>
              </w:rPr>
            </w:pPr>
            <w:r>
              <w:rPr>
                <w:rFonts w:ascii="Arial" w:cs="Arial" w:eastAsia="Arial" w:hAnsi="Arial"/>
                <w:sz w:val="14"/>
                <w:szCs w:val="14"/>
                <w:color w:val="55565A"/>
                <w:w w:val="97"/>
              </w:rPr>
              <w:t>Cost</w:t>
            </w:r>
          </w:p>
        </w:tc>
        <w:tc>
          <w:tcPr>
            <w:tcW w:w="1340" w:type="dxa"/>
            <w:vAlign w:val="bottom"/>
          </w:tcPr>
          <w:p>
            <w:pPr>
              <w:jc w:val="center"/>
              <w:spacing w:after="0"/>
              <w:rPr>
                <w:sz w:val="20"/>
                <w:szCs w:val="20"/>
                <w:color w:val="auto"/>
              </w:rPr>
            </w:pPr>
            <w:r>
              <w:rPr>
                <w:rFonts w:ascii="Arial" w:cs="Arial" w:eastAsia="Arial" w:hAnsi="Arial"/>
                <w:sz w:val="14"/>
                <w:szCs w:val="14"/>
                <w:color w:val="55565A"/>
              </w:rPr>
              <w:t>Earnings</w:t>
            </w:r>
          </w:p>
        </w:tc>
        <w:tc>
          <w:tcPr>
            <w:tcW w:w="1720" w:type="dxa"/>
            <w:vAlign w:val="bottom"/>
          </w:tcPr>
          <w:p>
            <w:pPr>
              <w:jc w:val="center"/>
              <w:spacing w:after="0"/>
              <w:rPr>
                <w:sz w:val="20"/>
                <w:szCs w:val="20"/>
                <w:color w:val="auto"/>
              </w:rPr>
            </w:pPr>
            <w:r>
              <w:rPr>
                <w:rFonts w:ascii="Arial" w:cs="Arial" w:eastAsia="Arial" w:hAnsi="Arial"/>
                <w:sz w:val="14"/>
                <w:szCs w:val="14"/>
                <w:color w:val="55565A"/>
              </w:rPr>
              <w:t>Income or Loss</w:t>
            </w:r>
          </w:p>
        </w:tc>
        <w:tc>
          <w:tcPr>
            <w:tcW w:w="1440" w:type="dxa"/>
            <w:vAlign w:val="bottom"/>
          </w:tcPr>
          <w:p>
            <w:pPr>
              <w:jc w:val="center"/>
              <w:spacing w:after="0"/>
              <w:rPr>
                <w:sz w:val="20"/>
                <w:szCs w:val="20"/>
                <w:color w:val="auto"/>
              </w:rPr>
            </w:pPr>
            <w:r>
              <w:rPr>
                <w:rFonts w:ascii="Arial" w:cs="Arial" w:eastAsia="Arial" w:hAnsi="Arial"/>
                <w:sz w:val="14"/>
                <w:szCs w:val="14"/>
                <w:color w:val="55565A"/>
              </w:rPr>
              <w:t>Hedging</w:t>
            </w:r>
          </w:p>
        </w:tc>
        <w:tc>
          <w:tcPr>
            <w:tcW w:w="1200" w:type="dxa"/>
            <w:vAlign w:val="bottom"/>
          </w:tcPr>
          <w:p>
            <w:pPr>
              <w:jc w:val="right"/>
              <w:ind w:right="389"/>
              <w:spacing w:after="0"/>
              <w:rPr>
                <w:sz w:val="20"/>
                <w:szCs w:val="20"/>
                <w:color w:val="auto"/>
              </w:rPr>
            </w:pPr>
            <w:r>
              <w:rPr>
                <w:rFonts w:ascii="Arial" w:cs="Arial" w:eastAsia="Arial" w:hAnsi="Arial"/>
                <w:sz w:val="14"/>
                <w:szCs w:val="14"/>
                <w:color w:val="55565A"/>
              </w:rPr>
              <w:t>Total</w:t>
            </w:r>
          </w:p>
        </w:tc>
      </w:tr>
      <w:tr>
        <w:trPr>
          <w:trHeight w:val="28"/>
        </w:trPr>
        <w:tc>
          <w:tcPr>
            <w:tcW w:w="20" w:type="dxa"/>
            <w:vAlign w:val="bottom"/>
          </w:tcPr>
          <w:p>
            <w:pPr>
              <w:spacing w:after="0"/>
              <w:rPr>
                <w:sz w:val="2"/>
                <w:szCs w:val="2"/>
                <w:color w:val="auto"/>
              </w:rPr>
            </w:pPr>
          </w:p>
        </w:tc>
        <w:tc>
          <w:tcPr>
            <w:tcW w:w="3340" w:type="dxa"/>
            <w:vAlign w:val="bottom"/>
            <w:tcBorders>
              <w:bottom w:val="single" w:sz="8" w:color="88888B"/>
            </w:tcBorders>
          </w:tcPr>
          <w:p>
            <w:pPr>
              <w:spacing w:after="0"/>
              <w:rPr>
                <w:sz w:val="2"/>
                <w:szCs w:val="2"/>
                <w:color w:val="auto"/>
              </w:rPr>
            </w:pPr>
          </w:p>
        </w:tc>
        <w:tc>
          <w:tcPr>
            <w:tcW w:w="1860" w:type="dxa"/>
            <w:vAlign w:val="bottom"/>
            <w:tcBorders>
              <w:bottom w:val="single" w:sz="8" w:color="88888B"/>
            </w:tcBorders>
          </w:tcPr>
          <w:p>
            <w:pPr>
              <w:spacing w:after="0"/>
              <w:rPr>
                <w:sz w:val="2"/>
                <w:szCs w:val="2"/>
                <w:color w:val="auto"/>
              </w:rPr>
            </w:pPr>
          </w:p>
        </w:tc>
        <w:tc>
          <w:tcPr>
            <w:tcW w:w="1340" w:type="dxa"/>
            <w:vAlign w:val="bottom"/>
            <w:tcBorders>
              <w:bottom w:val="single" w:sz="8" w:color="88888B"/>
            </w:tcBorders>
          </w:tcPr>
          <w:p>
            <w:pPr>
              <w:spacing w:after="0"/>
              <w:rPr>
                <w:sz w:val="2"/>
                <w:szCs w:val="2"/>
                <w:color w:val="auto"/>
              </w:rPr>
            </w:pPr>
          </w:p>
        </w:tc>
        <w:tc>
          <w:tcPr>
            <w:tcW w:w="1720" w:type="dxa"/>
            <w:vAlign w:val="bottom"/>
            <w:tcBorders>
              <w:bottom w:val="single" w:sz="8" w:color="88888B"/>
            </w:tcBorders>
          </w:tcPr>
          <w:p>
            <w:pPr>
              <w:spacing w:after="0"/>
              <w:rPr>
                <w:sz w:val="2"/>
                <w:szCs w:val="2"/>
                <w:color w:val="auto"/>
              </w:rPr>
            </w:pPr>
          </w:p>
        </w:tc>
        <w:tc>
          <w:tcPr>
            <w:tcW w:w="1440" w:type="dxa"/>
            <w:vAlign w:val="bottom"/>
            <w:tcBorders>
              <w:bottom w:val="single" w:sz="8" w:color="88888B"/>
            </w:tcBorders>
          </w:tcPr>
          <w:p>
            <w:pPr>
              <w:spacing w:after="0"/>
              <w:rPr>
                <w:sz w:val="2"/>
                <w:szCs w:val="2"/>
                <w:color w:val="auto"/>
              </w:rPr>
            </w:pPr>
          </w:p>
        </w:tc>
        <w:tc>
          <w:tcPr>
            <w:tcW w:w="1200" w:type="dxa"/>
            <w:vAlign w:val="bottom"/>
            <w:tcBorders>
              <w:bottom w:val="single" w:sz="8" w:color="88888B"/>
            </w:tcBorders>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334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Cash and cash equivalents</w:t>
            </w:r>
          </w:p>
        </w:tc>
        <w:tc>
          <w:tcPr>
            <w:tcW w:w="1860" w:type="dxa"/>
            <w:vAlign w:val="bottom"/>
            <w:shd w:val="clear" w:color="auto" w:fill="CCEEFF"/>
          </w:tcPr>
          <w:p>
            <w:pPr>
              <w:jc w:val="right"/>
              <w:ind w:right="249"/>
              <w:spacing w:after="0" w:line="154" w:lineRule="exact"/>
              <w:rPr>
                <w:sz w:val="20"/>
                <w:szCs w:val="20"/>
                <w:color w:val="auto"/>
              </w:rPr>
            </w:pPr>
            <w:r>
              <w:rPr>
                <w:rFonts w:ascii="Arial" w:cs="Arial" w:eastAsia="Arial" w:hAnsi="Arial"/>
                <w:sz w:val="14"/>
                <w:szCs w:val="14"/>
                <w:b w:val="1"/>
                <w:bCs w:val="1"/>
                <w:color w:val="55565A"/>
              </w:rPr>
              <w:t>384</w:t>
            </w:r>
          </w:p>
        </w:tc>
        <w:tc>
          <w:tcPr>
            <w:tcW w:w="1340" w:type="dxa"/>
            <w:vAlign w:val="bottom"/>
            <w:shd w:val="clear" w:color="auto" w:fill="CCEEFF"/>
          </w:tcPr>
          <w:p>
            <w:pPr>
              <w:jc w:val="right"/>
              <w:ind w:right="269"/>
              <w:spacing w:after="0" w:line="154" w:lineRule="exact"/>
              <w:rPr>
                <w:sz w:val="20"/>
                <w:szCs w:val="20"/>
                <w:color w:val="auto"/>
              </w:rPr>
            </w:pPr>
            <w:r>
              <w:rPr>
                <w:rFonts w:ascii="Arial" w:cs="Arial" w:eastAsia="Arial" w:hAnsi="Arial"/>
                <w:sz w:val="14"/>
                <w:szCs w:val="14"/>
                <w:b w:val="1"/>
                <w:bCs w:val="1"/>
                <w:color w:val="55565A"/>
              </w:rPr>
              <w:t>1,517</w:t>
            </w:r>
          </w:p>
        </w:tc>
        <w:tc>
          <w:tcPr>
            <w:tcW w:w="1720" w:type="dxa"/>
            <w:vAlign w:val="bottom"/>
            <w:shd w:val="clear" w:color="auto" w:fill="CCEEFF"/>
          </w:tcPr>
          <w:p>
            <w:pPr>
              <w:jc w:val="right"/>
              <w:ind w:right="289"/>
              <w:spacing w:after="0" w:line="154" w:lineRule="exact"/>
              <w:rPr>
                <w:sz w:val="20"/>
                <w:szCs w:val="20"/>
                <w:color w:val="auto"/>
              </w:rPr>
            </w:pPr>
            <w:r>
              <w:rPr>
                <w:rFonts w:ascii="Arial" w:cs="Arial" w:eastAsia="Arial" w:hAnsi="Arial"/>
                <w:sz w:val="14"/>
                <w:szCs w:val="14"/>
                <w:b w:val="1"/>
                <w:bCs w:val="1"/>
                <w:color w:val="55565A"/>
              </w:rPr>
              <w:t>-</w:t>
            </w:r>
          </w:p>
        </w:tc>
        <w:tc>
          <w:tcPr>
            <w:tcW w:w="1440" w:type="dxa"/>
            <w:vAlign w:val="bottom"/>
            <w:shd w:val="clear" w:color="auto" w:fill="CCEEFF"/>
          </w:tcPr>
          <w:p>
            <w:pPr>
              <w:jc w:val="right"/>
              <w:ind w:right="309"/>
              <w:spacing w:after="0" w:line="154" w:lineRule="exact"/>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289"/>
              <w:spacing w:after="0" w:line="154" w:lineRule="exact"/>
              <w:rPr>
                <w:sz w:val="20"/>
                <w:szCs w:val="20"/>
                <w:color w:val="auto"/>
              </w:rPr>
            </w:pPr>
            <w:r>
              <w:rPr>
                <w:rFonts w:ascii="Arial" w:cs="Arial" w:eastAsia="Arial" w:hAnsi="Arial"/>
                <w:sz w:val="14"/>
                <w:szCs w:val="14"/>
                <w:b w:val="1"/>
                <w:bCs w:val="1"/>
                <w:color w:val="55565A"/>
              </w:rPr>
              <w:t>1,901</w:t>
            </w: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4"/>
                <w:szCs w:val="14"/>
                <w:color w:val="55565A"/>
              </w:rPr>
              <w:t>Trade and other receivables</w:t>
            </w:r>
          </w:p>
        </w:tc>
        <w:tc>
          <w:tcPr>
            <w:tcW w:w="1860" w:type="dxa"/>
            <w:vAlign w:val="bottom"/>
          </w:tcPr>
          <w:p>
            <w:pPr>
              <w:jc w:val="right"/>
              <w:ind w:right="249"/>
              <w:spacing w:after="0"/>
              <w:rPr>
                <w:sz w:val="20"/>
                <w:szCs w:val="20"/>
                <w:color w:val="auto"/>
              </w:rPr>
            </w:pPr>
            <w:r>
              <w:rPr>
                <w:rFonts w:ascii="Arial" w:cs="Arial" w:eastAsia="Arial" w:hAnsi="Arial"/>
                <w:sz w:val="14"/>
                <w:szCs w:val="14"/>
                <w:b w:val="1"/>
                <w:bCs w:val="1"/>
                <w:color w:val="55565A"/>
              </w:rPr>
              <w:t>1,040</w:t>
            </w:r>
          </w:p>
        </w:tc>
        <w:tc>
          <w:tcPr>
            <w:tcW w:w="1340" w:type="dxa"/>
            <w:vAlign w:val="bottom"/>
          </w:tcPr>
          <w:p>
            <w:pPr>
              <w:jc w:val="right"/>
              <w:ind w:right="269"/>
              <w:spacing w:after="0"/>
              <w:rPr>
                <w:sz w:val="20"/>
                <w:szCs w:val="20"/>
                <w:color w:val="auto"/>
              </w:rPr>
            </w:pPr>
            <w:r>
              <w:rPr>
                <w:rFonts w:ascii="Arial" w:cs="Arial" w:eastAsia="Arial" w:hAnsi="Arial"/>
                <w:sz w:val="14"/>
                <w:szCs w:val="14"/>
                <w:b w:val="1"/>
                <w:bCs w:val="1"/>
                <w:color w:val="55565A"/>
              </w:rPr>
              <w:t>-</w:t>
            </w:r>
          </w:p>
        </w:tc>
        <w:tc>
          <w:tcPr>
            <w:tcW w:w="1720" w:type="dxa"/>
            <w:vAlign w:val="bottom"/>
          </w:tcPr>
          <w:p>
            <w:pPr>
              <w:jc w:val="right"/>
              <w:ind w:right="289"/>
              <w:spacing w:after="0"/>
              <w:rPr>
                <w:sz w:val="20"/>
                <w:szCs w:val="20"/>
                <w:color w:val="auto"/>
              </w:rPr>
            </w:pPr>
            <w:r>
              <w:rPr>
                <w:rFonts w:ascii="Arial" w:cs="Arial" w:eastAsia="Arial" w:hAnsi="Arial"/>
                <w:sz w:val="14"/>
                <w:szCs w:val="14"/>
                <w:b w:val="1"/>
                <w:bCs w:val="1"/>
                <w:color w:val="55565A"/>
              </w:rPr>
              <w:t>-</w:t>
            </w:r>
          </w:p>
        </w:tc>
        <w:tc>
          <w:tcPr>
            <w:tcW w:w="1440" w:type="dxa"/>
            <w:vAlign w:val="bottom"/>
          </w:tcPr>
          <w:p>
            <w:pPr>
              <w:jc w:val="right"/>
              <w:ind w:right="309"/>
              <w:spacing w:after="0"/>
              <w:rPr>
                <w:sz w:val="20"/>
                <w:szCs w:val="20"/>
                <w:color w:val="auto"/>
              </w:rPr>
            </w:pPr>
            <w:r>
              <w:rPr>
                <w:rFonts w:ascii="Arial" w:cs="Arial" w:eastAsia="Arial" w:hAnsi="Arial"/>
                <w:sz w:val="14"/>
                <w:szCs w:val="14"/>
                <w:b w:val="1"/>
                <w:bCs w:val="1"/>
                <w:color w:val="55565A"/>
              </w:rPr>
              <w:t>-</w:t>
            </w:r>
          </w:p>
        </w:tc>
        <w:tc>
          <w:tcPr>
            <w:tcW w:w="1200" w:type="dxa"/>
            <w:vAlign w:val="bottom"/>
          </w:tcPr>
          <w:p>
            <w:pPr>
              <w:jc w:val="right"/>
              <w:ind w:right="289"/>
              <w:spacing w:after="0"/>
              <w:rPr>
                <w:sz w:val="20"/>
                <w:szCs w:val="20"/>
                <w:color w:val="auto"/>
              </w:rPr>
            </w:pPr>
            <w:r>
              <w:rPr>
                <w:rFonts w:ascii="Arial" w:cs="Arial" w:eastAsia="Arial" w:hAnsi="Arial"/>
                <w:sz w:val="14"/>
                <w:szCs w:val="14"/>
                <w:b w:val="1"/>
                <w:bCs w:val="1"/>
                <w:color w:val="55565A"/>
              </w:rPr>
              <w:t>1,040</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55565A"/>
              </w:rPr>
              <w:t>Other financial assets - current</w:t>
            </w:r>
          </w:p>
        </w:tc>
        <w:tc>
          <w:tcPr>
            <w:tcW w:w="186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8</w:t>
            </w:r>
          </w:p>
        </w:tc>
        <w:tc>
          <w:tcPr>
            <w:tcW w:w="134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55565A"/>
              </w:rPr>
              <w:t>10</w:t>
            </w:r>
          </w:p>
        </w:tc>
        <w:tc>
          <w:tcPr>
            <w:tcW w:w="172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18</w:t>
            </w: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4"/>
                <w:szCs w:val="14"/>
                <w:color w:val="55565A"/>
              </w:rPr>
              <w:t>Other financial assets - non-current</w:t>
            </w:r>
          </w:p>
        </w:tc>
        <w:tc>
          <w:tcPr>
            <w:tcW w:w="1860" w:type="dxa"/>
            <w:vAlign w:val="bottom"/>
          </w:tcPr>
          <w:p>
            <w:pPr>
              <w:jc w:val="right"/>
              <w:ind w:right="249"/>
              <w:spacing w:after="0"/>
              <w:rPr>
                <w:sz w:val="20"/>
                <w:szCs w:val="20"/>
                <w:color w:val="auto"/>
              </w:rPr>
            </w:pPr>
            <w:r>
              <w:rPr>
                <w:rFonts w:ascii="Arial" w:cs="Arial" w:eastAsia="Arial" w:hAnsi="Arial"/>
                <w:sz w:val="14"/>
                <w:szCs w:val="14"/>
                <w:b w:val="1"/>
                <w:bCs w:val="1"/>
                <w:color w:val="55565A"/>
              </w:rPr>
              <w:t>17</w:t>
            </w:r>
          </w:p>
        </w:tc>
        <w:tc>
          <w:tcPr>
            <w:tcW w:w="1340" w:type="dxa"/>
            <w:vAlign w:val="bottom"/>
          </w:tcPr>
          <w:p>
            <w:pPr>
              <w:jc w:val="right"/>
              <w:ind w:right="269"/>
              <w:spacing w:after="0"/>
              <w:rPr>
                <w:sz w:val="20"/>
                <w:szCs w:val="20"/>
                <w:color w:val="auto"/>
              </w:rPr>
            </w:pPr>
            <w:r>
              <w:rPr>
                <w:rFonts w:ascii="Arial" w:cs="Arial" w:eastAsia="Arial" w:hAnsi="Arial"/>
                <w:sz w:val="14"/>
                <w:szCs w:val="14"/>
                <w:b w:val="1"/>
                <w:bCs w:val="1"/>
                <w:color w:val="55565A"/>
              </w:rPr>
              <w:t>262</w:t>
            </w:r>
          </w:p>
        </w:tc>
        <w:tc>
          <w:tcPr>
            <w:tcW w:w="1720" w:type="dxa"/>
            <w:vAlign w:val="bottom"/>
          </w:tcPr>
          <w:p>
            <w:pPr>
              <w:jc w:val="right"/>
              <w:ind w:right="289"/>
              <w:spacing w:after="0"/>
              <w:rPr>
                <w:sz w:val="20"/>
                <w:szCs w:val="20"/>
                <w:color w:val="auto"/>
              </w:rPr>
            </w:pPr>
            <w:r>
              <w:rPr>
                <w:rFonts w:ascii="Arial" w:cs="Arial" w:eastAsia="Arial" w:hAnsi="Arial"/>
                <w:sz w:val="14"/>
                <w:szCs w:val="14"/>
                <w:b w:val="1"/>
                <w:bCs w:val="1"/>
                <w:color w:val="55565A"/>
              </w:rPr>
              <w:t>105</w:t>
            </w:r>
          </w:p>
        </w:tc>
        <w:tc>
          <w:tcPr>
            <w:tcW w:w="1440" w:type="dxa"/>
            <w:vAlign w:val="bottom"/>
          </w:tcPr>
          <w:p>
            <w:pPr>
              <w:jc w:val="right"/>
              <w:ind w:right="309"/>
              <w:spacing w:after="0"/>
              <w:rPr>
                <w:sz w:val="20"/>
                <w:szCs w:val="20"/>
                <w:color w:val="auto"/>
              </w:rPr>
            </w:pPr>
            <w:r>
              <w:rPr>
                <w:rFonts w:ascii="Arial" w:cs="Arial" w:eastAsia="Arial" w:hAnsi="Arial"/>
                <w:sz w:val="14"/>
                <w:szCs w:val="14"/>
                <w:b w:val="1"/>
                <w:bCs w:val="1"/>
                <w:color w:val="55565A"/>
              </w:rPr>
              <w:t>42</w:t>
            </w:r>
          </w:p>
        </w:tc>
        <w:tc>
          <w:tcPr>
            <w:tcW w:w="1200" w:type="dxa"/>
            <w:vAlign w:val="bottom"/>
          </w:tcPr>
          <w:p>
            <w:pPr>
              <w:jc w:val="right"/>
              <w:ind w:right="289"/>
              <w:spacing w:after="0"/>
              <w:rPr>
                <w:sz w:val="20"/>
                <w:szCs w:val="20"/>
                <w:color w:val="auto"/>
              </w:rPr>
            </w:pPr>
            <w:r>
              <w:rPr>
                <w:rFonts w:ascii="Arial" w:cs="Arial" w:eastAsia="Arial" w:hAnsi="Arial"/>
                <w:sz w:val="14"/>
                <w:szCs w:val="14"/>
                <w:b w:val="1"/>
                <w:bCs w:val="1"/>
                <w:color w:val="55565A"/>
              </w:rPr>
              <w:t>426</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55565A"/>
              </w:rPr>
              <w:t>Current indebtedness</w:t>
            </w:r>
          </w:p>
        </w:tc>
        <w:tc>
          <w:tcPr>
            <w:tcW w:w="186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(941)</w:t>
            </w:r>
          </w:p>
        </w:tc>
        <w:tc>
          <w:tcPr>
            <w:tcW w:w="134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55565A"/>
              </w:rPr>
              <w:t>-</w:t>
            </w:r>
          </w:p>
        </w:tc>
        <w:tc>
          <w:tcPr>
            <w:tcW w:w="172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(941)</w:t>
            </w: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4"/>
                <w:szCs w:val="14"/>
                <w:color w:val="55565A"/>
              </w:rPr>
              <w:t>Trade payables (see note 13)</w:t>
            </w:r>
          </w:p>
        </w:tc>
        <w:tc>
          <w:tcPr>
            <w:tcW w:w="1860" w:type="dxa"/>
            <w:vAlign w:val="bottom"/>
          </w:tcPr>
          <w:p>
            <w:pPr>
              <w:jc w:val="right"/>
              <w:ind w:right="249"/>
              <w:spacing w:after="0"/>
              <w:rPr>
                <w:sz w:val="20"/>
                <w:szCs w:val="20"/>
                <w:color w:val="auto"/>
              </w:rPr>
            </w:pPr>
            <w:r>
              <w:rPr>
                <w:rFonts w:ascii="Arial" w:cs="Arial" w:eastAsia="Arial" w:hAnsi="Arial"/>
                <w:sz w:val="14"/>
                <w:szCs w:val="14"/>
                <w:b w:val="1"/>
                <w:bCs w:val="1"/>
                <w:color w:val="55565A"/>
              </w:rPr>
              <w:t>(145)</w:t>
            </w:r>
          </w:p>
        </w:tc>
        <w:tc>
          <w:tcPr>
            <w:tcW w:w="1340" w:type="dxa"/>
            <w:vAlign w:val="bottom"/>
          </w:tcPr>
          <w:p>
            <w:pPr>
              <w:jc w:val="right"/>
              <w:ind w:right="269"/>
              <w:spacing w:after="0"/>
              <w:rPr>
                <w:sz w:val="20"/>
                <w:szCs w:val="20"/>
                <w:color w:val="auto"/>
              </w:rPr>
            </w:pPr>
            <w:r>
              <w:rPr>
                <w:rFonts w:ascii="Arial" w:cs="Arial" w:eastAsia="Arial" w:hAnsi="Arial"/>
                <w:sz w:val="14"/>
                <w:szCs w:val="14"/>
                <w:b w:val="1"/>
                <w:bCs w:val="1"/>
                <w:color w:val="55565A"/>
              </w:rPr>
              <w:t>-</w:t>
            </w:r>
          </w:p>
        </w:tc>
        <w:tc>
          <w:tcPr>
            <w:tcW w:w="1720" w:type="dxa"/>
            <w:vAlign w:val="bottom"/>
          </w:tcPr>
          <w:p>
            <w:pPr>
              <w:jc w:val="right"/>
              <w:ind w:right="289"/>
              <w:spacing w:after="0"/>
              <w:rPr>
                <w:sz w:val="20"/>
                <w:szCs w:val="20"/>
                <w:color w:val="auto"/>
              </w:rPr>
            </w:pPr>
            <w:r>
              <w:rPr>
                <w:rFonts w:ascii="Arial" w:cs="Arial" w:eastAsia="Arial" w:hAnsi="Arial"/>
                <w:sz w:val="14"/>
                <w:szCs w:val="14"/>
                <w:b w:val="1"/>
                <w:bCs w:val="1"/>
                <w:color w:val="55565A"/>
              </w:rPr>
              <w:t>-</w:t>
            </w:r>
          </w:p>
        </w:tc>
        <w:tc>
          <w:tcPr>
            <w:tcW w:w="1440" w:type="dxa"/>
            <w:vAlign w:val="bottom"/>
          </w:tcPr>
          <w:p>
            <w:pPr>
              <w:jc w:val="right"/>
              <w:ind w:right="309"/>
              <w:spacing w:after="0"/>
              <w:rPr>
                <w:sz w:val="20"/>
                <w:szCs w:val="20"/>
                <w:color w:val="auto"/>
              </w:rPr>
            </w:pPr>
            <w:r>
              <w:rPr>
                <w:rFonts w:ascii="Arial" w:cs="Arial" w:eastAsia="Arial" w:hAnsi="Arial"/>
                <w:sz w:val="14"/>
                <w:szCs w:val="14"/>
                <w:b w:val="1"/>
                <w:bCs w:val="1"/>
                <w:color w:val="55565A"/>
              </w:rPr>
              <w:t>-</w:t>
            </w:r>
          </w:p>
        </w:tc>
        <w:tc>
          <w:tcPr>
            <w:tcW w:w="1200" w:type="dxa"/>
            <w:vAlign w:val="bottom"/>
          </w:tcPr>
          <w:p>
            <w:pPr>
              <w:jc w:val="right"/>
              <w:ind w:right="289"/>
              <w:spacing w:after="0"/>
              <w:rPr>
                <w:sz w:val="20"/>
                <w:szCs w:val="20"/>
                <w:color w:val="auto"/>
              </w:rPr>
            </w:pPr>
            <w:r>
              <w:rPr>
                <w:rFonts w:ascii="Arial" w:cs="Arial" w:eastAsia="Arial" w:hAnsi="Arial"/>
                <w:sz w:val="14"/>
                <w:szCs w:val="14"/>
                <w:b w:val="1"/>
                <w:bCs w:val="1"/>
                <w:color w:val="55565A"/>
              </w:rPr>
              <w:t>(145)</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55565A"/>
              </w:rPr>
              <w:t>Accruals (see note 13)</w:t>
            </w:r>
          </w:p>
        </w:tc>
        <w:tc>
          <w:tcPr>
            <w:tcW w:w="186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(627)</w:t>
            </w:r>
          </w:p>
        </w:tc>
        <w:tc>
          <w:tcPr>
            <w:tcW w:w="134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55565A"/>
              </w:rPr>
              <w:t>-</w:t>
            </w:r>
          </w:p>
        </w:tc>
        <w:tc>
          <w:tcPr>
            <w:tcW w:w="172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(627)</w:t>
            </w:r>
          </w:p>
        </w:tc>
      </w:tr>
      <w:tr>
        <w:trPr>
          <w:trHeight w:val="160"/>
        </w:trPr>
        <w:tc>
          <w:tcPr>
            <w:tcW w:w="20" w:type="dxa"/>
            <w:vAlign w:val="bottom"/>
          </w:tcPr>
          <w:p>
            <w:pPr>
              <w:spacing w:after="0"/>
              <w:rPr>
                <w:sz w:val="13"/>
                <w:szCs w:val="13"/>
                <w:color w:val="auto"/>
              </w:rPr>
            </w:pPr>
          </w:p>
        </w:tc>
        <w:tc>
          <w:tcPr>
            <w:tcW w:w="3340" w:type="dxa"/>
            <w:vAlign w:val="bottom"/>
          </w:tcPr>
          <w:p>
            <w:pPr>
              <w:spacing w:after="0" w:line="161" w:lineRule="exact"/>
              <w:rPr>
                <w:sz w:val="20"/>
                <w:szCs w:val="20"/>
                <w:color w:val="auto"/>
              </w:rPr>
            </w:pPr>
            <w:r>
              <w:rPr>
                <w:rFonts w:ascii="Arial" w:cs="Arial" w:eastAsia="Arial" w:hAnsi="Arial"/>
                <w:sz w:val="12"/>
                <w:szCs w:val="12"/>
                <w:color w:val="55565A"/>
              </w:rPr>
              <w:t>Other financial liabilities - current</w:t>
            </w:r>
            <w:r>
              <w:rPr>
                <w:rFonts w:ascii="Arial" w:cs="Arial" w:eastAsia="Arial" w:hAnsi="Arial"/>
                <w:sz w:val="18"/>
                <w:szCs w:val="18"/>
                <w:color w:val="55565A"/>
                <w:vertAlign w:val="superscript"/>
              </w:rPr>
              <w:t>(1)(2)</w:t>
            </w:r>
          </w:p>
        </w:tc>
        <w:tc>
          <w:tcPr>
            <w:tcW w:w="1860" w:type="dxa"/>
            <w:vAlign w:val="bottom"/>
          </w:tcPr>
          <w:p>
            <w:pPr>
              <w:jc w:val="right"/>
              <w:ind w:right="249"/>
              <w:spacing w:after="0"/>
              <w:rPr>
                <w:sz w:val="20"/>
                <w:szCs w:val="20"/>
                <w:color w:val="auto"/>
              </w:rPr>
            </w:pPr>
            <w:r>
              <w:rPr>
                <w:rFonts w:ascii="Arial" w:cs="Arial" w:eastAsia="Arial" w:hAnsi="Arial"/>
                <w:sz w:val="14"/>
                <w:szCs w:val="14"/>
                <w:b w:val="1"/>
                <w:bCs w:val="1"/>
                <w:color w:val="55565A"/>
              </w:rPr>
              <w:t>(337)</w:t>
            </w:r>
          </w:p>
        </w:tc>
        <w:tc>
          <w:tcPr>
            <w:tcW w:w="1340" w:type="dxa"/>
            <w:vAlign w:val="bottom"/>
          </w:tcPr>
          <w:p>
            <w:pPr>
              <w:jc w:val="right"/>
              <w:ind w:right="269"/>
              <w:spacing w:after="0"/>
              <w:rPr>
                <w:sz w:val="20"/>
                <w:szCs w:val="20"/>
                <w:color w:val="auto"/>
              </w:rPr>
            </w:pPr>
            <w:r>
              <w:rPr>
                <w:rFonts w:ascii="Arial" w:cs="Arial" w:eastAsia="Arial" w:hAnsi="Arial"/>
                <w:sz w:val="14"/>
                <w:szCs w:val="14"/>
                <w:b w:val="1"/>
                <w:bCs w:val="1"/>
                <w:color w:val="55565A"/>
              </w:rPr>
              <w:t>(53)</w:t>
            </w:r>
          </w:p>
        </w:tc>
        <w:tc>
          <w:tcPr>
            <w:tcW w:w="1720" w:type="dxa"/>
            <w:vAlign w:val="bottom"/>
          </w:tcPr>
          <w:p>
            <w:pPr>
              <w:jc w:val="right"/>
              <w:ind w:right="289"/>
              <w:spacing w:after="0"/>
              <w:rPr>
                <w:sz w:val="20"/>
                <w:szCs w:val="20"/>
                <w:color w:val="auto"/>
              </w:rPr>
            </w:pPr>
            <w:r>
              <w:rPr>
                <w:rFonts w:ascii="Arial" w:cs="Arial" w:eastAsia="Arial" w:hAnsi="Arial"/>
                <w:sz w:val="14"/>
                <w:szCs w:val="14"/>
                <w:b w:val="1"/>
                <w:bCs w:val="1"/>
                <w:color w:val="55565A"/>
              </w:rPr>
              <w:t>-</w:t>
            </w:r>
          </w:p>
        </w:tc>
        <w:tc>
          <w:tcPr>
            <w:tcW w:w="1440" w:type="dxa"/>
            <w:vAlign w:val="bottom"/>
          </w:tcPr>
          <w:p>
            <w:pPr>
              <w:jc w:val="right"/>
              <w:ind w:right="309"/>
              <w:spacing w:after="0"/>
              <w:rPr>
                <w:sz w:val="20"/>
                <w:szCs w:val="20"/>
                <w:color w:val="auto"/>
              </w:rPr>
            </w:pPr>
            <w:r>
              <w:rPr>
                <w:rFonts w:ascii="Arial" w:cs="Arial" w:eastAsia="Arial" w:hAnsi="Arial"/>
                <w:sz w:val="14"/>
                <w:szCs w:val="14"/>
                <w:b w:val="1"/>
                <w:bCs w:val="1"/>
                <w:color w:val="55565A"/>
              </w:rPr>
              <w:t>-</w:t>
            </w:r>
          </w:p>
        </w:tc>
        <w:tc>
          <w:tcPr>
            <w:tcW w:w="1200" w:type="dxa"/>
            <w:vAlign w:val="bottom"/>
          </w:tcPr>
          <w:p>
            <w:pPr>
              <w:jc w:val="right"/>
              <w:ind w:right="289"/>
              <w:spacing w:after="0"/>
              <w:rPr>
                <w:sz w:val="20"/>
                <w:szCs w:val="20"/>
                <w:color w:val="auto"/>
              </w:rPr>
            </w:pPr>
            <w:r>
              <w:rPr>
                <w:rFonts w:ascii="Arial" w:cs="Arial" w:eastAsia="Arial" w:hAnsi="Arial"/>
                <w:sz w:val="14"/>
                <w:szCs w:val="14"/>
                <w:b w:val="1"/>
                <w:bCs w:val="1"/>
                <w:color w:val="55565A"/>
              </w:rPr>
              <w:t>(390)</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55565A"/>
              </w:rPr>
              <w:t>Long-term indebtedness</w:t>
            </w:r>
          </w:p>
        </w:tc>
        <w:tc>
          <w:tcPr>
            <w:tcW w:w="186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(2,879)</w:t>
            </w:r>
          </w:p>
        </w:tc>
        <w:tc>
          <w:tcPr>
            <w:tcW w:w="134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55565A"/>
              </w:rPr>
              <w:t>-</w:t>
            </w:r>
          </w:p>
        </w:tc>
        <w:tc>
          <w:tcPr>
            <w:tcW w:w="172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55565A"/>
              </w:rPr>
              <w:t>-</w:t>
            </w:r>
          </w:p>
        </w:tc>
        <w:tc>
          <w:tcPr>
            <w:tcW w:w="120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(2,879)</w:t>
            </w:r>
          </w:p>
        </w:tc>
      </w:tr>
      <w:tr>
        <w:trPr>
          <w:trHeight w:val="160"/>
        </w:trPr>
        <w:tc>
          <w:tcPr>
            <w:tcW w:w="20" w:type="dxa"/>
            <w:vAlign w:val="bottom"/>
          </w:tcPr>
          <w:p>
            <w:pPr>
              <w:spacing w:after="0"/>
              <w:rPr>
                <w:sz w:val="13"/>
                <w:szCs w:val="13"/>
                <w:color w:val="auto"/>
              </w:rPr>
            </w:pPr>
          </w:p>
        </w:tc>
        <w:tc>
          <w:tcPr>
            <w:tcW w:w="3340" w:type="dxa"/>
            <w:vAlign w:val="bottom"/>
            <w:tcBorders>
              <w:bottom w:val="single" w:sz="8" w:color="88888B"/>
            </w:tcBorders>
          </w:tcPr>
          <w:p>
            <w:pPr>
              <w:spacing w:after="0" w:line="161" w:lineRule="exact"/>
              <w:rPr>
                <w:sz w:val="20"/>
                <w:szCs w:val="20"/>
                <w:color w:val="auto"/>
              </w:rPr>
            </w:pPr>
            <w:r>
              <w:rPr>
                <w:rFonts w:ascii="Arial" w:cs="Arial" w:eastAsia="Arial" w:hAnsi="Arial"/>
                <w:sz w:val="12"/>
                <w:szCs w:val="12"/>
                <w:color w:val="55565A"/>
              </w:rPr>
              <w:t>Other financial liabilities - non current</w:t>
            </w:r>
            <w:r>
              <w:rPr>
                <w:rFonts w:ascii="Arial" w:cs="Arial" w:eastAsia="Arial" w:hAnsi="Arial"/>
                <w:sz w:val="18"/>
                <w:szCs w:val="18"/>
                <w:color w:val="55565A"/>
                <w:vertAlign w:val="superscript"/>
              </w:rPr>
              <w:t>(3)</w:t>
            </w:r>
          </w:p>
        </w:tc>
        <w:tc>
          <w:tcPr>
            <w:tcW w:w="186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(232)</w:t>
            </w:r>
          </w:p>
        </w:tc>
        <w:tc>
          <w:tcPr>
            <w:tcW w:w="1340" w:type="dxa"/>
            <w:vAlign w:val="bottom"/>
            <w:tcBorders>
              <w:bottom w:val="single" w:sz="8" w:color="88888B"/>
            </w:tcBorders>
          </w:tcPr>
          <w:p>
            <w:pPr>
              <w:jc w:val="right"/>
              <w:ind w:right="269"/>
              <w:spacing w:after="0"/>
              <w:rPr>
                <w:sz w:val="20"/>
                <w:szCs w:val="20"/>
                <w:color w:val="auto"/>
              </w:rPr>
            </w:pPr>
            <w:r>
              <w:rPr>
                <w:rFonts w:ascii="Arial" w:cs="Arial" w:eastAsia="Arial" w:hAnsi="Arial"/>
                <w:sz w:val="14"/>
                <w:szCs w:val="14"/>
                <w:b w:val="1"/>
                <w:bCs w:val="1"/>
                <w:color w:val="55565A"/>
              </w:rPr>
              <w:t>(21)</w:t>
            </w:r>
          </w:p>
        </w:tc>
        <w:tc>
          <w:tcPr>
            <w:tcW w:w="172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b w:val="1"/>
                <w:bCs w:val="1"/>
                <w:color w:val="55565A"/>
              </w:rPr>
              <w:t>-</w:t>
            </w:r>
          </w:p>
        </w:tc>
        <w:tc>
          <w:tcPr>
            <w:tcW w:w="1440" w:type="dxa"/>
            <w:vAlign w:val="bottom"/>
            <w:tcBorders>
              <w:bottom w:val="single" w:sz="8" w:color="88888B"/>
            </w:tcBorders>
          </w:tcPr>
          <w:p>
            <w:pPr>
              <w:jc w:val="right"/>
              <w:ind w:right="309"/>
              <w:spacing w:after="0"/>
              <w:rPr>
                <w:sz w:val="20"/>
                <w:szCs w:val="20"/>
                <w:color w:val="auto"/>
              </w:rPr>
            </w:pPr>
            <w:r>
              <w:rPr>
                <w:rFonts w:ascii="Arial" w:cs="Arial" w:eastAsia="Arial" w:hAnsi="Arial"/>
                <w:sz w:val="14"/>
                <w:szCs w:val="14"/>
                <w:b w:val="1"/>
                <w:bCs w:val="1"/>
                <w:color w:val="55565A"/>
              </w:rPr>
              <w:t>-</w:t>
            </w:r>
          </w:p>
        </w:tc>
        <w:tc>
          <w:tcPr>
            <w:tcW w:w="120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b w:val="1"/>
                <w:bCs w:val="1"/>
                <w:color w:val="55565A"/>
              </w:rPr>
              <w:t>(253)</w:t>
            </w:r>
          </w:p>
        </w:tc>
      </w:tr>
      <w:tr>
        <w:trPr>
          <w:trHeight w:val="154"/>
        </w:trPr>
        <w:tc>
          <w:tcPr>
            <w:tcW w:w="20" w:type="dxa"/>
            <w:vAlign w:val="bottom"/>
          </w:tcPr>
          <w:p>
            <w:pPr>
              <w:spacing w:after="0"/>
              <w:rPr>
                <w:sz w:val="13"/>
                <w:szCs w:val="13"/>
                <w:color w:val="auto"/>
              </w:rPr>
            </w:pPr>
          </w:p>
        </w:tc>
        <w:tc>
          <w:tcPr>
            <w:tcW w:w="3340" w:type="dxa"/>
            <w:vAlign w:val="bottom"/>
            <w:tcBorders>
              <w:bottom w:val="single" w:sz="8" w:color="88888B"/>
            </w:tcBorders>
            <w:shd w:val="clear" w:color="auto" w:fill="CCEEFF"/>
          </w:tcPr>
          <w:p>
            <w:pPr>
              <w:spacing w:after="0" w:line="154" w:lineRule="exact"/>
              <w:rPr>
                <w:sz w:val="20"/>
                <w:szCs w:val="20"/>
                <w:color w:val="auto"/>
              </w:rPr>
            </w:pPr>
            <w:r>
              <w:rPr>
                <w:rFonts w:ascii="Arial" w:cs="Arial" w:eastAsia="Arial" w:hAnsi="Arial"/>
                <w:sz w:val="14"/>
                <w:szCs w:val="14"/>
                <w:color w:val="55565A"/>
              </w:rPr>
              <w:t>Total</w:t>
            </w:r>
          </w:p>
        </w:tc>
        <w:tc>
          <w:tcPr>
            <w:tcW w:w="1860" w:type="dxa"/>
            <w:vAlign w:val="bottom"/>
            <w:tcBorders>
              <w:bottom w:val="single" w:sz="8" w:color="88888B"/>
            </w:tcBorders>
            <w:shd w:val="clear" w:color="auto" w:fill="CCEEFF"/>
          </w:tcPr>
          <w:p>
            <w:pPr>
              <w:jc w:val="right"/>
              <w:ind w:right="249"/>
              <w:spacing w:after="0" w:line="154" w:lineRule="exact"/>
              <w:rPr>
                <w:sz w:val="20"/>
                <w:szCs w:val="20"/>
                <w:color w:val="auto"/>
              </w:rPr>
            </w:pPr>
            <w:r>
              <w:rPr>
                <w:rFonts w:ascii="Arial" w:cs="Arial" w:eastAsia="Arial" w:hAnsi="Arial"/>
                <w:sz w:val="14"/>
                <w:szCs w:val="14"/>
                <w:b w:val="1"/>
                <w:bCs w:val="1"/>
                <w:color w:val="55565A"/>
              </w:rPr>
              <w:t>(3,712)</w:t>
            </w:r>
          </w:p>
        </w:tc>
        <w:tc>
          <w:tcPr>
            <w:tcW w:w="1340" w:type="dxa"/>
            <w:vAlign w:val="bottom"/>
            <w:tcBorders>
              <w:bottom w:val="single" w:sz="8" w:color="88888B"/>
            </w:tcBorders>
            <w:shd w:val="clear" w:color="auto" w:fill="CCEEFF"/>
          </w:tcPr>
          <w:p>
            <w:pPr>
              <w:jc w:val="right"/>
              <w:ind w:right="269"/>
              <w:spacing w:after="0" w:line="154" w:lineRule="exact"/>
              <w:rPr>
                <w:sz w:val="20"/>
                <w:szCs w:val="20"/>
                <w:color w:val="auto"/>
              </w:rPr>
            </w:pPr>
            <w:r>
              <w:rPr>
                <w:rFonts w:ascii="Arial" w:cs="Arial" w:eastAsia="Arial" w:hAnsi="Arial"/>
                <w:sz w:val="14"/>
                <w:szCs w:val="14"/>
                <w:b w:val="1"/>
                <w:bCs w:val="1"/>
                <w:color w:val="55565A"/>
              </w:rPr>
              <w:t>1,715</w:t>
            </w:r>
          </w:p>
        </w:tc>
        <w:tc>
          <w:tcPr>
            <w:tcW w:w="1720" w:type="dxa"/>
            <w:vAlign w:val="bottom"/>
            <w:tcBorders>
              <w:bottom w:val="single" w:sz="8" w:color="88888B"/>
            </w:tcBorders>
            <w:shd w:val="clear" w:color="auto" w:fill="CCEEFF"/>
          </w:tcPr>
          <w:p>
            <w:pPr>
              <w:jc w:val="right"/>
              <w:ind w:right="289"/>
              <w:spacing w:after="0" w:line="154" w:lineRule="exact"/>
              <w:rPr>
                <w:sz w:val="20"/>
                <w:szCs w:val="20"/>
                <w:color w:val="auto"/>
              </w:rPr>
            </w:pPr>
            <w:r>
              <w:rPr>
                <w:rFonts w:ascii="Arial" w:cs="Arial" w:eastAsia="Arial" w:hAnsi="Arial"/>
                <w:sz w:val="14"/>
                <w:szCs w:val="14"/>
                <w:b w:val="1"/>
                <w:bCs w:val="1"/>
                <w:color w:val="55565A"/>
              </w:rPr>
              <w:t>105</w:t>
            </w:r>
          </w:p>
        </w:tc>
        <w:tc>
          <w:tcPr>
            <w:tcW w:w="1440" w:type="dxa"/>
            <w:vAlign w:val="bottom"/>
            <w:tcBorders>
              <w:bottom w:val="single" w:sz="8" w:color="88888B"/>
            </w:tcBorders>
            <w:shd w:val="clear" w:color="auto" w:fill="CCEEFF"/>
          </w:tcPr>
          <w:p>
            <w:pPr>
              <w:jc w:val="right"/>
              <w:ind w:right="309"/>
              <w:spacing w:after="0" w:line="154" w:lineRule="exact"/>
              <w:rPr>
                <w:sz w:val="20"/>
                <w:szCs w:val="20"/>
                <w:color w:val="auto"/>
              </w:rPr>
            </w:pPr>
            <w:r>
              <w:rPr>
                <w:rFonts w:ascii="Arial" w:cs="Arial" w:eastAsia="Arial" w:hAnsi="Arial"/>
                <w:sz w:val="14"/>
                <w:szCs w:val="14"/>
                <w:b w:val="1"/>
                <w:bCs w:val="1"/>
                <w:color w:val="55565A"/>
              </w:rPr>
              <w:t>42</w:t>
            </w:r>
          </w:p>
        </w:tc>
        <w:tc>
          <w:tcPr>
            <w:tcW w:w="1200" w:type="dxa"/>
            <w:vAlign w:val="bottom"/>
            <w:tcBorders>
              <w:bottom w:val="single" w:sz="8" w:color="88888B"/>
            </w:tcBorders>
            <w:shd w:val="clear" w:color="auto" w:fill="CCEEFF"/>
          </w:tcPr>
          <w:p>
            <w:pPr>
              <w:jc w:val="right"/>
              <w:ind w:right="289"/>
              <w:spacing w:after="0" w:line="154" w:lineRule="exact"/>
              <w:rPr>
                <w:sz w:val="20"/>
                <w:szCs w:val="20"/>
                <w:color w:val="auto"/>
              </w:rPr>
            </w:pPr>
            <w:r>
              <w:rPr>
                <w:rFonts w:ascii="Arial" w:cs="Arial" w:eastAsia="Arial" w:hAnsi="Arial"/>
                <w:sz w:val="14"/>
                <w:szCs w:val="14"/>
                <w:b w:val="1"/>
                <w:bCs w:val="1"/>
                <w:color w:val="55565A"/>
              </w:rPr>
              <w:t>(1,850)</w:t>
            </w:r>
          </w:p>
        </w:tc>
      </w:tr>
      <w:tr>
        <w:trPr>
          <w:trHeight w:val="154"/>
        </w:trPr>
        <w:tc>
          <w:tcPr>
            <w:tcW w:w="20" w:type="dxa"/>
            <w:vAlign w:val="bottom"/>
          </w:tcPr>
          <w:p>
            <w:pPr>
              <w:spacing w:after="0"/>
              <w:rPr>
                <w:sz w:val="13"/>
                <w:szCs w:val="13"/>
                <w:color w:val="auto"/>
              </w:rPr>
            </w:pPr>
          </w:p>
        </w:tc>
        <w:tc>
          <w:tcPr>
            <w:tcW w:w="3340" w:type="dxa"/>
            <w:vAlign w:val="bottom"/>
            <w:tcBorders>
              <w:bottom w:val="single" w:sz="8" w:color="88888B"/>
            </w:tcBorders>
          </w:tcPr>
          <w:p>
            <w:pPr>
              <w:spacing w:after="0"/>
              <w:rPr>
                <w:sz w:val="13"/>
                <w:szCs w:val="13"/>
                <w:color w:val="auto"/>
              </w:rPr>
            </w:pPr>
          </w:p>
        </w:tc>
        <w:tc>
          <w:tcPr>
            <w:tcW w:w="1860" w:type="dxa"/>
            <w:vAlign w:val="bottom"/>
            <w:tcBorders>
              <w:bottom w:val="single" w:sz="8" w:color="88888B"/>
            </w:tcBorders>
          </w:tcPr>
          <w:p>
            <w:pPr>
              <w:spacing w:after="0"/>
              <w:rPr>
                <w:sz w:val="13"/>
                <w:szCs w:val="13"/>
                <w:color w:val="auto"/>
              </w:rPr>
            </w:pPr>
          </w:p>
        </w:tc>
        <w:tc>
          <w:tcPr>
            <w:tcW w:w="1340" w:type="dxa"/>
            <w:vAlign w:val="bottom"/>
            <w:tcBorders>
              <w:bottom w:val="single" w:sz="8" w:color="88888B"/>
            </w:tcBorders>
          </w:tcPr>
          <w:p>
            <w:pPr>
              <w:spacing w:after="0"/>
              <w:rPr>
                <w:sz w:val="13"/>
                <w:szCs w:val="13"/>
                <w:color w:val="auto"/>
              </w:rPr>
            </w:pPr>
          </w:p>
        </w:tc>
        <w:tc>
          <w:tcPr>
            <w:tcW w:w="1720" w:type="dxa"/>
            <w:vAlign w:val="bottom"/>
            <w:tcBorders>
              <w:bottom w:val="single" w:sz="8" w:color="88888B"/>
            </w:tcBorders>
          </w:tcPr>
          <w:p>
            <w:pPr>
              <w:spacing w:after="0"/>
              <w:rPr>
                <w:sz w:val="13"/>
                <w:szCs w:val="13"/>
                <w:color w:val="auto"/>
              </w:rPr>
            </w:pPr>
          </w:p>
        </w:tc>
        <w:tc>
          <w:tcPr>
            <w:tcW w:w="1440" w:type="dxa"/>
            <w:vAlign w:val="bottom"/>
            <w:tcBorders>
              <w:bottom w:val="single" w:sz="8" w:color="88888B"/>
            </w:tcBorders>
          </w:tcPr>
          <w:p>
            <w:pPr>
              <w:spacing w:after="0"/>
              <w:rPr>
                <w:sz w:val="13"/>
                <w:szCs w:val="13"/>
                <w:color w:val="auto"/>
              </w:rPr>
            </w:pPr>
          </w:p>
        </w:tc>
        <w:tc>
          <w:tcPr>
            <w:tcW w:w="1200" w:type="dxa"/>
            <w:vAlign w:val="bottom"/>
            <w:tcBorders>
              <w:bottom w:val="single" w:sz="8" w:color="88888B"/>
            </w:tcBorders>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color w:val="55565A"/>
              </w:rPr>
              <w:t>Assets/</w:t>
            </w:r>
          </w:p>
        </w:tc>
        <w:tc>
          <w:tcPr>
            <w:tcW w:w="1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60" w:type="dxa"/>
            <w:vAlign w:val="bottom"/>
          </w:tcPr>
          <w:p>
            <w:pPr>
              <w:jc w:val="center"/>
              <w:ind w:left="469"/>
              <w:spacing w:after="0"/>
              <w:rPr>
                <w:sz w:val="20"/>
                <w:szCs w:val="20"/>
                <w:color w:val="auto"/>
              </w:rPr>
            </w:pPr>
            <w:r>
              <w:rPr>
                <w:rFonts w:ascii="Arial" w:cs="Arial" w:eastAsia="Arial" w:hAnsi="Arial"/>
                <w:sz w:val="14"/>
                <w:szCs w:val="14"/>
                <w:color w:val="55565A"/>
              </w:rPr>
              <w:t>Assets/</w:t>
            </w:r>
          </w:p>
        </w:tc>
        <w:tc>
          <w:tcPr>
            <w:tcW w:w="1340" w:type="dxa"/>
            <w:vAlign w:val="bottom"/>
          </w:tcPr>
          <w:p>
            <w:pPr>
              <w:jc w:val="center"/>
              <w:spacing w:after="0"/>
              <w:rPr>
                <w:sz w:val="20"/>
                <w:szCs w:val="20"/>
                <w:color w:val="auto"/>
              </w:rPr>
            </w:pPr>
            <w:r>
              <w:rPr>
                <w:rFonts w:ascii="Arial" w:cs="Arial" w:eastAsia="Arial" w:hAnsi="Arial"/>
                <w:sz w:val="14"/>
                <w:szCs w:val="14"/>
                <w:color w:val="55565A"/>
              </w:rPr>
              <w:t>(Liabilities)</w:t>
            </w:r>
          </w:p>
        </w:tc>
        <w:tc>
          <w:tcPr>
            <w:tcW w:w="1720" w:type="dxa"/>
            <w:vAlign w:val="bottom"/>
          </w:tcPr>
          <w:p>
            <w:pPr>
              <w:jc w:val="center"/>
              <w:spacing w:after="0"/>
              <w:rPr>
                <w:sz w:val="20"/>
                <w:szCs w:val="20"/>
                <w:color w:val="auto"/>
              </w:rPr>
            </w:pPr>
            <w:r>
              <w:rPr>
                <w:rFonts w:ascii="Arial" w:cs="Arial" w:eastAsia="Arial" w:hAnsi="Arial"/>
                <w:sz w:val="14"/>
                <w:szCs w:val="14"/>
                <w:color w:val="55565A"/>
              </w:rPr>
              <w:t>Assets at Fair</w:t>
            </w:r>
          </w:p>
        </w:tc>
        <w:tc>
          <w:tcPr>
            <w:tcW w:w="14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60" w:type="dxa"/>
            <w:vAlign w:val="bottom"/>
          </w:tcPr>
          <w:p>
            <w:pPr>
              <w:jc w:val="center"/>
              <w:ind w:left="469"/>
              <w:spacing w:after="0"/>
              <w:rPr>
                <w:sz w:val="20"/>
                <w:szCs w:val="20"/>
                <w:color w:val="auto"/>
              </w:rPr>
            </w:pPr>
            <w:r>
              <w:rPr>
                <w:rFonts w:ascii="Arial" w:cs="Arial" w:eastAsia="Arial" w:hAnsi="Arial"/>
                <w:sz w:val="14"/>
                <w:szCs w:val="14"/>
                <w:color w:val="55565A"/>
              </w:rPr>
              <w:t>(Liabilities)</w:t>
            </w:r>
          </w:p>
        </w:tc>
        <w:tc>
          <w:tcPr>
            <w:tcW w:w="1340" w:type="dxa"/>
            <w:vAlign w:val="bottom"/>
          </w:tcPr>
          <w:p>
            <w:pPr>
              <w:jc w:val="center"/>
              <w:spacing w:after="0"/>
              <w:rPr>
                <w:sz w:val="20"/>
                <w:szCs w:val="20"/>
                <w:color w:val="auto"/>
              </w:rPr>
            </w:pPr>
            <w:r>
              <w:rPr>
                <w:rFonts w:ascii="Arial" w:cs="Arial" w:eastAsia="Arial" w:hAnsi="Arial"/>
                <w:sz w:val="14"/>
                <w:szCs w:val="14"/>
                <w:color w:val="55565A"/>
              </w:rPr>
              <w:t>at Fair</w:t>
            </w:r>
          </w:p>
        </w:tc>
        <w:tc>
          <w:tcPr>
            <w:tcW w:w="1720" w:type="dxa"/>
            <w:vAlign w:val="bottom"/>
          </w:tcPr>
          <w:p>
            <w:pPr>
              <w:jc w:val="center"/>
              <w:spacing w:after="0"/>
              <w:rPr>
                <w:sz w:val="20"/>
                <w:szCs w:val="20"/>
                <w:color w:val="auto"/>
              </w:rPr>
            </w:pPr>
            <w:r>
              <w:rPr>
                <w:rFonts w:ascii="Arial" w:cs="Arial" w:eastAsia="Arial" w:hAnsi="Arial"/>
                <w:sz w:val="14"/>
                <w:szCs w:val="14"/>
                <w:color w:val="55565A"/>
              </w:rPr>
              <w:t>Value through</w:t>
            </w:r>
          </w:p>
        </w:tc>
        <w:tc>
          <w:tcPr>
            <w:tcW w:w="14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60" w:type="dxa"/>
            <w:vAlign w:val="bottom"/>
          </w:tcPr>
          <w:p>
            <w:pPr>
              <w:jc w:val="center"/>
              <w:ind w:left="469"/>
              <w:spacing w:after="0"/>
              <w:rPr>
                <w:sz w:val="20"/>
                <w:szCs w:val="20"/>
                <w:color w:val="auto"/>
              </w:rPr>
            </w:pPr>
            <w:r>
              <w:rPr>
                <w:rFonts w:ascii="Arial" w:cs="Arial" w:eastAsia="Arial" w:hAnsi="Arial"/>
                <w:sz w:val="14"/>
                <w:szCs w:val="14"/>
                <w:color w:val="55565A"/>
              </w:rPr>
              <w:t>at</w:t>
            </w:r>
          </w:p>
        </w:tc>
        <w:tc>
          <w:tcPr>
            <w:tcW w:w="1340" w:type="dxa"/>
            <w:vAlign w:val="bottom"/>
          </w:tcPr>
          <w:p>
            <w:pPr>
              <w:jc w:val="center"/>
              <w:spacing w:after="0"/>
              <w:rPr>
                <w:sz w:val="20"/>
                <w:szCs w:val="20"/>
                <w:color w:val="auto"/>
              </w:rPr>
            </w:pPr>
            <w:r>
              <w:rPr>
                <w:rFonts w:ascii="Arial" w:cs="Arial" w:eastAsia="Arial" w:hAnsi="Arial"/>
                <w:sz w:val="14"/>
                <w:szCs w:val="14"/>
                <w:color w:val="55565A"/>
                <w:w w:val="94"/>
              </w:rPr>
              <w:t>Value</w:t>
            </w:r>
          </w:p>
        </w:tc>
        <w:tc>
          <w:tcPr>
            <w:tcW w:w="1720" w:type="dxa"/>
            <w:vAlign w:val="bottom"/>
          </w:tcPr>
          <w:p>
            <w:pPr>
              <w:jc w:val="center"/>
              <w:spacing w:after="0"/>
              <w:rPr>
                <w:sz w:val="20"/>
                <w:szCs w:val="20"/>
                <w:color w:val="auto"/>
              </w:rPr>
            </w:pPr>
            <w:r>
              <w:rPr>
                <w:rFonts w:ascii="Arial" w:cs="Arial" w:eastAsia="Arial" w:hAnsi="Arial"/>
                <w:sz w:val="14"/>
                <w:szCs w:val="14"/>
                <w:color w:val="55565A"/>
              </w:rPr>
              <w:t>Other</w:t>
            </w:r>
          </w:p>
        </w:tc>
        <w:tc>
          <w:tcPr>
            <w:tcW w:w="1440" w:type="dxa"/>
            <w:vAlign w:val="bottom"/>
          </w:tcPr>
          <w:p>
            <w:pPr>
              <w:jc w:val="center"/>
              <w:spacing w:after="0"/>
              <w:rPr>
                <w:sz w:val="20"/>
                <w:szCs w:val="20"/>
                <w:color w:val="auto"/>
              </w:rPr>
            </w:pPr>
            <w:r>
              <w:rPr>
                <w:rFonts w:ascii="Arial" w:cs="Arial" w:eastAsia="Arial" w:hAnsi="Arial"/>
                <w:sz w:val="14"/>
                <w:szCs w:val="14"/>
                <w:color w:val="55565A"/>
              </w:rPr>
              <w:t>Derivatives</w:t>
            </w:r>
          </w:p>
        </w:tc>
        <w:tc>
          <w:tcPr>
            <w:tcW w:w="12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60" w:type="dxa"/>
            <w:vAlign w:val="bottom"/>
          </w:tcPr>
          <w:p>
            <w:pPr>
              <w:jc w:val="center"/>
              <w:ind w:left="469"/>
              <w:spacing w:after="0"/>
              <w:rPr>
                <w:sz w:val="20"/>
                <w:szCs w:val="20"/>
                <w:color w:val="auto"/>
              </w:rPr>
            </w:pPr>
            <w:r>
              <w:rPr>
                <w:rFonts w:ascii="Arial" w:cs="Arial" w:eastAsia="Arial" w:hAnsi="Arial"/>
                <w:sz w:val="14"/>
                <w:szCs w:val="14"/>
                <w:color w:val="55565A"/>
              </w:rPr>
              <w:t>Amortized</w:t>
            </w:r>
          </w:p>
        </w:tc>
        <w:tc>
          <w:tcPr>
            <w:tcW w:w="1340" w:type="dxa"/>
            <w:vAlign w:val="bottom"/>
          </w:tcPr>
          <w:p>
            <w:pPr>
              <w:jc w:val="center"/>
              <w:spacing w:after="0"/>
              <w:rPr>
                <w:sz w:val="20"/>
                <w:szCs w:val="20"/>
                <w:color w:val="auto"/>
              </w:rPr>
            </w:pPr>
            <w:r>
              <w:rPr>
                <w:rFonts w:ascii="Arial" w:cs="Arial" w:eastAsia="Arial" w:hAnsi="Arial"/>
                <w:sz w:val="14"/>
                <w:szCs w:val="14"/>
                <w:color w:val="55565A"/>
              </w:rPr>
              <w:t>through</w:t>
            </w:r>
          </w:p>
        </w:tc>
        <w:tc>
          <w:tcPr>
            <w:tcW w:w="1720" w:type="dxa"/>
            <w:vAlign w:val="bottom"/>
          </w:tcPr>
          <w:p>
            <w:pPr>
              <w:jc w:val="center"/>
              <w:spacing w:after="0"/>
              <w:rPr>
                <w:sz w:val="20"/>
                <w:szCs w:val="20"/>
                <w:color w:val="auto"/>
              </w:rPr>
            </w:pPr>
            <w:r>
              <w:rPr>
                <w:rFonts w:ascii="Arial" w:cs="Arial" w:eastAsia="Arial" w:hAnsi="Arial"/>
                <w:sz w:val="14"/>
                <w:szCs w:val="14"/>
                <w:color w:val="55565A"/>
              </w:rPr>
              <w:t>Comprehensive</w:t>
            </w:r>
          </w:p>
        </w:tc>
        <w:tc>
          <w:tcPr>
            <w:tcW w:w="1440" w:type="dxa"/>
            <w:vAlign w:val="bottom"/>
          </w:tcPr>
          <w:p>
            <w:pPr>
              <w:jc w:val="center"/>
              <w:spacing w:after="0"/>
              <w:rPr>
                <w:sz w:val="20"/>
                <w:szCs w:val="20"/>
                <w:color w:val="auto"/>
              </w:rPr>
            </w:pPr>
            <w:r>
              <w:rPr>
                <w:rFonts w:ascii="Arial" w:cs="Arial" w:eastAsia="Arial" w:hAnsi="Arial"/>
                <w:sz w:val="14"/>
                <w:szCs w:val="14"/>
                <w:color w:val="55565A"/>
              </w:rPr>
              <w:t>Used for</w:t>
            </w:r>
          </w:p>
        </w:tc>
        <w:tc>
          <w:tcPr>
            <w:tcW w:w="1200" w:type="dxa"/>
            <w:vAlign w:val="bottom"/>
          </w:tcPr>
          <w:p>
            <w:pPr>
              <w:spacing w:after="0"/>
              <w:rPr>
                <w:sz w:val="13"/>
                <w:szCs w:val="13"/>
                <w:color w:val="auto"/>
              </w:rPr>
            </w:pPr>
          </w:p>
        </w:tc>
      </w:tr>
      <w:tr>
        <w:trPr>
          <w:trHeight w:val="189"/>
        </w:trPr>
        <w:tc>
          <w:tcPr>
            <w:tcW w:w="3360" w:type="dxa"/>
            <w:vAlign w:val="bottom"/>
            <w:gridSpan w:val="2"/>
          </w:tcPr>
          <w:p>
            <w:pPr>
              <w:spacing w:after="0"/>
              <w:rPr>
                <w:sz w:val="20"/>
                <w:szCs w:val="20"/>
                <w:color w:val="auto"/>
              </w:rPr>
            </w:pPr>
            <w:r>
              <w:rPr>
                <w:rFonts w:ascii="Arial" w:cs="Arial" w:eastAsia="Arial" w:hAnsi="Arial"/>
                <w:sz w:val="14"/>
                <w:szCs w:val="14"/>
                <w:color w:val="55565A"/>
              </w:rPr>
              <w:t>December 31, 2023</w:t>
            </w:r>
          </w:p>
        </w:tc>
        <w:tc>
          <w:tcPr>
            <w:tcW w:w="1860" w:type="dxa"/>
            <w:vAlign w:val="bottom"/>
          </w:tcPr>
          <w:p>
            <w:pPr>
              <w:jc w:val="center"/>
              <w:ind w:left="469"/>
              <w:spacing w:after="0"/>
              <w:rPr>
                <w:sz w:val="20"/>
                <w:szCs w:val="20"/>
                <w:color w:val="auto"/>
              </w:rPr>
            </w:pPr>
            <w:r>
              <w:rPr>
                <w:rFonts w:ascii="Arial" w:cs="Arial" w:eastAsia="Arial" w:hAnsi="Arial"/>
                <w:sz w:val="14"/>
                <w:szCs w:val="14"/>
                <w:color w:val="55565A"/>
                <w:w w:val="97"/>
              </w:rPr>
              <w:t>Cost</w:t>
            </w:r>
          </w:p>
        </w:tc>
        <w:tc>
          <w:tcPr>
            <w:tcW w:w="1340" w:type="dxa"/>
            <w:vAlign w:val="bottom"/>
          </w:tcPr>
          <w:p>
            <w:pPr>
              <w:jc w:val="center"/>
              <w:spacing w:after="0"/>
              <w:rPr>
                <w:sz w:val="20"/>
                <w:szCs w:val="20"/>
                <w:color w:val="auto"/>
              </w:rPr>
            </w:pPr>
            <w:r>
              <w:rPr>
                <w:rFonts w:ascii="Arial" w:cs="Arial" w:eastAsia="Arial" w:hAnsi="Arial"/>
                <w:sz w:val="14"/>
                <w:szCs w:val="14"/>
                <w:color w:val="55565A"/>
              </w:rPr>
              <w:t>Earnings</w:t>
            </w:r>
          </w:p>
        </w:tc>
        <w:tc>
          <w:tcPr>
            <w:tcW w:w="1720" w:type="dxa"/>
            <w:vAlign w:val="bottom"/>
          </w:tcPr>
          <w:p>
            <w:pPr>
              <w:jc w:val="center"/>
              <w:spacing w:after="0"/>
              <w:rPr>
                <w:sz w:val="20"/>
                <w:szCs w:val="20"/>
                <w:color w:val="auto"/>
              </w:rPr>
            </w:pPr>
            <w:r>
              <w:rPr>
                <w:rFonts w:ascii="Arial" w:cs="Arial" w:eastAsia="Arial" w:hAnsi="Arial"/>
                <w:sz w:val="14"/>
                <w:szCs w:val="14"/>
                <w:color w:val="55565A"/>
              </w:rPr>
              <w:t>Income or Loss</w:t>
            </w:r>
          </w:p>
        </w:tc>
        <w:tc>
          <w:tcPr>
            <w:tcW w:w="1440" w:type="dxa"/>
            <w:vAlign w:val="bottom"/>
          </w:tcPr>
          <w:p>
            <w:pPr>
              <w:jc w:val="center"/>
              <w:spacing w:after="0"/>
              <w:rPr>
                <w:sz w:val="20"/>
                <w:szCs w:val="20"/>
                <w:color w:val="auto"/>
              </w:rPr>
            </w:pPr>
            <w:r>
              <w:rPr>
                <w:rFonts w:ascii="Arial" w:cs="Arial" w:eastAsia="Arial" w:hAnsi="Arial"/>
                <w:sz w:val="14"/>
                <w:szCs w:val="14"/>
                <w:color w:val="55565A"/>
              </w:rPr>
              <w:t>Hedging</w:t>
            </w:r>
          </w:p>
        </w:tc>
        <w:tc>
          <w:tcPr>
            <w:tcW w:w="1200" w:type="dxa"/>
            <w:vAlign w:val="bottom"/>
          </w:tcPr>
          <w:p>
            <w:pPr>
              <w:jc w:val="right"/>
              <w:ind w:right="389"/>
              <w:spacing w:after="0"/>
              <w:rPr>
                <w:sz w:val="20"/>
                <w:szCs w:val="20"/>
                <w:color w:val="auto"/>
              </w:rPr>
            </w:pPr>
            <w:r>
              <w:rPr>
                <w:rFonts w:ascii="Arial" w:cs="Arial" w:eastAsia="Arial" w:hAnsi="Arial"/>
                <w:sz w:val="14"/>
                <w:szCs w:val="14"/>
                <w:color w:val="55565A"/>
              </w:rPr>
              <w:t>Total</w:t>
            </w:r>
          </w:p>
        </w:tc>
      </w:tr>
      <w:tr>
        <w:trPr>
          <w:trHeight w:val="34"/>
        </w:trPr>
        <w:tc>
          <w:tcPr>
            <w:tcW w:w="20" w:type="dxa"/>
            <w:vAlign w:val="bottom"/>
          </w:tcPr>
          <w:p>
            <w:pPr>
              <w:spacing w:after="0"/>
              <w:rPr>
                <w:sz w:val="2"/>
                <w:szCs w:val="2"/>
                <w:color w:val="auto"/>
              </w:rPr>
            </w:pPr>
          </w:p>
        </w:tc>
        <w:tc>
          <w:tcPr>
            <w:tcW w:w="3340" w:type="dxa"/>
            <w:vAlign w:val="bottom"/>
            <w:tcBorders>
              <w:bottom w:val="single" w:sz="8" w:color="88888B"/>
            </w:tcBorders>
          </w:tcPr>
          <w:p>
            <w:pPr>
              <w:spacing w:after="0"/>
              <w:rPr>
                <w:sz w:val="2"/>
                <w:szCs w:val="2"/>
                <w:color w:val="auto"/>
              </w:rPr>
            </w:pPr>
          </w:p>
        </w:tc>
        <w:tc>
          <w:tcPr>
            <w:tcW w:w="1860" w:type="dxa"/>
            <w:vAlign w:val="bottom"/>
            <w:tcBorders>
              <w:bottom w:val="single" w:sz="8" w:color="88888B"/>
            </w:tcBorders>
          </w:tcPr>
          <w:p>
            <w:pPr>
              <w:spacing w:after="0"/>
              <w:rPr>
                <w:sz w:val="2"/>
                <w:szCs w:val="2"/>
                <w:color w:val="auto"/>
              </w:rPr>
            </w:pPr>
          </w:p>
        </w:tc>
        <w:tc>
          <w:tcPr>
            <w:tcW w:w="1340" w:type="dxa"/>
            <w:vAlign w:val="bottom"/>
            <w:tcBorders>
              <w:bottom w:val="single" w:sz="8" w:color="88888B"/>
            </w:tcBorders>
          </w:tcPr>
          <w:p>
            <w:pPr>
              <w:spacing w:after="0"/>
              <w:rPr>
                <w:sz w:val="2"/>
                <w:szCs w:val="2"/>
                <w:color w:val="auto"/>
              </w:rPr>
            </w:pPr>
          </w:p>
        </w:tc>
        <w:tc>
          <w:tcPr>
            <w:tcW w:w="1720" w:type="dxa"/>
            <w:vAlign w:val="bottom"/>
            <w:tcBorders>
              <w:bottom w:val="single" w:sz="8" w:color="88888B"/>
            </w:tcBorders>
          </w:tcPr>
          <w:p>
            <w:pPr>
              <w:spacing w:after="0"/>
              <w:rPr>
                <w:sz w:val="2"/>
                <w:szCs w:val="2"/>
                <w:color w:val="auto"/>
              </w:rPr>
            </w:pPr>
          </w:p>
        </w:tc>
        <w:tc>
          <w:tcPr>
            <w:tcW w:w="1440" w:type="dxa"/>
            <w:vAlign w:val="bottom"/>
            <w:tcBorders>
              <w:bottom w:val="single" w:sz="8" w:color="88888B"/>
            </w:tcBorders>
          </w:tcPr>
          <w:p>
            <w:pPr>
              <w:spacing w:after="0"/>
              <w:rPr>
                <w:sz w:val="2"/>
                <w:szCs w:val="2"/>
                <w:color w:val="auto"/>
              </w:rPr>
            </w:pPr>
          </w:p>
        </w:tc>
        <w:tc>
          <w:tcPr>
            <w:tcW w:w="1200" w:type="dxa"/>
            <w:vAlign w:val="bottom"/>
            <w:tcBorders>
              <w:bottom w:val="single" w:sz="8" w:color="88888B"/>
            </w:tcBorders>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334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Cash and cash equivalents</w:t>
            </w:r>
          </w:p>
        </w:tc>
        <w:tc>
          <w:tcPr>
            <w:tcW w:w="1860" w:type="dxa"/>
            <w:vAlign w:val="bottom"/>
            <w:shd w:val="clear" w:color="auto" w:fill="CCEEFF"/>
          </w:tcPr>
          <w:p>
            <w:pPr>
              <w:jc w:val="right"/>
              <w:ind w:right="249"/>
              <w:spacing w:after="0" w:line="154" w:lineRule="exact"/>
              <w:rPr>
                <w:sz w:val="20"/>
                <w:szCs w:val="20"/>
                <w:color w:val="auto"/>
              </w:rPr>
            </w:pPr>
            <w:r>
              <w:rPr>
                <w:rFonts w:ascii="Arial" w:cs="Arial" w:eastAsia="Arial" w:hAnsi="Arial"/>
                <w:sz w:val="14"/>
                <w:szCs w:val="14"/>
                <w:color w:val="55565A"/>
              </w:rPr>
              <w:t>392</w:t>
            </w:r>
          </w:p>
        </w:tc>
        <w:tc>
          <w:tcPr>
            <w:tcW w:w="1340" w:type="dxa"/>
            <w:vAlign w:val="bottom"/>
            <w:shd w:val="clear" w:color="auto" w:fill="CCEEFF"/>
          </w:tcPr>
          <w:p>
            <w:pPr>
              <w:jc w:val="right"/>
              <w:ind w:right="269"/>
              <w:spacing w:after="0" w:line="154" w:lineRule="exact"/>
              <w:rPr>
                <w:sz w:val="20"/>
                <w:szCs w:val="20"/>
                <w:color w:val="auto"/>
              </w:rPr>
            </w:pPr>
            <w:r>
              <w:rPr>
                <w:rFonts w:ascii="Arial" w:cs="Arial" w:eastAsia="Arial" w:hAnsi="Arial"/>
                <w:sz w:val="14"/>
                <w:szCs w:val="14"/>
                <w:color w:val="55565A"/>
              </w:rPr>
              <w:t>906</w:t>
            </w:r>
          </w:p>
        </w:tc>
        <w:tc>
          <w:tcPr>
            <w:tcW w:w="1720" w:type="dxa"/>
            <w:vAlign w:val="bottom"/>
            <w:shd w:val="clear" w:color="auto" w:fill="CCEEFF"/>
          </w:tcPr>
          <w:p>
            <w:pPr>
              <w:jc w:val="right"/>
              <w:ind w:right="289"/>
              <w:spacing w:after="0" w:line="154" w:lineRule="exact"/>
              <w:rPr>
                <w:sz w:val="20"/>
                <w:szCs w:val="20"/>
                <w:color w:val="auto"/>
              </w:rPr>
            </w:pPr>
            <w:r>
              <w:rPr>
                <w:rFonts w:ascii="Arial" w:cs="Arial" w:eastAsia="Arial" w:hAnsi="Arial"/>
                <w:sz w:val="14"/>
                <w:szCs w:val="14"/>
                <w:color w:val="55565A"/>
              </w:rPr>
              <w:t>-</w:t>
            </w:r>
          </w:p>
        </w:tc>
        <w:tc>
          <w:tcPr>
            <w:tcW w:w="1440" w:type="dxa"/>
            <w:vAlign w:val="bottom"/>
            <w:shd w:val="clear" w:color="auto" w:fill="CCEEFF"/>
          </w:tcPr>
          <w:p>
            <w:pPr>
              <w:jc w:val="right"/>
              <w:ind w:right="309"/>
              <w:spacing w:after="0" w:line="154" w:lineRule="exact"/>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289"/>
              <w:spacing w:after="0" w:line="154" w:lineRule="exact"/>
              <w:rPr>
                <w:sz w:val="20"/>
                <w:szCs w:val="20"/>
                <w:color w:val="auto"/>
              </w:rPr>
            </w:pPr>
            <w:r>
              <w:rPr>
                <w:rFonts w:ascii="Arial" w:cs="Arial" w:eastAsia="Arial" w:hAnsi="Arial"/>
                <w:sz w:val="14"/>
                <w:szCs w:val="14"/>
                <w:color w:val="55565A"/>
              </w:rPr>
              <w:t>1,298</w:t>
            </w: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4"/>
                <w:szCs w:val="14"/>
                <w:color w:val="55565A"/>
              </w:rPr>
              <w:t>Trade and other receivables</w:t>
            </w:r>
          </w:p>
        </w:tc>
        <w:tc>
          <w:tcPr>
            <w:tcW w:w="1860" w:type="dxa"/>
            <w:vAlign w:val="bottom"/>
          </w:tcPr>
          <w:p>
            <w:pPr>
              <w:jc w:val="right"/>
              <w:ind w:right="249"/>
              <w:spacing w:after="0"/>
              <w:rPr>
                <w:sz w:val="20"/>
                <w:szCs w:val="20"/>
                <w:color w:val="auto"/>
              </w:rPr>
            </w:pPr>
            <w:r>
              <w:rPr>
                <w:rFonts w:ascii="Arial" w:cs="Arial" w:eastAsia="Arial" w:hAnsi="Arial"/>
                <w:sz w:val="14"/>
                <w:szCs w:val="14"/>
                <w:color w:val="55565A"/>
              </w:rPr>
              <w:t>1,122</w:t>
            </w:r>
          </w:p>
        </w:tc>
        <w:tc>
          <w:tcPr>
            <w:tcW w:w="1340" w:type="dxa"/>
            <w:vAlign w:val="bottom"/>
          </w:tcPr>
          <w:p>
            <w:pPr>
              <w:jc w:val="right"/>
              <w:ind w:right="269"/>
              <w:spacing w:after="0"/>
              <w:rPr>
                <w:sz w:val="20"/>
                <w:szCs w:val="20"/>
                <w:color w:val="auto"/>
              </w:rPr>
            </w:pPr>
            <w:r>
              <w:rPr>
                <w:rFonts w:ascii="Arial" w:cs="Arial" w:eastAsia="Arial" w:hAnsi="Arial"/>
                <w:sz w:val="14"/>
                <w:szCs w:val="14"/>
                <w:color w:val="55565A"/>
              </w:rPr>
              <w:t>-</w:t>
            </w:r>
          </w:p>
        </w:tc>
        <w:tc>
          <w:tcPr>
            <w:tcW w:w="1720" w:type="dxa"/>
            <w:vAlign w:val="bottom"/>
          </w:tcPr>
          <w:p>
            <w:pPr>
              <w:jc w:val="right"/>
              <w:ind w:right="289"/>
              <w:spacing w:after="0"/>
              <w:rPr>
                <w:sz w:val="20"/>
                <w:szCs w:val="20"/>
                <w:color w:val="auto"/>
              </w:rPr>
            </w:pPr>
            <w:r>
              <w:rPr>
                <w:rFonts w:ascii="Arial" w:cs="Arial" w:eastAsia="Arial" w:hAnsi="Arial"/>
                <w:sz w:val="14"/>
                <w:szCs w:val="14"/>
                <w:color w:val="55565A"/>
              </w:rPr>
              <w:t>-</w:t>
            </w:r>
          </w:p>
        </w:tc>
        <w:tc>
          <w:tcPr>
            <w:tcW w:w="1440" w:type="dxa"/>
            <w:vAlign w:val="bottom"/>
          </w:tcPr>
          <w:p>
            <w:pPr>
              <w:jc w:val="right"/>
              <w:ind w:right="309"/>
              <w:spacing w:after="0"/>
              <w:rPr>
                <w:sz w:val="20"/>
                <w:szCs w:val="20"/>
                <w:color w:val="auto"/>
              </w:rPr>
            </w:pPr>
            <w:r>
              <w:rPr>
                <w:rFonts w:ascii="Arial" w:cs="Arial" w:eastAsia="Arial" w:hAnsi="Arial"/>
                <w:sz w:val="14"/>
                <w:szCs w:val="14"/>
                <w:color w:val="55565A"/>
              </w:rPr>
              <w:t>-</w:t>
            </w:r>
          </w:p>
        </w:tc>
        <w:tc>
          <w:tcPr>
            <w:tcW w:w="1200" w:type="dxa"/>
            <w:vAlign w:val="bottom"/>
          </w:tcPr>
          <w:p>
            <w:pPr>
              <w:jc w:val="right"/>
              <w:ind w:right="289"/>
              <w:spacing w:after="0"/>
              <w:rPr>
                <w:sz w:val="20"/>
                <w:szCs w:val="20"/>
                <w:color w:val="auto"/>
              </w:rPr>
            </w:pPr>
            <w:r>
              <w:rPr>
                <w:rFonts w:ascii="Arial" w:cs="Arial" w:eastAsia="Arial" w:hAnsi="Arial"/>
                <w:sz w:val="14"/>
                <w:szCs w:val="14"/>
                <w:color w:val="55565A"/>
              </w:rPr>
              <w:t>1,122</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55565A"/>
              </w:rPr>
              <w:t>Other financial assets - current</w:t>
            </w:r>
          </w:p>
        </w:tc>
        <w:tc>
          <w:tcPr>
            <w:tcW w:w="18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8</w:t>
            </w:r>
          </w:p>
        </w:tc>
        <w:tc>
          <w:tcPr>
            <w:tcW w:w="13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5565A"/>
              </w:rPr>
              <w:t>58</w:t>
            </w:r>
          </w:p>
        </w:tc>
        <w:tc>
          <w:tcPr>
            <w:tcW w:w="172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66</w:t>
            </w: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4"/>
                <w:szCs w:val="14"/>
                <w:color w:val="55565A"/>
              </w:rPr>
              <w:t>Other financial assets - non-current</w:t>
            </w:r>
          </w:p>
        </w:tc>
        <w:tc>
          <w:tcPr>
            <w:tcW w:w="1860" w:type="dxa"/>
            <w:vAlign w:val="bottom"/>
          </w:tcPr>
          <w:p>
            <w:pPr>
              <w:jc w:val="right"/>
              <w:ind w:right="249"/>
              <w:spacing w:after="0"/>
              <w:rPr>
                <w:sz w:val="20"/>
                <w:szCs w:val="20"/>
                <w:color w:val="auto"/>
              </w:rPr>
            </w:pPr>
            <w:r>
              <w:rPr>
                <w:rFonts w:ascii="Arial" w:cs="Arial" w:eastAsia="Arial" w:hAnsi="Arial"/>
                <w:sz w:val="14"/>
                <w:szCs w:val="14"/>
                <w:color w:val="55565A"/>
              </w:rPr>
              <w:t>18</w:t>
            </w:r>
          </w:p>
        </w:tc>
        <w:tc>
          <w:tcPr>
            <w:tcW w:w="1340" w:type="dxa"/>
            <w:vAlign w:val="bottom"/>
          </w:tcPr>
          <w:p>
            <w:pPr>
              <w:jc w:val="right"/>
              <w:ind w:right="269"/>
              <w:spacing w:after="0"/>
              <w:rPr>
                <w:sz w:val="20"/>
                <w:szCs w:val="20"/>
                <w:color w:val="auto"/>
              </w:rPr>
            </w:pPr>
            <w:r>
              <w:rPr>
                <w:rFonts w:ascii="Arial" w:cs="Arial" w:eastAsia="Arial" w:hAnsi="Arial"/>
                <w:sz w:val="14"/>
                <w:szCs w:val="14"/>
                <w:color w:val="55565A"/>
              </w:rPr>
              <w:t>263</w:t>
            </w:r>
          </w:p>
        </w:tc>
        <w:tc>
          <w:tcPr>
            <w:tcW w:w="1720" w:type="dxa"/>
            <w:vAlign w:val="bottom"/>
          </w:tcPr>
          <w:p>
            <w:pPr>
              <w:jc w:val="right"/>
              <w:ind w:right="289"/>
              <w:spacing w:after="0"/>
              <w:rPr>
                <w:sz w:val="20"/>
                <w:szCs w:val="20"/>
                <w:color w:val="auto"/>
              </w:rPr>
            </w:pPr>
            <w:r>
              <w:rPr>
                <w:rFonts w:ascii="Arial" w:cs="Arial" w:eastAsia="Arial" w:hAnsi="Arial"/>
                <w:sz w:val="14"/>
                <w:szCs w:val="14"/>
                <w:color w:val="55565A"/>
              </w:rPr>
              <w:t>98</w:t>
            </w:r>
          </w:p>
        </w:tc>
        <w:tc>
          <w:tcPr>
            <w:tcW w:w="1440" w:type="dxa"/>
            <w:vAlign w:val="bottom"/>
          </w:tcPr>
          <w:p>
            <w:pPr>
              <w:jc w:val="right"/>
              <w:ind w:right="309"/>
              <w:spacing w:after="0"/>
              <w:rPr>
                <w:sz w:val="20"/>
                <w:szCs w:val="20"/>
                <w:color w:val="auto"/>
              </w:rPr>
            </w:pPr>
            <w:r>
              <w:rPr>
                <w:rFonts w:ascii="Arial" w:cs="Arial" w:eastAsia="Arial" w:hAnsi="Arial"/>
                <w:sz w:val="14"/>
                <w:szCs w:val="14"/>
                <w:color w:val="55565A"/>
              </w:rPr>
              <w:t>65</w:t>
            </w:r>
          </w:p>
        </w:tc>
        <w:tc>
          <w:tcPr>
            <w:tcW w:w="1200" w:type="dxa"/>
            <w:vAlign w:val="bottom"/>
          </w:tcPr>
          <w:p>
            <w:pPr>
              <w:jc w:val="right"/>
              <w:ind w:right="289"/>
              <w:spacing w:after="0"/>
              <w:rPr>
                <w:sz w:val="20"/>
                <w:szCs w:val="20"/>
                <w:color w:val="auto"/>
              </w:rPr>
            </w:pPr>
            <w:r>
              <w:rPr>
                <w:rFonts w:ascii="Arial" w:cs="Arial" w:eastAsia="Arial" w:hAnsi="Arial"/>
                <w:sz w:val="14"/>
                <w:szCs w:val="14"/>
                <w:color w:val="55565A"/>
              </w:rPr>
              <w:t>444</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55565A"/>
              </w:rPr>
              <w:t>Current indebtedness</w:t>
            </w:r>
          </w:p>
        </w:tc>
        <w:tc>
          <w:tcPr>
            <w:tcW w:w="18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(372)</w:t>
            </w:r>
          </w:p>
        </w:tc>
        <w:tc>
          <w:tcPr>
            <w:tcW w:w="13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5565A"/>
              </w:rPr>
              <w:t>-</w:t>
            </w:r>
          </w:p>
        </w:tc>
        <w:tc>
          <w:tcPr>
            <w:tcW w:w="172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(372)</w:t>
            </w: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4"/>
                <w:szCs w:val="14"/>
                <w:color w:val="55565A"/>
              </w:rPr>
              <w:t>Trade payables (see note 13)</w:t>
            </w:r>
          </w:p>
        </w:tc>
        <w:tc>
          <w:tcPr>
            <w:tcW w:w="1860" w:type="dxa"/>
            <w:vAlign w:val="bottom"/>
          </w:tcPr>
          <w:p>
            <w:pPr>
              <w:jc w:val="right"/>
              <w:ind w:right="249"/>
              <w:spacing w:after="0"/>
              <w:rPr>
                <w:sz w:val="20"/>
                <w:szCs w:val="20"/>
                <w:color w:val="auto"/>
              </w:rPr>
            </w:pPr>
            <w:r>
              <w:rPr>
                <w:rFonts w:ascii="Arial" w:cs="Arial" w:eastAsia="Arial" w:hAnsi="Arial"/>
                <w:sz w:val="14"/>
                <w:szCs w:val="14"/>
                <w:color w:val="55565A"/>
              </w:rPr>
              <w:t>(181)</w:t>
            </w:r>
          </w:p>
        </w:tc>
        <w:tc>
          <w:tcPr>
            <w:tcW w:w="1340" w:type="dxa"/>
            <w:vAlign w:val="bottom"/>
          </w:tcPr>
          <w:p>
            <w:pPr>
              <w:jc w:val="right"/>
              <w:ind w:right="269"/>
              <w:spacing w:after="0"/>
              <w:rPr>
                <w:sz w:val="20"/>
                <w:szCs w:val="20"/>
                <w:color w:val="auto"/>
              </w:rPr>
            </w:pPr>
            <w:r>
              <w:rPr>
                <w:rFonts w:ascii="Arial" w:cs="Arial" w:eastAsia="Arial" w:hAnsi="Arial"/>
                <w:sz w:val="14"/>
                <w:szCs w:val="14"/>
                <w:color w:val="55565A"/>
              </w:rPr>
              <w:t>-</w:t>
            </w:r>
          </w:p>
        </w:tc>
        <w:tc>
          <w:tcPr>
            <w:tcW w:w="1720" w:type="dxa"/>
            <w:vAlign w:val="bottom"/>
          </w:tcPr>
          <w:p>
            <w:pPr>
              <w:jc w:val="right"/>
              <w:ind w:right="289"/>
              <w:spacing w:after="0"/>
              <w:rPr>
                <w:sz w:val="20"/>
                <w:szCs w:val="20"/>
                <w:color w:val="auto"/>
              </w:rPr>
            </w:pPr>
            <w:r>
              <w:rPr>
                <w:rFonts w:ascii="Arial" w:cs="Arial" w:eastAsia="Arial" w:hAnsi="Arial"/>
                <w:sz w:val="14"/>
                <w:szCs w:val="14"/>
                <w:color w:val="55565A"/>
              </w:rPr>
              <w:t>-</w:t>
            </w:r>
          </w:p>
        </w:tc>
        <w:tc>
          <w:tcPr>
            <w:tcW w:w="1440" w:type="dxa"/>
            <w:vAlign w:val="bottom"/>
          </w:tcPr>
          <w:p>
            <w:pPr>
              <w:jc w:val="right"/>
              <w:ind w:right="309"/>
              <w:spacing w:after="0"/>
              <w:rPr>
                <w:sz w:val="20"/>
                <w:szCs w:val="20"/>
                <w:color w:val="auto"/>
              </w:rPr>
            </w:pPr>
            <w:r>
              <w:rPr>
                <w:rFonts w:ascii="Arial" w:cs="Arial" w:eastAsia="Arial" w:hAnsi="Arial"/>
                <w:sz w:val="14"/>
                <w:szCs w:val="14"/>
                <w:color w:val="55565A"/>
              </w:rPr>
              <w:t>-</w:t>
            </w:r>
          </w:p>
        </w:tc>
        <w:tc>
          <w:tcPr>
            <w:tcW w:w="1200" w:type="dxa"/>
            <w:vAlign w:val="bottom"/>
          </w:tcPr>
          <w:p>
            <w:pPr>
              <w:jc w:val="right"/>
              <w:ind w:right="289"/>
              <w:spacing w:after="0"/>
              <w:rPr>
                <w:sz w:val="20"/>
                <w:szCs w:val="20"/>
                <w:color w:val="auto"/>
              </w:rPr>
            </w:pPr>
            <w:r>
              <w:rPr>
                <w:rFonts w:ascii="Arial" w:cs="Arial" w:eastAsia="Arial" w:hAnsi="Arial"/>
                <w:sz w:val="14"/>
                <w:szCs w:val="14"/>
                <w:color w:val="55565A"/>
              </w:rPr>
              <w:t>(181)</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55565A"/>
              </w:rPr>
              <w:t>Accruals (see note 13)</w:t>
            </w:r>
          </w:p>
        </w:tc>
        <w:tc>
          <w:tcPr>
            <w:tcW w:w="18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(798)</w:t>
            </w:r>
          </w:p>
        </w:tc>
        <w:tc>
          <w:tcPr>
            <w:tcW w:w="13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5565A"/>
              </w:rPr>
              <w:t>-</w:t>
            </w:r>
          </w:p>
        </w:tc>
        <w:tc>
          <w:tcPr>
            <w:tcW w:w="172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(798)</w:t>
            </w:r>
          </w:p>
        </w:tc>
      </w:tr>
      <w:tr>
        <w:trPr>
          <w:trHeight w:val="160"/>
        </w:trPr>
        <w:tc>
          <w:tcPr>
            <w:tcW w:w="20" w:type="dxa"/>
            <w:vAlign w:val="bottom"/>
          </w:tcPr>
          <w:p>
            <w:pPr>
              <w:spacing w:after="0"/>
              <w:rPr>
                <w:sz w:val="13"/>
                <w:szCs w:val="13"/>
                <w:color w:val="auto"/>
              </w:rPr>
            </w:pPr>
          </w:p>
        </w:tc>
        <w:tc>
          <w:tcPr>
            <w:tcW w:w="3340" w:type="dxa"/>
            <w:vAlign w:val="bottom"/>
          </w:tcPr>
          <w:p>
            <w:pPr>
              <w:spacing w:after="0" w:line="161" w:lineRule="exact"/>
              <w:rPr>
                <w:sz w:val="20"/>
                <w:szCs w:val="20"/>
                <w:color w:val="auto"/>
              </w:rPr>
            </w:pPr>
            <w:r>
              <w:rPr>
                <w:rFonts w:ascii="Arial" w:cs="Arial" w:eastAsia="Arial" w:hAnsi="Arial"/>
                <w:sz w:val="12"/>
                <w:szCs w:val="12"/>
                <w:color w:val="55565A"/>
              </w:rPr>
              <w:t>Other financial liabilities - current</w:t>
            </w:r>
            <w:r>
              <w:rPr>
                <w:rFonts w:ascii="Arial" w:cs="Arial" w:eastAsia="Arial" w:hAnsi="Arial"/>
                <w:sz w:val="18"/>
                <w:szCs w:val="18"/>
                <w:color w:val="55565A"/>
                <w:vertAlign w:val="superscript"/>
              </w:rPr>
              <w:t>(1)(2)</w:t>
            </w:r>
          </w:p>
        </w:tc>
        <w:tc>
          <w:tcPr>
            <w:tcW w:w="1860" w:type="dxa"/>
            <w:vAlign w:val="bottom"/>
          </w:tcPr>
          <w:p>
            <w:pPr>
              <w:jc w:val="right"/>
              <w:ind w:right="249"/>
              <w:spacing w:after="0"/>
              <w:rPr>
                <w:sz w:val="20"/>
                <w:szCs w:val="20"/>
                <w:color w:val="auto"/>
              </w:rPr>
            </w:pPr>
            <w:r>
              <w:rPr>
                <w:rFonts w:ascii="Arial" w:cs="Arial" w:eastAsia="Arial" w:hAnsi="Arial"/>
                <w:sz w:val="14"/>
                <w:szCs w:val="14"/>
                <w:color w:val="55565A"/>
              </w:rPr>
              <w:t>(463)</w:t>
            </w:r>
          </w:p>
        </w:tc>
        <w:tc>
          <w:tcPr>
            <w:tcW w:w="1340" w:type="dxa"/>
            <w:vAlign w:val="bottom"/>
          </w:tcPr>
          <w:p>
            <w:pPr>
              <w:jc w:val="right"/>
              <w:ind w:right="269"/>
              <w:spacing w:after="0"/>
              <w:rPr>
                <w:sz w:val="20"/>
                <w:szCs w:val="20"/>
                <w:color w:val="auto"/>
              </w:rPr>
            </w:pPr>
            <w:r>
              <w:rPr>
                <w:rFonts w:ascii="Arial" w:cs="Arial" w:eastAsia="Arial" w:hAnsi="Arial"/>
                <w:sz w:val="14"/>
                <w:szCs w:val="14"/>
                <w:color w:val="55565A"/>
              </w:rPr>
              <w:t>(44)</w:t>
            </w:r>
          </w:p>
        </w:tc>
        <w:tc>
          <w:tcPr>
            <w:tcW w:w="1720" w:type="dxa"/>
            <w:vAlign w:val="bottom"/>
          </w:tcPr>
          <w:p>
            <w:pPr>
              <w:jc w:val="right"/>
              <w:ind w:right="289"/>
              <w:spacing w:after="0"/>
              <w:rPr>
                <w:sz w:val="20"/>
                <w:szCs w:val="20"/>
                <w:color w:val="auto"/>
              </w:rPr>
            </w:pPr>
            <w:r>
              <w:rPr>
                <w:rFonts w:ascii="Arial" w:cs="Arial" w:eastAsia="Arial" w:hAnsi="Arial"/>
                <w:sz w:val="14"/>
                <w:szCs w:val="14"/>
                <w:color w:val="55565A"/>
              </w:rPr>
              <w:t>-</w:t>
            </w:r>
          </w:p>
        </w:tc>
        <w:tc>
          <w:tcPr>
            <w:tcW w:w="1440" w:type="dxa"/>
            <w:vAlign w:val="bottom"/>
          </w:tcPr>
          <w:p>
            <w:pPr>
              <w:jc w:val="right"/>
              <w:ind w:right="309"/>
              <w:spacing w:after="0"/>
              <w:rPr>
                <w:sz w:val="20"/>
                <w:szCs w:val="20"/>
                <w:color w:val="auto"/>
              </w:rPr>
            </w:pPr>
            <w:r>
              <w:rPr>
                <w:rFonts w:ascii="Arial" w:cs="Arial" w:eastAsia="Arial" w:hAnsi="Arial"/>
                <w:sz w:val="14"/>
                <w:szCs w:val="14"/>
                <w:color w:val="55565A"/>
              </w:rPr>
              <w:t>-</w:t>
            </w:r>
          </w:p>
        </w:tc>
        <w:tc>
          <w:tcPr>
            <w:tcW w:w="1200" w:type="dxa"/>
            <w:vAlign w:val="bottom"/>
          </w:tcPr>
          <w:p>
            <w:pPr>
              <w:jc w:val="right"/>
              <w:ind w:right="289"/>
              <w:spacing w:after="0"/>
              <w:rPr>
                <w:sz w:val="20"/>
                <w:szCs w:val="20"/>
                <w:color w:val="auto"/>
              </w:rPr>
            </w:pPr>
            <w:r>
              <w:rPr>
                <w:rFonts w:ascii="Arial" w:cs="Arial" w:eastAsia="Arial" w:hAnsi="Arial"/>
                <w:sz w:val="14"/>
                <w:szCs w:val="14"/>
                <w:color w:val="55565A"/>
              </w:rPr>
              <w:t>(507)</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55565A"/>
              </w:rPr>
              <w:t>Long-term indebtedness</w:t>
            </w:r>
          </w:p>
        </w:tc>
        <w:tc>
          <w:tcPr>
            <w:tcW w:w="18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(2,905)</w:t>
            </w:r>
          </w:p>
        </w:tc>
        <w:tc>
          <w:tcPr>
            <w:tcW w:w="13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5565A"/>
              </w:rPr>
              <w:t>-</w:t>
            </w:r>
          </w:p>
        </w:tc>
        <w:tc>
          <w:tcPr>
            <w:tcW w:w="172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5565A"/>
              </w:rPr>
              <w:t>-</w:t>
            </w:r>
          </w:p>
        </w:tc>
        <w:tc>
          <w:tcPr>
            <w:tcW w:w="12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(2,905)</w:t>
            </w:r>
          </w:p>
        </w:tc>
      </w:tr>
      <w:tr>
        <w:trPr>
          <w:trHeight w:val="160"/>
        </w:trPr>
        <w:tc>
          <w:tcPr>
            <w:tcW w:w="20" w:type="dxa"/>
            <w:vAlign w:val="bottom"/>
          </w:tcPr>
          <w:p>
            <w:pPr>
              <w:spacing w:after="0"/>
              <w:rPr>
                <w:sz w:val="13"/>
                <w:szCs w:val="13"/>
                <w:color w:val="auto"/>
              </w:rPr>
            </w:pPr>
          </w:p>
        </w:tc>
        <w:tc>
          <w:tcPr>
            <w:tcW w:w="3340" w:type="dxa"/>
            <w:vAlign w:val="bottom"/>
            <w:tcBorders>
              <w:bottom w:val="single" w:sz="8" w:color="88888B"/>
            </w:tcBorders>
          </w:tcPr>
          <w:p>
            <w:pPr>
              <w:spacing w:after="0" w:line="161" w:lineRule="exact"/>
              <w:rPr>
                <w:sz w:val="20"/>
                <w:szCs w:val="20"/>
                <w:color w:val="auto"/>
              </w:rPr>
            </w:pPr>
            <w:r>
              <w:rPr>
                <w:rFonts w:ascii="Arial" w:cs="Arial" w:eastAsia="Arial" w:hAnsi="Arial"/>
                <w:sz w:val="12"/>
                <w:szCs w:val="12"/>
                <w:color w:val="55565A"/>
              </w:rPr>
              <w:t>Other financial liabilities - non current</w:t>
            </w:r>
            <w:r>
              <w:rPr>
                <w:rFonts w:ascii="Arial" w:cs="Arial" w:eastAsia="Arial" w:hAnsi="Arial"/>
                <w:sz w:val="18"/>
                <w:szCs w:val="18"/>
                <w:color w:val="55565A"/>
                <w:vertAlign w:val="superscript"/>
              </w:rPr>
              <w:t>(3)</w:t>
            </w:r>
          </w:p>
        </w:tc>
        <w:tc>
          <w:tcPr>
            <w:tcW w:w="186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color w:val="55565A"/>
              </w:rPr>
              <w:t>(227)</w:t>
            </w:r>
          </w:p>
        </w:tc>
        <w:tc>
          <w:tcPr>
            <w:tcW w:w="1340" w:type="dxa"/>
            <w:vAlign w:val="bottom"/>
            <w:tcBorders>
              <w:bottom w:val="single" w:sz="8" w:color="88888B"/>
            </w:tcBorders>
          </w:tcPr>
          <w:p>
            <w:pPr>
              <w:jc w:val="right"/>
              <w:ind w:right="269"/>
              <w:spacing w:after="0"/>
              <w:rPr>
                <w:sz w:val="20"/>
                <w:szCs w:val="20"/>
                <w:color w:val="auto"/>
              </w:rPr>
            </w:pPr>
            <w:r>
              <w:rPr>
                <w:rFonts w:ascii="Arial" w:cs="Arial" w:eastAsia="Arial" w:hAnsi="Arial"/>
                <w:sz w:val="14"/>
                <w:szCs w:val="14"/>
                <w:color w:val="55565A"/>
              </w:rPr>
              <w:t>(10)</w:t>
            </w:r>
          </w:p>
        </w:tc>
        <w:tc>
          <w:tcPr>
            <w:tcW w:w="172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color w:val="55565A"/>
              </w:rPr>
              <w:t>-</w:t>
            </w:r>
          </w:p>
        </w:tc>
        <w:tc>
          <w:tcPr>
            <w:tcW w:w="1440" w:type="dxa"/>
            <w:vAlign w:val="bottom"/>
            <w:tcBorders>
              <w:bottom w:val="single" w:sz="8" w:color="88888B"/>
            </w:tcBorders>
          </w:tcPr>
          <w:p>
            <w:pPr>
              <w:jc w:val="right"/>
              <w:ind w:right="309"/>
              <w:spacing w:after="0"/>
              <w:rPr>
                <w:sz w:val="20"/>
                <w:szCs w:val="20"/>
                <w:color w:val="auto"/>
              </w:rPr>
            </w:pPr>
            <w:r>
              <w:rPr>
                <w:rFonts w:ascii="Arial" w:cs="Arial" w:eastAsia="Arial" w:hAnsi="Arial"/>
                <w:sz w:val="14"/>
                <w:szCs w:val="14"/>
                <w:color w:val="55565A"/>
              </w:rPr>
              <w:t>-</w:t>
            </w:r>
          </w:p>
        </w:tc>
        <w:tc>
          <w:tcPr>
            <w:tcW w:w="120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color w:val="55565A"/>
              </w:rPr>
              <w:t>(237)</w:t>
            </w:r>
          </w:p>
        </w:tc>
      </w:tr>
      <w:tr>
        <w:trPr>
          <w:trHeight w:val="154"/>
        </w:trPr>
        <w:tc>
          <w:tcPr>
            <w:tcW w:w="20" w:type="dxa"/>
            <w:vAlign w:val="bottom"/>
          </w:tcPr>
          <w:p>
            <w:pPr>
              <w:spacing w:after="0"/>
              <w:rPr>
                <w:sz w:val="13"/>
                <w:szCs w:val="13"/>
                <w:color w:val="auto"/>
              </w:rPr>
            </w:pPr>
          </w:p>
        </w:tc>
        <w:tc>
          <w:tcPr>
            <w:tcW w:w="3340" w:type="dxa"/>
            <w:vAlign w:val="bottom"/>
            <w:tcBorders>
              <w:bottom w:val="single" w:sz="8" w:color="88888B"/>
            </w:tcBorders>
            <w:shd w:val="clear" w:color="auto" w:fill="CCEEFF"/>
          </w:tcPr>
          <w:p>
            <w:pPr>
              <w:spacing w:after="0" w:line="154" w:lineRule="exact"/>
              <w:rPr>
                <w:sz w:val="20"/>
                <w:szCs w:val="20"/>
                <w:color w:val="auto"/>
              </w:rPr>
            </w:pPr>
            <w:r>
              <w:rPr>
                <w:rFonts w:ascii="Arial" w:cs="Arial" w:eastAsia="Arial" w:hAnsi="Arial"/>
                <w:sz w:val="14"/>
                <w:szCs w:val="14"/>
                <w:color w:val="55565A"/>
              </w:rPr>
              <w:t>Total</w:t>
            </w:r>
          </w:p>
        </w:tc>
        <w:tc>
          <w:tcPr>
            <w:tcW w:w="1860" w:type="dxa"/>
            <w:vAlign w:val="bottom"/>
            <w:tcBorders>
              <w:bottom w:val="single" w:sz="8" w:color="88888B"/>
            </w:tcBorders>
            <w:shd w:val="clear" w:color="auto" w:fill="CCEEFF"/>
          </w:tcPr>
          <w:p>
            <w:pPr>
              <w:jc w:val="right"/>
              <w:ind w:right="249"/>
              <w:spacing w:after="0" w:line="154" w:lineRule="exact"/>
              <w:rPr>
                <w:sz w:val="20"/>
                <w:szCs w:val="20"/>
                <w:color w:val="auto"/>
              </w:rPr>
            </w:pPr>
            <w:r>
              <w:rPr>
                <w:rFonts w:ascii="Arial" w:cs="Arial" w:eastAsia="Arial" w:hAnsi="Arial"/>
                <w:sz w:val="14"/>
                <w:szCs w:val="14"/>
                <w:color w:val="55565A"/>
              </w:rPr>
              <w:t>(3,406)</w:t>
            </w:r>
          </w:p>
        </w:tc>
        <w:tc>
          <w:tcPr>
            <w:tcW w:w="1340" w:type="dxa"/>
            <w:vAlign w:val="bottom"/>
            <w:tcBorders>
              <w:bottom w:val="single" w:sz="8" w:color="88888B"/>
            </w:tcBorders>
            <w:shd w:val="clear" w:color="auto" w:fill="CCEEFF"/>
          </w:tcPr>
          <w:p>
            <w:pPr>
              <w:jc w:val="right"/>
              <w:ind w:right="269"/>
              <w:spacing w:after="0" w:line="154" w:lineRule="exact"/>
              <w:rPr>
                <w:sz w:val="20"/>
                <w:szCs w:val="20"/>
                <w:color w:val="auto"/>
              </w:rPr>
            </w:pPr>
            <w:r>
              <w:rPr>
                <w:rFonts w:ascii="Arial" w:cs="Arial" w:eastAsia="Arial" w:hAnsi="Arial"/>
                <w:sz w:val="14"/>
                <w:szCs w:val="14"/>
                <w:color w:val="55565A"/>
              </w:rPr>
              <w:t>1,173</w:t>
            </w:r>
          </w:p>
        </w:tc>
        <w:tc>
          <w:tcPr>
            <w:tcW w:w="1720" w:type="dxa"/>
            <w:vAlign w:val="bottom"/>
            <w:tcBorders>
              <w:bottom w:val="single" w:sz="8" w:color="88888B"/>
            </w:tcBorders>
            <w:shd w:val="clear" w:color="auto" w:fill="CCEEFF"/>
          </w:tcPr>
          <w:p>
            <w:pPr>
              <w:jc w:val="right"/>
              <w:ind w:right="289"/>
              <w:spacing w:after="0" w:line="154" w:lineRule="exact"/>
              <w:rPr>
                <w:sz w:val="20"/>
                <w:szCs w:val="20"/>
                <w:color w:val="auto"/>
              </w:rPr>
            </w:pPr>
            <w:r>
              <w:rPr>
                <w:rFonts w:ascii="Arial" w:cs="Arial" w:eastAsia="Arial" w:hAnsi="Arial"/>
                <w:sz w:val="14"/>
                <w:szCs w:val="14"/>
                <w:color w:val="55565A"/>
              </w:rPr>
              <w:t>98</w:t>
            </w:r>
          </w:p>
        </w:tc>
        <w:tc>
          <w:tcPr>
            <w:tcW w:w="1440" w:type="dxa"/>
            <w:vAlign w:val="bottom"/>
            <w:tcBorders>
              <w:bottom w:val="single" w:sz="8" w:color="88888B"/>
            </w:tcBorders>
            <w:shd w:val="clear" w:color="auto" w:fill="CCEEFF"/>
          </w:tcPr>
          <w:p>
            <w:pPr>
              <w:jc w:val="right"/>
              <w:ind w:right="309"/>
              <w:spacing w:after="0" w:line="154" w:lineRule="exact"/>
              <w:rPr>
                <w:sz w:val="20"/>
                <w:szCs w:val="20"/>
                <w:color w:val="auto"/>
              </w:rPr>
            </w:pPr>
            <w:r>
              <w:rPr>
                <w:rFonts w:ascii="Arial" w:cs="Arial" w:eastAsia="Arial" w:hAnsi="Arial"/>
                <w:sz w:val="14"/>
                <w:szCs w:val="14"/>
                <w:color w:val="55565A"/>
              </w:rPr>
              <w:t>65</w:t>
            </w:r>
          </w:p>
        </w:tc>
        <w:tc>
          <w:tcPr>
            <w:tcW w:w="1200" w:type="dxa"/>
            <w:vAlign w:val="bottom"/>
            <w:tcBorders>
              <w:bottom w:val="single" w:sz="8" w:color="88888B"/>
            </w:tcBorders>
            <w:shd w:val="clear" w:color="auto" w:fill="CCEEFF"/>
          </w:tcPr>
          <w:p>
            <w:pPr>
              <w:jc w:val="right"/>
              <w:ind w:right="289"/>
              <w:spacing w:after="0" w:line="154" w:lineRule="exact"/>
              <w:rPr>
                <w:sz w:val="20"/>
                <w:szCs w:val="20"/>
                <w:color w:val="auto"/>
              </w:rPr>
            </w:pPr>
            <w:r>
              <w:rPr>
                <w:rFonts w:ascii="Arial" w:cs="Arial" w:eastAsia="Arial" w:hAnsi="Arial"/>
                <w:sz w:val="14"/>
                <w:szCs w:val="14"/>
                <w:color w:val="55565A"/>
              </w:rPr>
              <w:t>(2,070)</w:t>
            </w:r>
          </w:p>
        </w:tc>
      </w:tr>
    </w:tbl>
    <w:p>
      <w:pPr>
        <w:spacing w:after="0" w:line="102" w:lineRule="exact"/>
        <w:rPr>
          <w:sz w:val="20"/>
          <w:szCs w:val="20"/>
          <w:color w:val="auto"/>
        </w:rPr>
      </w:pPr>
    </w:p>
    <w:p>
      <w:pPr>
        <w:ind w:left="320" w:hanging="313"/>
        <w:spacing w:after="0"/>
        <w:tabs>
          <w:tab w:leader="none" w:pos="320" w:val="left"/>
        </w:tabs>
        <w:numPr>
          <w:ilvl w:val="0"/>
          <w:numId w:val="32"/>
        </w:numPr>
        <w:rPr>
          <w:rFonts w:ascii="Arial" w:cs="Arial" w:eastAsia="Arial" w:hAnsi="Arial"/>
          <w:sz w:val="12"/>
          <w:szCs w:val="12"/>
          <w:color w:val="55565A"/>
        </w:rPr>
      </w:pPr>
      <w:r>
        <w:rPr>
          <w:rFonts w:ascii="Arial" w:cs="Arial" w:eastAsia="Arial" w:hAnsi="Arial"/>
          <w:sz w:val="12"/>
          <w:szCs w:val="12"/>
          <w:color w:val="55565A"/>
        </w:rPr>
        <w:t>Includes lease liabilities of $60 million (2023 - $56 million).</w:t>
      </w:r>
    </w:p>
    <w:p>
      <w:pPr>
        <w:spacing w:after="0" w:line="7" w:lineRule="exact"/>
        <w:rPr>
          <w:rFonts w:ascii="Arial" w:cs="Arial" w:eastAsia="Arial" w:hAnsi="Arial"/>
          <w:sz w:val="12"/>
          <w:szCs w:val="12"/>
          <w:color w:val="55565A"/>
        </w:rPr>
      </w:pPr>
    </w:p>
    <w:p>
      <w:pPr>
        <w:ind w:left="320" w:right="320" w:hanging="313"/>
        <w:spacing w:after="0" w:line="232" w:lineRule="auto"/>
        <w:tabs>
          <w:tab w:leader="none" w:pos="320" w:val="left"/>
        </w:tabs>
        <w:numPr>
          <w:ilvl w:val="0"/>
          <w:numId w:val="32"/>
        </w:numPr>
        <w:rPr>
          <w:rFonts w:ascii="Arial" w:cs="Arial" w:eastAsia="Arial" w:hAnsi="Arial"/>
          <w:sz w:val="12"/>
          <w:szCs w:val="12"/>
          <w:color w:val="55565A"/>
        </w:rPr>
      </w:pPr>
      <w:r>
        <w:rPr>
          <w:rFonts w:ascii="Arial" w:cs="Arial" w:eastAsia="Arial" w:hAnsi="Arial"/>
          <w:sz w:val="12"/>
          <w:szCs w:val="12"/>
          <w:color w:val="55565A"/>
        </w:rPr>
        <w:t>Includes a commitment to repurchase up to $270 million of shares related to the Company’s pre-defined plan with its broker to repurchase the Company’s shares during its internal trading blackout period (2023 - $400 million). See note 15.</w:t>
      </w:r>
    </w:p>
    <w:p>
      <w:pPr>
        <w:ind w:left="320" w:hanging="313"/>
        <w:spacing w:after="0"/>
        <w:tabs>
          <w:tab w:leader="none" w:pos="320" w:val="left"/>
        </w:tabs>
        <w:numPr>
          <w:ilvl w:val="0"/>
          <w:numId w:val="32"/>
        </w:numPr>
        <w:rPr>
          <w:rFonts w:ascii="Arial" w:cs="Arial" w:eastAsia="Arial" w:hAnsi="Arial"/>
          <w:sz w:val="12"/>
          <w:szCs w:val="12"/>
          <w:color w:val="55565A"/>
        </w:rPr>
      </w:pPr>
      <w:r>
        <w:rPr>
          <w:rFonts w:ascii="Arial" w:cs="Arial" w:eastAsia="Arial" w:hAnsi="Arial"/>
          <w:sz w:val="12"/>
          <w:szCs w:val="12"/>
          <w:color w:val="55565A"/>
        </w:rPr>
        <w:t>Includes lease liabilities of $215 million (2023 - $209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69297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55565A"/>
        </w:rPr>
        <w:t>Page 50</w:t>
      </w:r>
    </w:p>
    <w:p>
      <w:pPr>
        <w:sectPr>
          <w:pgSz w:w="11900" w:h="16838" w:orient="portrait"/>
          <w:cols w:equalWidth="0" w:num="1">
            <w:col w:w="10920"/>
          </w:cols>
          <w:pgMar w:left="480" w:top="1440" w:right="49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i w:val="1"/>
          <w:iCs w:val="1"/>
          <w:color w:val="55565A"/>
        </w:rPr>
        <w:t>Cash and cash equivalents</w:t>
      </w:r>
    </w:p>
    <w:p>
      <w:pPr>
        <w:spacing w:after="0" w:line="108" w:lineRule="exact"/>
        <w:rPr>
          <w:sz w:val="20"/>
          <w:szCs w:val="20"/>
          <w:color w:val="auto"/>
        </w:rPr>
      </w:pPr>
    </w:p>
    <w:p>
      <w:pPr>
        <w:jc w:val="both"/>
        <w:ind w:right="240"/>
        <w:spacing w:after="0" w:line="262" w:lineRule="auto"/>
        <w:rPr>
          <w:sz w:val="20"/>
          <w:szCs w:val="20"/>
          <w:color w:val="auto"/>
        </w:rPr>
      </w:pPr>
      <w:r>
        <w:rPr>
          <w:rFonts w:ascii="Arial" w:cs="Arial" w:eastAsia="Arial" w:hAnsi="Arial"/>
          <w:sz w:val="16"/>
          <w:szCs w:val="16"/>
          <w:color w:val="55565A"/>
        </w:rPr>
        <w:t>Of total cash and cash equivalents, $111 million and $100 million as of March 31, 2024 and December 31, 2023, respectively, were held in subsidiaries which have regulatory restrictions, contractual restrictions or operate in countries where exchange controls and other legal restrictions apply and were therefore not available for general use by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55565A"/>
        </w:rPr>
        <w:t>Commercial paper program</w:t>
      </w:r>
    </w:p>
    <w:p>
      <w:pPr>
        <w:spacing w:after="0" w:line="108" w:lineRule="exact"/>
        <w:rPr>
          <w:sz w:val="20"/>
          <w:szCs w:val="20"/>
          <w:color w:val="auto"/>
        </w:rPr>
      </w:pPr>
    </w:p>
    <w:p>
      <w:pPr>
        <w:jc w:val="both"/>
        <w:ind w:right="520"/>
        <w:spacing w:after="0" w:line="262" w:lineRule="auto"/>
        <w:rPr>
          <w:sz w:val="20"/>
          <w:szCs w:val="20"/>
          <w:color w:val="auto"/>
        </w:rPr>
      </w:pPr>
      <w:r>
        <w:rPr>
          <w:rFonts w:ascii="Arial" w:cs="Arial" w:eastAsia="Arial" w:hAnsi="Arial"/>
          <w:sz w:val="16"/>
          <w:szCs w:val="16"/>
          <w:color w:val="55565A"/>
        </w:rPr>
        <w:t>The Company’s $2.0 billion commercial paper program provides cost effective and flexible short-term funding. The carrying amount of outstanding commercial paper of $699 million is included in “Current indebtedness” within the consolidated statement of financial position as of March 31, 2024 (December 31, 2023 – $130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55565A"/>
        </w:rPr>
        <w:t>Credit facility</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6"/>
          <w:szCs w:val="16"/>
          <w:color w:val="55565A"/>
        </w:rPr>
        <w:t>The Company has a $2.0 billion syndicated credit facility agreement which matures in November 2027 and may be used to provide liquidity for general corporate purposes (including acquisitions or support for its commercial paper program). There were no outstanding borrowings under the credit facility as of March 31, 2024 and December 31, 2023. Based on the Company’s current credit ratings, the cost of borrowing under the facility is priced at the Term Secured Overnight Financing Rate (“SOFR”)/Euro Interbank Offered Rate (“EURiBOR”)/Simple Sterling Overnight Index Average (“SONIA”) plus 102.5 basis points. The Company has the option to request an increase, subject to approval by applicable lenders, in the lenders’ commitments in an aggregate amount of $600 million for a maximum credit facility commitment of $2.6 billion.</w:t>
      </w:r>
    </w:p>
    <w:p>
      <w:pPr>
        <w:spacing w:after="0" w:line="7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55565A"/>
        </w:rPr>
        <w:t>The Company guarantees borrowings by its subsidiaries under the credit facility. The Company must also maintain a ratio of net debt as defined in the credit agreement (total debt after swaps less cash and cash equivalents) as of the last day of each fiscal quarter to EBITDA as defined in the credit agreement (earnings before interest, income taxes, depreciation and amortization and other modifications described in the credit agreement) for the last four quarters ended of not more than 4.5:1. If the Company were to complete an acquisition with a purchase price of over $500 million, the Company may elect, subject to notification, to temporarily increase the ratio of net debt to EBITDA to 5.0:1 at the end of the quarter within which the transaction closed and for each of the three immediately following fiscal quarters. At the end of that period, the ratio would revert to 4.5:1. As of March 31, 2024, the Company complied with this covenant as its ratio of net debt to EBITDA, as calculated under the terms of its syndicated credit facility, was 0.7:1.</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55565A"/>
        </w:rPr>
        <w:t>Foreign exchange contracts</w:t>
      </w:r>
    </w:p>
    <w:p>
      <w:pPr>
        <w:spacing w:after="0" w:line="108"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55565A"/>
        </w:rPr>
        <w:t>The Company has entered into foreign exchange contracts that are intended to reduce foreign currency risk related to a portion of its indirect investment in LSEG, which is denominated in British pounds sterling. These instruments are not related to changes in the LSEG share price.</w:t>
      </w:r>
    </w:p>
    <w:p>
      <w:pPr>
        <w:spacing w:after="0" w:line="5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55565A"/>
        </w:rPr>
        <w:t>In the three months ended March 31, 2024, the Company settled foreign exchange contracts with a notional amount of £0.9 billion ($1.2 billion) for net proceeds of $57 million in conjunction with the sale of 7.5 million LSEG shares. In the three months ended March 31, 2023, the Company settled foreign exchange contracts with a notional amount £1.0 billion ($1.3 billion) for net proceeds of $96 million in conjunction with the sale of 13.6 million LSEG shares.</w:t>
      </w:r>
    </w:p>
    <w:p>
      <w:pPr>
        <w:spacing w:after="0" w:line="71" w:lineRule="exact"/>
        <w:rPr>
          <w:sz w:val="20"/>
          <w:szCs w:val="20"/>
          <w:color w:val="auto"/>
        </w:rPr>
      </w:pPr>
    </w:p>
    <w:p>
      <w:pPr>
        <w:jc w:val="both"/>
        <w:ind w:right="320"/>
        <w:spacing w:after="0" w:line="262" w:lineRule="auto"/>
        <w:rPr>
          <w:sz w:val="20"/>
          <w:szCs w:val="20"/>
          <w:color w:val="auto"/>
        </w:rPr>
      </w:pPr>
      <w:r>
        <w:rPr>
          <w:rFonts w:ascii="Arial" w:cs="Arial" w:eastAsia="Arial" w:hAnsi="Arial"/>
          <w:sz w:val="16"/>
          <w:szCs w:val="16"/>
          <w:color w:val="55565A"/>
        </w:rPr>
        <w:t>As of March 31, 2024, the Company had remaining foreign exchange contracts with a notional amount of £300 million ($349 million) outstanding. The Company’s interest in LSEG shares had a market value of approximately $0.7 billion, based on LSEG’s share price on that day (December 31, 2023 - $1.9 billion).</w:t>
      </w:r>
    </w:p>
    <w:p>
      <w:pPr>
        <w:spacing w:after="0" w:line="66"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55565A"/>
        </w:rPr>
        <w:t>In the three months ended March 31, 2024, a gain of $1 million (2023 – losses of $69 million) was reported within “Other finance income (costs)” in the consolidated income statement (see note 7) due to fluctuations in the U.S. dollar – British pounds sterling exchange rate. The Company records the foreign exchange contracts at fair value each reporting period. The associated net fair value of these contracts was a liability of $30 million and an asset of $26 million as of March 31, 2024 and December 31, 2023, respectively, which were recorded within other current financial assets and liabilities, as appropriate, in the consolidated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69297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51</w:t>
      </w:r>
    </w:p>
    <w:p>
      <w:pPr>
        <w:sectPr>
          <w:pgSz w:w="11900" w:h="16838" w:orient="portrait"/>
          <w:cols w:equalWidth="0" w:num="1">
            <w:col w:w="10920"/>
          </w:cols>
          <w:pgMar w:left="480" w:top="1440" w:right="49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i w:val="1"/>
          <w:iCs w:val="1"/>
          <w:color w:val="55565A"/>
        </w:rPr>
        <w:t>Fair Value</w:t>
      </w:r>
    </w:p>
    <w:p>
      <w:pPr>
        <w:spacing w:after="0" w:line="108"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55565A"/>
        </w:rPr>
        <w:t>The fair values of cash and cash equivalents, trade and other receivables, trade payables and accruals approximate their carrying amounts because of the short-term maturity of these instruments. The fair value of long-term debt and related derivative instruments is set forth below.</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Debt and Related Derivative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55565A"/>
        </w:rPr>
        <w:t>Carrying Amounts</w:t>
      </w:r>
    </w:p>
    <w:p>
      <w:pPr>
        <w:spacing w:after="0" w:line="108"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55565A"/>
        </w:rPr>
        <w:t>Amounts recorded in the consolidated statement of financial position are referred to as “carrying amounts”. The carrying amounts of primary debt are reflected in “Current indebtedness” or “Long-term indebtedness” and the carrying amounts of derivative instruments are included in “Other financial assets” and “Other financial liabilities”, current or non-current, in the consolidated statement of financial position, as appropriate.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55565A"/>
        </w:rPr>
        <w:t>Fair Value</w:t>
      </w:r>
    </w:p>
    <w:p>
      <w:pPr>
        <w:spacing w:after="0" w:line="108"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55565A"/>
        </w:rPr>
        <w:t>The fair value of debt is estimated based on either quoted market prices for similar issues or current rates offered to the Company for debt of the same maturity. The fair value of interest rate swaps is estimated based upon discounted cash flows using applicable current market rates and considering non-performance risk.</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55565A"/>
        </w:rPr>
        <w:t>The following is a summary of debt and related derivative instruments that hedged the cash flows of debt: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700" w:type="dxa"/>
            <w:vAlign w:val="bottom"/>
            <w:tcBorders>
              <w:top w:val="single" w:sz="8" w:color="88888B"/>
            </w:tcBorders>
          </w:tcPr>
          <w:p>
            <w:pPr>
              <w:spacing w:after="0"/>
              <w:rPr>
                <w:sz w:val="17"/>
                <w:szCs w:val="17"/>
                <w:color w:val="auto"/>
              </w:rPr>
            </w:pPr>
          </w:p>
        </w:tc>
        <w:tc>
          <w:tcPr>
            <w:tcW w:w="2800" w:type="dxa"/>
            <w:vAlign w:val="bottom"/>
            <w:tcBorders>
              <w:top w:val="single" w:sz="8" w:color="88888B"/>
            </w:tcBorders>
            <w:gridSpan w:val="2"/>
          </w:tcPr>
          <w:p>
            <w:pPr>
              <w:jc w:val="right"/>
              <w:ind w:right="829"/>
              <w:spacing w:after="0"/>
              <w:rPr>
                <w:sz w:val="20"/>
                <w:szCs w:val="20"/>
                <w:color w:val="auto"/>
              </w:rPr>
            </w:pPr>
            <w:r>
              <w:rPr>
                <w:rFonts w:ascii="Arial" w:cs="Arial" w:eastAsia="Arial" w:hAnsi="Arial"/>
                <w:sz w:val="14"/>
                <w:szCs w:val="14"/>
                <w:color w:val="55565A"/>
              </w:rPr>
              <w:t>Carrying Amount</w:t>
            </w:r>
          </w:p>
        </w:tc>
        <w:tc>
          <w:tcPr>
            <w:tcW w:w="720" w:type="dxa"/>
            <w:vAlign w:val="bottom"/>
            <w:tcBorders>
              <w:top w:val="single" w:sz="8" w:color="88888B"/>
            </w:tcBorders>
          </w:tcPr>
          <w:p>
            <w:pPr>
              <w:spacing w:after="0"/>
              <w:rPr>
                <w:sz w:val="17"/>
                <w:szCs w:val="17"/>
                <w:color w:val="auto"/>
              </w:rPr>
            </w:pPr>
          </w:p>
        </w:tc>
        <w:tc>
          <w:tcPr>
            <w:tcW w:w="2680" w:type="dxa"/>
            <w:vAlign w:val="bottom"/>
            <w:tcBorders>
              <w:top w:val="single" w:sz="8" w:color="88888B"/>
            </w:tcBorders>
            <w:gridSpan w:val="2"/>
          </w:tcPr>
          <w:p>
            <w:pPr>
              <w:jc w:val="right"/>
              <w:ind w:right="989"/>
              <w:spacing w:after="0"/>
              <w:rPr>
                <w:sz w:val="20"/>
                <w:szCs w:val="20"/>
                <w:color w:val="auto"/>
              </w:rPr>
            </w:pPr>
            <w:r>
              <w:rPr>
                <w:rFonts w:ascii="Arial" w:cs="Arial" w:eastAsia="Arial" w:hAnsi="Arial"/>
                <w:sz w:val="14"/>
                <w:szCs w:val="14"/>
                <w:color w:val="55565A"/>
              </w:rPr>
              <w:t>Fair Value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Borders>
              <w:bottom w:val="single" w:sz="8" w:color="88888B"/>
            </w:tcBorders>
          </w:tcPr>
          <w:p>
            <w:pPr>
              <w:spacing w:after="0"/>
              <w:rPr>
                <w:sz w:val="2"/>
                <w:szCs w:val="2"/>
                <w:color w:val="auto"/>
              </w:rPr>
            </w:pPr>
          </w:p>
        </w:tc>
        <w:tc>
          <w:tcPr>
            <w:tcW w:w="1440" w:type="dxa"/>
            <w:vAlign w:val="bottom"/>
            <w:tcBorders>
              <w:bottom w:val="single" w:sz="8" w:color="88888B"/>
            </w:tcBorders>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Borders>
              <w:bottom w:val="single" w:sz="8" w:color="88888B"/>
            </w:tcBorders>
          </w:tcPr>
          <w:p>
            <w:pPr>
              <w:spacing w:after="0"/>
              <w:rPr>
                <w:sz w:val="2"/>
                <w:szCs w:val="2"/>
                <w:color w:val="auto"/>
              </w:rPr>
            </w:pPr>
          </w:p>
        </w:tc>
        <w:tc>
          <w:tcPr>
            <w:tcW w:w="138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color w:val="55565A"/>
                <w:w w:val="99"/>
              </w:rPr>
              <w:t>Primary</w:t>
            </w:r>
          </w:p>
        </w:tc>
        <w:tc>
          <w:tcPr>
            <w:tcW w:w="1440" w:type="dxa"/>
            <w:vAlign w:val="bottom"/>
          </w:tcPr>
          <w:p>
            <w:pPr>
              <w:jc w:val="center"/>
              <w:spacing w:after="0" w:line="145" w:lineRule="exact"/>
              <w:rPr>
                <w:sz w:val="20"/>
                <w:szCs w:val="20"/>
                <w:color w:val="auto"/>
              </w:rPr>
            </w:pPr>
            <w:r>
              <w:rPr>
                <w:rFonts w:ascii="Arial" w:cs="Arial" w:eastAsia="Arial" w:hAnsi="Arial"/>
                <w:sz w:val="14"/>
                <w:szCs w:val="14"/>
                <w:color w:val="55565A"/>
              </w:rPr>
              <w:t>Derivative</w:t>
            </w:r>
          </w:p>
        </w:tc>
        <w:tc>
          <w:tcPr>
            <w:tcW w:w="72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color w:val="55565A"/>
              </w:rPr>
              <w:t>Primary</w:t>
            </w:r>
          </w:p>
        </w:tc>
        <w:tc>
          <w:tcPr>
            <w:tcW w:w="1380" w:type="dxa"/>
            <w:vAlign w:val="bottom"/>
          </w:tcPr>
          <w:p>
            <w:pPr>
              <w:jc w:val="center"/>
              <w:ind w:right="29"/>
              <w:spacing w:after="0" w:line="145" w:lineRule="exact"/>
              <w:rPr>
                <w:sz w:val="20"/>
                <w:szCs w:val="20"/>
                <w:color w:val="auto"/>
              </w:rPr>
            </w:pPr>
            <w:r>
              <w:rPr>
                <w:rFonts w:ascii="Arial" w:cs="Arial" w:eastAsia="Arial" w:hAnsi="Arial"/>
                <w:sz w:val="14"/>
                <w:szCs w:val="14"/>
                <w:color w:val="55565A"/>
              </w:rPr>
              <w:t>Derivative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55565A"/>
              </w:rPr>
              <w:t>Debt</w:t>
            </w:r>
          </w:p>
        </w:tc>
        <w:tc>
          <w:tcPr>
            <w:tcW w:w="1440" w:type="dxa"/>
            <w:vAlign w:val="bottom"/>
          </w:tcPr>
          <w:p>
            <w:pPr>
              <w:jc w:val="center"/>
              <w:spacing w:after="0"/>
              <w:rPr>
                <w:sz w:val="20"/>
                <w:szCs w:val="20"/>
                <w:color w:val="auto"/>
              </w:rPr>
            </w:pPr>
            <w:r>
              <w:rPr>
                <w:rFonts w:ascii="Arial" w:cs="Arial" w:eastAsia="Arial" w:hAnsi="Arial"/>
                <w:sz w:val="14"/>
                <w:szCs w:val="14"/>
                <w:color w:val="55565A"/>
              </w:rPr>
              <w:t>Instruments</w:t>
            </w:r>
          </w:p>
        </w:tc>
        <w:tc>
          <w:tcPr>
            <w:tcW w:w="7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55565A"/>
              </w:rPr>
              <w:t>Debt</w:t>
            </w:r>
          </w:p>
        </w:tc>
        <w:tc>
          <w:tcPr>
            <w:tcW w:w="1380" w:type="dxa"/>
            <w:vAlign w:val="bottom"/>
          </w:tcPr>
          <w:p>
            <w:pPr>
              <w:jc w:val="center"/>
              <w:ind w:right="9"/>
              <w:spacing w:after="0"/>
              <w:rPr>
                <w:sz w:val="20"/>
                <w:szCs w:val="20"/>
                <w:color w:val="auto"/>
              </w:rPr>
            </w:pPr>
            <w:r>
              <w:rPr>
                <w:rFonts w:ascii="Arial" w:cs="Arial" w:eastAsia="Arial" w:hAnsi="Arial"/>
                <w:sz w:val="14"/>
                <w:szCs w:val="14"/>
                <w:color w:val="55565A"/>
              </w:rPr>
              <w:t>Instruments</w:t>
            </w:r>
          </w:p>
        </w:tc>
        <w:tc>
          <w:tcPr>
            <w:tcW w:w="0" w:type="dxa"/>
            <w:vAlign w:val="bottom"/>
          </w:tcPr>
          <w:p>
            <w:pPr>
              <w:spacing w:after="0"/>
              <w:rPr>
                <w:sz w:val="1"/>
                <w:szCs w:val="1"/>
                <w:color w:val="auto"/>
              </w:rPr>
            </w:pPr>
          </w:p>
        </w:tc>
      </w:tr>
      <w:tr>
        <w:trPr>
          <w:trHeight w:val="195"/>
        </w:trPr>
        <w:tc>
          <w:tcPr>
            <w:tcW w:w="4720" w:type="dxa"/>
            <w:vAlign w:val="bottom"/>
            <w:gridSpan w:val="2"/>
          </w:tcPr>
          <w:p>
            <w:pPr>
              <w:spacing w:after="0"/>
              <w:rPr>
                <w:sz w:val="20"/>
                <w:szCs w:val="20"/>
                <w:color w:val="auto"/>
              </w:rPr>
            </w:pPr>
            <w:r>
              <w:rPr>
                <w:rFonts w:ascii="Arial" w:cs="Arial" w:eastAsia="Arial" w:hAnsi="Arial"/>
                <w:sz w:val="14"/>
                <w:szCs w:val="14"/>
                <w:b w:val="1"/>
                <w:bCs w:val="1"/>
                <w:color w:val="55565A"/>
              </w:rPr>
              <w:t>March 31, 2024</w:t>
            </w:r>
          </w:p>
        </w:tc>
        <w:tc>
          <w:tcPr>
            <w:tcW w:w="1360" w:type="dxa"/>
            <w:vAlign w:val="bottom"/>
          </w:tcPr>
          <w:p>
            <w:pPr>
              <w:jc w:val="center"/>
              <w:spacing w:after="0"/>
              <w:rPr>
                <w:sz w:val="20"/>
                <w:szCs w:val="20"/>
                <w:color w:val="auto"/>
              </w:rPr>
            </w:pPr>
            <w:r>
              <w:rPr>
                <w:rFonts w:ascii="Arial" w:cs="Arial" w:eastAsia="Arial" w:hAnsi="Arial"/>
                <w:sz w:val="14"/>
                <w:szCs w:val="14"/>
                <w:color w:val="55565A"/>
              </w:rPr>
              <w:t>Instruments</w:t>
            </w:r>
          </w:p>
        </w:tc>
        <w:tc>
          <w:tcPr>
            <w:tcW w:w="1440" w:type="dxa"/>
            <w:vAlign w:val="bottom"/>
          </w:tcPr>
          <w:p>
            <w:pPr>
              <w:jc w:val="center"/>
              <w:spacing w:after="0"/>
              <w:rPr>
                <w:sz w:val="20"/>
                <w:szCs w:val="20"/>
                <w:color w:val="auto"/>
              </w:rPr>
            </w:pPr>
            <w:r>
              <w:rPr>
                <w:rFonts w:ascii="Arial" w:cs="Arial" w:eastAsia="Arial" w:hAnsi="Arial"/>
                <w:sz w:val="14"/>
                <w:szCs w:val="14"/>
                <w:color w:val="55565A"/>
              </w:rPr>
              <w:t>(Asset)</w:t>
            </w:r>
          </w:p>
        </w:tc>
        <w:tc>
          <w:tcPr>
            <w:tcW w:w="7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55565A"/>
              </w:rPr>
              <w:t>Instruments</w:t>
            </w:r>
          </w:p>
        </w:tc>
        <w:tc>
          <w:tcPr>
            <w:tcW w:w="1380" w:type="dxa"/>
            <w:vAlign w:val="bottom"/>
          </w:tcPr>
          <w:p>
            <w:pPr>
              <w:jc w:val="center"/>
              <w:ind w:right="9"/>
              <w:spacing w:after="0"/>
              <w:rPr>
                <w:sz w:val="20"/>
                <w:szCs w:val="20"/>
                <w:color w:val="auto"/>
              </w:rPr>
            </w:pPr>
            <w:r>
              <w:rPr>
                <w:rFonts w:ascii="Arial" w:cs="Arial" w:eastAsia="Arial" w:hAnsi="Arial"/>
                <w:sz w:val="14"/>
                <w:szCs w:val="14"/>
                <w:color w:val="55565A"/>
              </w:rPr>
              <w:t>(Asset)</w:t>
            </w:r>
          </w:p>
        </w:tc>
        <w:tc>
          <w:tcPr>
            <w:tcW w:w="0" w:type="dxa"/>
            <w:vAlign w:val="bottom"/>
          </w:tcPr>
          <w:p>
            <w:pPr>
              <w:spacing w:after="0"/>
              <w:rPr>
                <w:sz w:val="1"/>
                <w:szCs w:val="1"/>
                <w:color w:val="auto"/>
              </w:rPr>
            </w:pPr>
          </w:p>
        </w:tc>
      </w:tr>
      <w:tr>
        <w:trPr>
          <w:trHeight w:val="55"/>
        </w:trPr>
        <w:tc>
          <w:tcPr>
            <w:tcW w:w="4720" w:type="dxa"/>
            <w:vAlign w:val="bottom"/>
            <w:gridSpan w:val="2"/>
          </w:tcPr>
          <w:p>
            <w:pPr>
              <w:spacing w:after="0"/>
              <w:rPr>
                <w:sz w:val="4"/>
                <w:szCs w:val="4"/>
                <w:color w:val="auto"/>
              </w:rPr>
            </w:pPr>
          </w:p>
        </w:tc>
        <w:tc>
          <w:tcPr>
            <w:tcW w:w="13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00" w:type="dxa"/>
            <w:vAlign w:val="bottom"/>
            <w:tcBorders>
              <w:top w:val="single" w:sz="8" w:color="88888B"/>
            </w:tcBorders>
            <w:shd w:val="clear" w:color="auto" w:fill="CCEEFF"/>
          </w:tcPr>
          <w:p>
            <w:pPr>
              <w:spacing w:after="0"/>
              <w:rPr>
                <w:sz w:val="20"/>
                <w:szCs w:val="20"/>
                <w:color w:val="auto"/>
              </w:rPr>
            </w:pPr>
            <w:r>
              <w:rPr>
                <w:rFonts w:ascii="Arial" w:cs="Arial" w:eastAsia="Arial" w:hAnsi="Arial"/>
                <w:sz w:val="14"/>
                <w:szCs w:val="14"/>
                <w:color w:val="55565A"/>
              </w:rPr>
              <w:t>Commercial paper</w:t>
            </w:r>
          </w:p>
        </w:tc>
        <w:tc>
          <w:tcPr>
            <w:tcW w:w="1360" w:type="dxa"/>
            <w:vAlign w:val="bottom"/>
            <w:tcBorders>
              <w:top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699</w:t>
            </w:r>
          </w:p>
        </w:tc>
        <w:tc>
          <w:tcPr>
            <w:tcW w:w="1440" w:type="dxa"/>
            <w:vAlign w:val="bottom"/>
            <w:tcBorders>
              <w:top w:val="single" w:sz="8" w:color="88888B"/>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55565A"/>
              </w:rPr>
              <w:t>–</w:t>
            </w:r>
          </w:p>
        </w:tc>
        <w:tc>
          <w:tcPr>
            <w:tcW w:w="2020" w:type="dxa"/>
            <w:vAlign w:val="bottom"/>
            <w:tcBorders>
              <w:top w:val="single" w:sz="8" w:color="88888B"/>
            </w:tcBorders>
            <w:gridSpan w:val="2"/>
            <w:shd w:val="clear" w:color="auto" w:fill="CCEEFF"/>
          </w:tcPr>
          <w:p>
            <w:pPr>
              <w:jc w:val="right"/>
              <w:ind w:right="209"/>
              <w:spacing w:after="0"/>
              <w:rPr>
                <w:sz w:val="20"/>
                <w:szCs w:val="20"/>
                <w:color w:val="auto"/>
              </w:rPr>
            </w:pPr>
            <w:r>
              <w:rPr>
                <w:rFonts w:ascii="Arial" w:cs="Arial" w:eastAsia="Arial" w:hAnsi="Arial"/>
                <w:sz w:val="14"/>
                <w:szCs w:val="14"/>
                <w:b w:val="1"/>
                <w:bCs w:val="1"/>
                <w:color w:val="55565A"/>
              </w:rPr>
              <w:t>700</w:t>
            </w:r>
          </w:p>
        </w:tc>
        <w:tc>
          <w:tcPr>
            <w:tcW w:w="1380" w:type="dxa"/>
            <w:vAlign w:val="bottom"/>
            <w:tcBorders>
              <w:top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4"/>
                <w:szCs w:val="14"/>
                <w:color w:val="55565A"/>
              </w:rPr>
              <w:t>C$1,400, 2.239% Notes, due 2025</w:t>
            </w:r>
          </w:p>
        </w:tc>
        <w:tc>
          <w:tcPr>
            <w:tcW w:w="1360" w:type="dxa"/>
            <w:vAlign w:val="bottom"/>
          </w:tcPr>
          <w:p>
            <w:pPr>
              <w:jc w:val="right"/>
              <w:ind w:right="249"/>
              <w:spacing w:after="0"/>
              <w:rPr>
                <w:sz w:val="20"/>
                <w:szCs w:val="20"/>
                <w:color w:val="auto"/>
              </w:rPr>
            </w:pPr>
            <w:r>
              <w:rPr>
                <w:rFonts w:ascii="Arial" w:cs="Arial" w:eastAsia="Arial" w:hAnsi="Arial"/>
                <w:sz w:val="14"/>
                <w:szCs w:val="14"/>
                <w:b w:val="1"/>
                <w:bCs w:val="1"/>
                <w:color w:val="55565A"/>
              </w:rPr>
              <w:t>1,034</w:t>
            </w:r>
          </w:p>
        </w:tc>
        <w:tc>
          <w:tcPr>
            <w:tcW w:w="1440" w:type="dxa"/>
            <w:vAlign w:val="bottom"/>
          </w:tcPr>
          <w:p>
            <w:pPr>
              <w:jc w:val="right"/>
              <w:ind w:right="309"/>
              <w:spacing w:after="0"/>
              <w:rPr>
                <w:sz w:val="20"/>
                <w:szCs w:val="20"/>
                <w:color w:val="auto"/>
              </w:rPr>
            </w:pPr>
            <w:r>
              <w:rPr>
                <w:rFonts w:ascii="Arial" w:cs="Arial" w:eastAsia="Arial" w:hAnsi="Arial"/>
                <w:sz w:val="14"/>
                <w:szCs w:val="14"/>
                <w:b w:val="1"/>
                <w:bCs w:val="1"/>
                <w:color w:val="55565A"/>
              </w:rPr>
              <w:t>(42)</w:t>
            </w:r>
          </w:p>
        </w:tc>
        <w:tc>
          <w:tcPr>
            <w:tcW w:w="202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55565A"/>
              </w:rPr>
              <w:t>1,003</w:t>
            </w:r>
          </w:p>
        </w:tc>
        <w:tc>
          <w:tcPr>
            <w:tcW w:w="1380" w:type="dxa"/>
            <w:vAlign w:val="bottom"/>
          </w:tcPr>
          <w:p>
            <w:pPr>
              <w:jc w:val="right"/>
              <w:ind w:right="289"/>
              <w:spacing w:after="0"/>
              <w:rPr>
                <w:sz w:val="20"/>
                <w:szCs w:val="20"/>
                <w:color w:val="auto"/>
              </w:rPr>
            </w:pPr>
            <w:r>
              <w:rPr>
                <w:rFonts w:ascii="Arial" w:cs="Arial" w:eastAsia="Arial" w:hAnsi="Arial"/>
                <w:sz w:val="14"/>
                <w:szCs w:val="14"/>
                <w:b w:val="1"/>
                <w:bCs w:val="1"/>
                <w:color w:val="55565A"/>
              </w:rPr>
              <w:t>(42)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shd w:val="clear" w:color="auto" w:fill="CCEEFF"/>
          </w:tcPr>
          <w:p>
            <w:pPr>
              <w:spacing w:after="0" w:line="188" w:lineRule="exact"/>
              <w:rPr>
                <w:sz w:val="20"/>
                <w:szCs w:val="20"/>
                <w:color w:val="auto"/>
              </w:rPr>
            </w:pPr>
            <w:r>
              <w:rPr>
                <w:rFonts w:ascii="Arial" w:cs="Arial" w:eastAsia="Arial" w:hAnsi="Arial"/>
                <w:sz w:val="14"/>
                <w:szCs w:val="14"/>
                <w:color w:val="55565A"/>
              </w:rPr>
              <w:t>$450, 3.85% Notes, due 2024</w:t>
            </w:r>
            <w:r>
              <w:rPr>
                <w:rFonts w:ascii="Arial" w:cs="Arial" w:eastAsia="Arial" w:hAnsi="Arial"/>
                <w:sz w:val="21"/>
                <w:szCs w:val="21"/>
                <w:color w:val="55565A"/>
                <w:vertAlign w:val="superscript"/>
              </w:rPr>
              <w:t>(1)</w:t>
            </w:r>
          </w:p>
        </w:tc>
        <w:tc>
          <w:tcPr>
            <w:tcW w:w="136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242</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55565A"/>
              </w:rPr>
              <w:t>–</w:t>
            </w:r>
          </w:p>
        </w:tc>
        <w:tc>
          <w:tcPr>
            <w:tcW w:w="20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b w:val="1"/>
                <w:bCs w:val="1"/>
                <w:color w:val="55565A"/>
              </w:rPr>
              <w:t>239</w:t>
            </w:r>
          </w:p>
        </w:tc>
        <w:tc>
          <w:tcPr>
            <w:tcW w:w="138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4"/>
                <w:szCs w:val="14"/>
                <w:color w:val="55565A"/>
              </w:rPr>
              <w:t>$500, 3.35% Notes, due 2026</w:t>
            </w:r>
          </w:p>
        </w:tc>
        <w:tc>
          <w:tcPr>
            <w:tcW w:w="1360" w:type="dxa"/>
            <w:vAlign w:val="bottom"/>
          </w:tcPr>
          <w:p>
            <w:pPr>
              <w:jc w:val="right"/>
              <w:ind w:right="249"/>
              <w:spacing w:after="0"/>
              <w:rPr>
                <w:sz w:val="20"/>
                <w:szCs w:val="20"/>
                <w:color w:val="auto"/>
              </w:rPr>
            </w:pPr>
            <w:r>
              <w:rPr>
                <w:rFonts w:ascii="Arial" w:cs="Arial" w:eastAsia="Arial" w:hAnsi="Arial"/>
                <w:sz w:val="14"/>
                <w:szCs w:val="14"/>
                <w:b w:val="1"/>
                <w:bCs w:val="1"/>
                <w:color w:val="55565A"/>
              </w:rPr>
              <w:t>499</w:t>
            </w:r>
          </w:p>
        </w:tc>
        <w:tc>
          <w:tcPr>
            <w:tcW w:w="1440" w:type="dxa"/>
            <w:vAlign w:val="bottom"/>
          </w:tcPr>
          <w:p>
            <w:pPr>
              <w:jc w:val="right"/>
              <w:ind w:right="309"/>
              <w:spacing w:after="0"/>
              <w:rPr>
                <w:sz w:val="20"/>
                <w:szCs w:val="20"/>
                <w:color w:val="auto"/>
              </w:rPr>
            </w:pPr>
            <w:r>
              <w:rPr>
                <w:rFonts w:ascii="Arial" w:cs="Arial" w:eastAsia="Arial" w:hAnsi="Arial"/>
                <w:sz w:val="14"/>
                <w:szCs w:val="14"/>
                <w:b w:val="1"/>
                <w:bCs w:val="1"/>
                <w:color w:val="55565A"/>
              </w:rPr>
              <w:t>–</w:t>
            </w:r>
          </w:p>
        </w:tc>
        <w:tc>
          <w:tcPr>
            <w:tcW w:w="202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55565A"/>
              </w:rPr>
              <w:t>482</w:t>
            </w:r>
          </w:p>
        </w:tc>
        <w:tc>
          <w:tcPr>
            <w:tcW w:w="1380" w:type="dxa"/>
            <w:vAlign w:val="bottom"/>
          </w:tcPr>
          <w:p>
            <w:pPr>
              <w:jc w:val="right"/>
              <w:ind w:right="289"/>
              <w:spacing w:after="0"/>
              <w:rPr>
                <w:sz w:val="20"/>
                <w:szCs w:val="20"/>
                <w:color w:val="auto"/>
              </w:rPr>
            </w:pPr>
            <w:r>
              <w:rPr>
                <w:rFonts w:ascii="Arial" w:cs="Arial" w:eastAsia="Arial" w:hAnsi="Arial"/>
                <w:sz w:val="14"/>
                <w:szCs w:val="14"/>
                <w:b w:val="1"/>
                <w:bCs w:val="1"/>
                <w:color w:val="55565A"/>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shd w:val="clear" w:color="auto" w:fill="CCEEFF"/>
          </w:tcPr>
          <w:p>
            <w:pPr>
              <w:spacing w:after="0" w:line="188" w:lineRule="exact"/>
              <w:rPr>
                <w:sz w:val="20"/>
                <w:szCs w:val="20"/>
                <w:color w:val="auto"/>
              </w:rPr>
            </w:pPr>
            <w:r>
              <w:rPr>
                <w:rFonts w:ascii="Arial" w:cs="Arial" w:eastAsia="Arial" w:hAnsi="Arial"/>
                <w:sz w:val="14"/>
                <w:szCs w:val="14"/>
                <w:color w:val="55565A"/>
              </w:rPr>
              <w:t>$350, 4.50% Notes, due 2043</w:t>
            </w:r>
            <w:r>
              <w:rPr>
                <w:rFonts w:ascii="Arial" w:cs="Arial" w:eastAsia="Arial" w:hAnsi="Arial"/>
                <w:sz w:val="21"/>
                <w:szCs w:val="21"/>
                <w:color w:val="55565A"/>
                <w:vertAlign w:val="superscript"/>
              </w:rPr>
              <w:t>(1)</w:t>
            </w:r>
          </w:p>
        </w:tc>
        <w:tc>
          <w:tcPr>
            <w:tcW w:w="136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116</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55565A"/>
              </w:rPr>
              <w:t>–</w:t>
            </w:r>
          </w:p>
        </w:tc>
        <w:tc>
          <w:tcPr>
            <w:tcW w:w="20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b w:val="1"/>
                <w:bCs w:val="1"/>
                <w:color w:val="55565A"/>
              </w:rPr>
              <w:t>94</w:t>
            </w:r>
          </w:p>
        </w:tc>
        <w:tc>
          <w:tcPr>
            <w:tcW w:w="138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4"/>
                <w:szCs w:val="14"/>
                <w:color w:val="55565A"/>
              </w:rPr>
              <w:t>$350, 5.65% Notes, due 2043</w:t>
            </w:r>
          </w:p>
        </w:tc>
        <w:tc>
          <w:tcPr>
            <w:tcW w:w="1360" w:type="dxa"/>
            <w:vAlign w:val="bottom"/>
          </w:tcPr>
          <w:p>
            <w:pPr>
              <w:jc w:val="right"/>
              <w:ind w:right="249"/>
              <w:spacing w:after="0"/>
              <w:rPr>
                <w:sz w:val="20"/>
                <w:szCs w:val="20"/>
                <w:color w:val="auto"/>
              </w:rPr>
            </w:pPr>
            <w:r>
              <w:rPr>
                <w:rFonts w:ascii="Arial" w:cs="Arial" w:eastAsia="Arial" w:hAnsi="Arial"/>
                <w:sz w:val="14"/>
                <w:szCs w:val="14"/>
                <w:b w:val="1"/>
                <w:bCs w:val="1"/>
                <w:color w:val="55565A"/>
              </w:rPr>
              <w:t>342</w:t>
            </w:r>
          </w:p>
        </w:tc>
        <w:tc>
          <w:tcPr>
            <w:tcW w:w="1440" w:type="dxa"/>
            <w:vAlign w:val="bottom"/>
          </w:tcPr>
          <w:p>
            <w:pPr>
              <w:jc w:val="right"/>
              <w:ind w:right="309"/>
              <w:spacing w:after="0"/>
              <w:rPr>
                <w:sz w:val="20"/>
                <w:szCs w:val="20"/>
                <w:color w:val="auto"/>
              </w:rPr>
            </w:pPr>
            <w:r>
              <w:rPr>
                <w:rFonts w:ascii="Arial" w:cs="Arial" w:eastAsia="Arial" w:hAnsi="Arial"/>
                <w:sz w:val="14"/>
                <w:szCs w:val="14"/>
                <w:b w:val="1"/>
                <w:bCs w:val="1"/>
                <w:color w:val="55565A"/>
              </w:rPr>
              <w:t>–</w:t>
            </w:r>
          </w:p>
        </w:tc>
        <w:tc>
          <w:tcPr>
            <w:tcW w:w="202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55565A"/>
              </w:rPr>
              <w:t>342</w:t>
            </w:r>
          </w:p>
        </w:tc>
        <w:tc>
          <w:tcPr>
            <w:tcW w:w="1380" w:type="dxa"/>
            <w:vAlign w:val="bottom"/>
          </w:tcPr>
          <w:p>
            <w:pPr>
              <w:jc w:val="right"/>
              <w:ind w:right="289"/>
              <w:spacing w:after="0"/>
              <w:rPr>
                <w:sz w:val="20"/>
                <w:szCs w:val="20"/>
                <w:color w:val="auto"/>
              </w:rPr>
            </w:pPr>
            <w:r>
              <w:rPr>
                <w:rFonts w:ascii="Arial" w:cs="Arial" w:eastAsia="Arial" w:hAnsi="Arial"/>
                <w:sz w:val="14"/>
                <w:szCs w:val="14"/>
                <w:b w:val="1"/>
                <w:bCs w:val="1"/>
                <w:color w:val="55565A"/>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color w:val="55565A"/>
              </w:rPr>
              <w:t>$400, 5.50% Debentures, due 2035</w:t>
            </w:r>
          </w:p>
        </w:tc>
        <w:tc>
          <w:tcPr>
            <w:tcW w:w="136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396</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55565A"/>
              </w:rPr>
              <w:t>–</w:t>
            </w:r>
          </w:p>
        </w:tc>
        <w:tc>
          <w:tcPr>
            <w:tcW w:w="20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b w:val="1"/>
                <w:bCs w:val="1"/>
                <w:color w:val="55565A"/>
              </w:rPr>
              <w:t>404</w:t>
            </w:r>
          </w:p>
        </w:tc>
        <w:tc>
          <w:tcPr>
            <w:tcW w:w="138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$500, 5.85% Debentures, due 2040</w:t>
            </w:r>
          </w:p>
        </w:tc>
        <w:tc>
          <w:tcPr>
            <w:tcW w:w="136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492</w:t>
            </w:r>
          </w:p>
        </w:tc>
        <w:tc>
          <w:tcPr>
            <w:tcW w:w="1440" w:type="dxa"/>
            <w:vAlign w:val="bottom"/>
            <w:tcBorders>
              <w:bottom w:val="single" w:sz="8" w:color="88888B"/>
            </w:tcBorders>
          </w:tcPr>
          <w:p>
            <w:pPr>
              <w:jc w:val="right"/>
              <w:ind w:right="309"/>
              <w:spacing w:after="0"/>
              <w:rPr>
                <w:sz w:val="20"/>
                <w:szCs w:val="20"/>
                <w:color w:val="auto"/>
              </w:rPr>
            </w:pPr>
            <w:r>
              <w:rPr>
                <w:rFonts w:ascii="Arial" w:cs="Arial" w:eastAsia="Arial" w:hAnsi="Arial"/>
                <w:sz w:val="14"/>
                <w:szCs w:val="14"/>
                <w:b w:val="1"/>
                <w:bCs w:val="1"/>
                <w:color w:val="55565A"/>
              </w:rPr>
              <w:t>–</w:t>
            </w:r>
          </w:p>
        </w:tc>
        <w:tc>
          <w:tcPr>
            <w:tcW w:w="2020" w:type="dxa"/>
            <w:vAlign w:val="bottom"/>
            <w:tcBorders>
              <w:bottom w:val="single" w:sz="8" w:color="88888B"/>
            </w:tcBorders>
            <w:gridSpan w:val="2"/>
          </w:tcPr>
          <w:p>
            <w:pPr>
              <w:jc w:val="right"/>
              <w:ind w:right="209"/>
              <w:spacing w:after="0"/>
              <w:rPr>
                <w:sz w:val="20"/>
                <w:szCs w:val="20"/>
                <w:color w:val="auto"/>
              </w:rPr>
            </w:pPr>
            <w:r>
              <w:rPr>
                <w:rFonts w:ascii="Arial" w:cs="Arial" w:eastAsia="Arial" w:hAnsi="Arial"/>
                <w:sz w:val="14"/>
                <w:szCs w:val="14"/>
                <w:b w:val="1"/>
                <w:bCs w:val="1"/>
                <w:color w:val="55565A"/>
              </w:rPr>
              <w:t>508</w:t>
            </w:r>
          </w:p>
        </w:tc>
        <w:tc>
          <w:tcPr>
            <w:tcW w:w="138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b w:val="1"/>
                <w:bCs w:val="1"/>
                <w:color w:val="55565A"/>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Total</w:t>
            </w:r>
          </w:p>
        </w:tc>
        <w:tc>
          <w:tcPr>
            <w:tcW w:w="136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3,820</w:t>
            </w:r>
          </w:p>
        </w:tc>
        <w:tc>
          <w:tcPr>
            <w:tcW w:w="1440" w:type="dxa"/>
            <w:vAlign w:val="bottom"/>
            <w:tcBorders>
              <w:bottom w:val="single" w:sz="8" w:color="88888B"/>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55565A"/>
              </w:rPr>
              <w:t>(42)</w:t>
            </w:r>
          </w:p>
        </w:tc>
        <w:tc>
          <w:tcPr>
            <w:tcW w:w="2020" w:type="dxa"/>
            <w:vAlign w:val="bottom"/>
            <w:tcBorders>
              <w:bottom w:val="single" w:sz="8" w:color="88888B"/>
            </w:tcBorders>
            <w:gridSpan w:val="2"/>
            <w:shd w:val="clear" w:color="auto" w:fill="CCEEFF"/>
          </w:tcPr>
          <w:p>
            <w:pPr>
              <w:jc w:val="right"/>
              <w:ind w:right="209"/>
              <w:spacing w:after="0"/>
              <w:rPr>
                <w:sz w:val="20"/>
                <w:szCs w:val="20"/>
                <w:color w:val="auto"/>
              </w:rPr>
            </w:pPr>
            <w:r>
              <w:rPr>
                <w:rFonts w:ascii="Arial" w:cs="Arial" w:eastAsia="Arial" w:hAnsi="Arial"/>
                <w:sz w:val="14"/>
                <w:szCs w:val="14"/>
                <w:b w:val="1"/>
                <w:bCs w:val="1"/>
                <w:color w:val="55565A"/>
              </w:rPr>
              <w:t>3,772</w:t>
            </w:r>
          </w:p>
        </w:tc>
        <w:tc>
          <w:tcPr>
            <w:tcW w:w="1380" w:type="dxa"/>
            <w:vAlign w:val="bottom"/>
            <w:tcBorders>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(42)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4"/>
                <w:szCs w:val="14"/>
                <w:color w:val="55565A"/>
              </w:rPr>
              <w:t>Current portion</w:t>
            </w:r>
          </w:p>
        </w:tc>
        <w:tc>
          <w:tcPr>
            <w:tcW w:w="1360" w:type="dxa"/>
            <w:vAlign w:val="bottom"/>
          </w:tcPr>
          <w:p>
            <w:pPr>
              <w:jc w:val="right"/>
              <w:ind w:right="249"/>
              <w:spacing w:after="0"/>
              <w:rPr>
                <w:sz w:val="20"/>
                <w:szCs w:val="20"/>
                <w:color w:val="auto"/>
              </w:rPr>
            </w:pPr>
            <w:r>
              <w:rPr>
                <w:rFonts w:ascii="Arial" w:cs="Arial" w:eastAsia="Arial" w:hAnsi="Arial"/>
                <w:sz w:val="14"/>
                <w:szCs w:val="14"/>
                <w:b w:val="1"/>
                <w:bCs w:val="1"/>
                <w:color w:val="55565A"/>
              </w:rPr>
              <w:t>941</w:t>
            </w:r>
          </w:p>
        </w:tc>
        <w:tc>
          <w:tcPr>
            <w:tcW w:w="1440" w:type="dxa"/>
            <w:vAlign w:val="bottom"/>
          </w:tcPr>
          <w:p>
            <w:pPr>
              <w:jc w:val="right"/>
              <w:ind w:right="309"/>
              <w:spacing w:after="0"/>
              <w:rPr>
                <w:sz w:val="20"/>
                <w:szCs w:val="20"/>
                <w:color w:val="auto"/>
              </w:rPr>
            </w:pPr>
            <w:r>
              <w:rPr>
                <w:rFonts w:ascii="Arial" w:cs="Arial" w:eastAsia="Arial" w:hAnsi="Arial"/>
                <w:sz w:val="14"/>
                <w:szCs w:val="14"/>
                <w:b w:val="1"/>
                <w:bCs w:val="1"/>
                <w:color w:val="55565A"/>
              </w:rPr>
              <w:t>–</w:t>
            </w:r>
          </w:p>
        </w:tc>
        <w:tc>
          <w:tcPr>
            <w:tcW w:w="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Long-term portion</w:t>
            </w:r>
          </w:p>
        </w:tc>
        <w:tc>
          <w:tcPr>
            <w:tcW w:w="136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2,879</w:t>
            </w:r>
          </w:p>
        </w:tc>
        <w:tc>
          <w:tcPr>
            <w:tcW w:w="1440" w:type="dxa"/>
            <w:vAlign w:val="bottom"/>
            <w:tcBorders>
              <w:bottom w:val="single" w:sz="8" w:color="88888B"/>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55565A"/>
              </w:rPr>
              <w:t>(42)</w:t>
            </w:r>
          </w:p>
        </w:tc>
        <w:tc>
          <w:tcPr>
            <w:tcW w:w="7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Borders>
              <w:bottom w:val="single" w:sz="8" w:color="88888B"/>
            </w:tcBorders>
          </w:tcPr>
          <w:p>
            <w:pPr>
              <w:spacing w:after="0"/>
              <w:rPr>
                <w:sz w:val="20"/>
                <w:szCs w:val="20"/>
                <w:color w:val="auto"/>
              </w:rPr>
            </w:pPr>
          </w:p>
        </w:tc>
        <w:tc>
          <w:tcPr>
            <w:tcW w:w="2800" w:type="dxa"/>
            <w:vAlign w:val="bottom"/>
            <w:tcBorders>
              <w:bottom w:val="single" w:sz="8" w:color="88888B"/>
            </w:tcBorders>
            <w:gridSpan w:val="2"/>
          </w:tcPr>
          <w:p>
            <w:pPr>
              <w:spacing w:after="0"/>
              <w:rPr>
                <w:sz w:val="20"/>
                <w:szCs w:val="20"/>
                <w:color w:val="auto"/>
              </w:rPr>
            </w:pPr>
          </w:p>
        </w:tc>
        <w:tc>
          <w:tcPr>
            <w:tcW w:w="720" w:type="dxa"/>
            <w:vAlign w:val="bottom"/>
            <w:tcBorders>
              <w:bottom w:val="single" w:sz="8" w:color="88888B"/>
            </w:tcBorders>
          </w:tcPr>
          <w:p>
            <w:pPr>
              <w:spacing w:after="0"/>
              <w:rPr>
                <w:sz w:val="20"/>
                <w:szCs w:val="20"/>
                <w:color w:val="auto"/>
              </w:rPr>
            </w:pPr>
          </w:p>
        </w:tc>
        <w:tc>
          <w:tcPr>
            <w:tcW w:w="2680" w:type="dxa"/>
            <w:vAlign w:val="bottom"/>
            <w:tcBorders>
              <w:bottom w:val="single" w:sz="8" w:color="88888B"/>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800" w:type="dxa"/>
            <w:vAlign w:val="bottom"/>
            <w:gridSpan w:val="2"/>
          </w:tcPr>
          <w:p>
            <w:pPr>
              <w:jc w:val="right"/>
              <w:ind w:right="829"/>
              <w:spacing w:after="0"/>
              <w:rPr>
                <w:sz w:val="20"/>
                <w:szCs w:val="20"/>
                <w:color w:val="auto"/>
              </w:rPr>
            </w:pPr>
            <w:r>
              <w:rPr>
                <w:rFonts w:ascii="Arial" w:cs="Arial" w:eastAsia="Arial" w:hAnsi="Arial"/>
                <w:sz w:val="14"/>
                <w:szCs w:val="14"/>
                <w:color w:val="55565A"/>
              </w:rPr>
              <w:t>Carrying Amount</w:t>
            </w:r>
          </w:p>
        </w:tc>
        <w:tc>
          <w:tcPr>
            <w:tcW w:w="720" w:type="dxa"/>
            <w:vAlign w:val="bottom"/>
          </w:tcPr>
          <w:p>
            <w:pPr>
              <w:spacing w:after="0"/>
              <w:rPr>
                <w:sz w:val="15"/>
                <w:szCs w:val="15"/>
                <w:color w:val="auto"/>
              </w:rPr>
            </w:pPr>
          </w:p>
        </w:tc>
        <w:tc>
          <w:tcPr>
            <w:tcW w:w="2680" w:type="dxa"/>
            <w:vAlign w:val="bottom"/>
            <w:gridSpan w:val="2"/>
          </w:tcPr>
          <w:p>
            <w:pPr>
              <w:jc w:val="right"/>
              <w:ind w:right="989"/>
              <w:spacing w:after="0"/>
              <w:rPr>
                <w:sz w:val="20"/>
                <w:szCs w:val="20"/>
                <w:color w:val="auto"/>
              </w:rPr>
            </w:pPr>
            <w:r>
              <w:rPr>
                <w:rFonts w:ascii="Arial" w:cs="Arial" w:eastAsia="Arial" w:hAnsi="Arial"/>
                <w:sz w:val="14"/>
                <w:szCs w:val="14"/>
                <w:color w:val="55565A"/>
              </w:rPr>
              <w:t>Fair Value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Borders>
              <w:bottom w:val="single" w:sz="8" w:color="88888B"/>
            </w:tcBorders>
          </w:tcPr>
          <w:p>
            <w:pPr>
              <w:spacing w:after="0"/>
              <w:rPr>
                <w:sz w:val="2"/>
                <w:szCs w:val="2"/>
                <w:color w:val="auto"/>
              </w:rPr>
            </w:pPr>
          </w:p>
        </w:tc>
        <w:tc>
          <w:tcPr>
            <w:tcW w:w="1440" w:type="dxa"/>
            <w:vAlign w:val="bottom"/>
            <w:tcBorders>
              <w:bottom w:val="single" w:sz="8" w:color="88888B"/>
            </w:tcBorders>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Borders>
              <w:bottom w:val="single" w:sz="8" w:color="88888B"/>
            </w:tcBorders>
          </w:tcPr>
          <w:p>
            <w:pPr>
              <w:spacing w:after="0"/>
              <w:rPr>
                <w:sz w:val="2"/>
                <w:szCs w:val="2"/>
                <w:color w:val="auto"/>
              </w:rPr>
            </w:pPr>
          </w:p>
        </w:tc>
        <w:tc>
          <w:tcPr>
            <w:tcW w:w="138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color w:val="55565A"/>
                <w:w w:val="99"/>
              </w:rPr>
              <w:t>Primary</w:t>
            </w:r>
          </w:p>
        </w:tc>
        <w:tc>
          <w:tcPr>
            <w:tcW w:w="1440" w:type="dxa"/>
            <w:vAlign w:val="bottom"/>
          </w:tcPr>
          <w:p>
            <w:pPr>
              <w:jc w:val="center"/>
              <w:spacing w:after="0" w:line="145" w:lineRule="exact"/>
              <w:rPr>
                <w:sz w:val="20"/>
                <w:szCs w:val="20"/>
                <w:color w:val="auto"/>
              </w:rPr>
            </w:pPr>
            <w:r>
              <w:rPr>
                <w:rFonts w:ascii="Arial" w:cs="Arial" w:eastAsia="Arial" w:hAnsi="Arial"/>
                <w:sz w:val="14"/>
                <w:szCs w:val="14"/>
                <w:color w:val="55565A"/>
              </w:rPr>
              <w:t>Derivative</w:t>
            </w:r>
          </w:p>
        </w:tc>
        <w:tc>
          <w:tcPr>
            <w:tcW w:w="72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color w:val="55565A"/>
              </w:rPr>
              <w:t>Primary</w:t>
            </w:r>
          </w:p>
        </w:tc>
        <w:tc>
          <w:tcPr>
            <w:tcW w:w="1380" w:type="dxa"/>
            <w:vAlign w:val="bottom"/>
          </w:tcPr>
          <w:p>
            <w:pPr>
              <w:jc w:val="center"/>
              <w:ind w:right="29"/>
              <w:spacing w:after="0" w:line="145" w:lineRule="exact"/>
              <w:rPr>
                <w:sz w:val="20"/>
                <w:szCs w:val="20"/>
                <w:color w:val="auto"/>
              </w:rPr>
            </w:pPr>
            <w:r>
              <w:rPr>
                <w:rFonts w:ascii="Arial" w:cs="Arial" w:eastAsia="Arial" w:hAnsi="Arial"/>
                <w:sz w:val="14"/>
                <w:szCs w:val="14"/>
                <w:color w:val="55565A"/>
              </w:rPr>
              <w:t>Derivative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55565A"/>
              </w:rPr>
              <w:t>Debt</w:t>
            </w:r>
          </w:p>
        </w:tc>
        <w:tc>
          <w:tcPr>
            <w:tcW w:w="1440" w:type="dxa"/>
            <w:vAlign w:val="bottom"/>
          </w:tcPr>
          <w:p>
            <w:pPr>
              <w:jc w:val="center"/>
              <w:spacing w:after="0"/>
              <w:rPr>
                <w:sz w:val="20"/>
                <w:szCs w:val="20"/>
                <w:color w:val="auto"/>
              </w:rPr>
            </w:pPr>
            <w:r>
              <w:rPr>
                <w:rFonts w:ascii="Arial" w:cs="Arial" w:eastAsia="Arial" w:hAnsi="Arial"/>
                <w:sz w:val="14"/>
                <w:szCs w:val="14"/>
                <w:color w:val="55565A"/>
              </w:rPr>
              <w:t>Instruments</w:t>
            </w:r>
          </w:p>
        </w:tc>
        <w:tc>
          <w:tcPr>
            <w:tcW w:w="7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55565A"/>
              </w:rPr>
              <w:t>Debt</w:t>
            </w:r>
          </w:p>
        </w:tc>
        <w:tc>
          <w:tcPr>
            <w:tcW w:w="1380" w:type="dxa"/>
            <w:vAlign w:val="bottom"/>
          </w:tcPr>
          <w:p>
            <w:pPr>
              <w:jc w:val="center"/>
              <w:ind w:right="9"/>
              <w:spacing w:after="0"/>
              <w:rPr>
                <w:sz w:val="20"/>
                <w:szCs w:val="20"/>
                <w:color w:val="auto"/>
              </w:rPr>
            </w:pPr>
            <w:r>
              <w:rPr>
                <w:rFonts w:ascii="Arial" w:cs="Arial" w:eastAsia="Arial" w:hAnsi="Arial"/>
                <w:sz w:val="14"/>
                <w:szCs w:val="14"/>
                <w:color w:val="55565A"/>
              </w:rPr>
              <w:t>Instruments</w:t>
            </w:r>
          </w:p>
        </w:tc>
        <w:tc>
          <w:tcPr>
            <w:tcW w:w="0" w:type="dxa"/>
            <w:vAlign w:val="bottom"/>
          </w:tcPr>
          <w:p>
            <w:pPr>
              <w:spacing w:after="0"/>
              <w:rPr>
                <w:sz w:val="1"/>
                <w:szCs w:val="1"/>
                <w:color w:val="auto"/>
              </w:rPr>
            </w:pPr>
          </w:p>
        </w:tc>
      </w:tr>
      <w:tr>
        <w:trPr>
          <w:trHeight w:val="189"/>
        </w:trPr>
        <w:tc>
          <w:tcPr>
            <w:tcW w:w="4720" w:type="dxa"/>
            <w:vAlign w:val="bottom"/>
            <w:gridSpan w:val="2"/>
            <w:vMerge w:val="restart"/>
          </w:tcPr>
          <w:p>
            <w:pPr>
              <w:spacing w:after="0"/>
              <w:rPr>
                <w:sz w:val="20"/>
                <w:szCs w:val="20"/>
                <w:color w:val="auto"/>
              </w:rPr>
            </w:pPr>
            <w:r>
              <w:rPr>
                <w:rFonts w:ascii="Arial" w:cs="Arial" w:eastAsia="Arial" w:hAnsi="Arial"/>
                <w:sz w:val="14"/>
                <w:szCs w:val="14"/>
                <w:color w:val="55565A"/>
              </w:rPr>
              <w:t>December 31, 2023</w:t>
            </w:r>
          </w:p>
        </w:tc>
        <w:tc>
          <w:tcPr>
            <w:tcW w:w="1360" w:type="dxa"/>
            <w:vAlign w:val="bottom"/>
          </w:tcPr>
          <w:p>
            <w:pPr>
              <w:jc w:val="center"/>
              <w:spacing w:after="0"/>
              <w:rPr>
                <w:sz w:val="20"/>
                <w:szCs w:val="20"/>
                <w:color w:val="auto"/>
              </w:rPr>
            </w:pPr>
            <w:r>
              <w:rPr>
                <w:rFonts w:ascii="Arial" w:cs="Arial" w:eastAsia="Arial" w:hAnsi="Arial"/>
                <w:sz w:val="14"/>
                <w:szCs w:val="14"/>
                <w:color w:val="55565A"/>
              </w:rPr>
              <w:t>Instruments</w:t>
            </w:r>
          </w:p>
        </w:tc>
        <w:tc>
          <w:tcPr>
            <w:tcW w:w="1440" w:type="dxa"/>
            <w:vAlign w:val="bottom"/>
          </w:tcPr>
          <w:p>
            <w:pPr>
              <w:jc w:val="center"/>
              <w:spacing w:after="0"/>
              <w:rPr>
                <w:sz w:val="20"/>
                <w:szCs w:val="20"/>
                <w:color w:val="auto"/>
              </w:rPr>
            </w:pPr>
            <w:r>
              <w:rPr>
                <w:rFonts w:ascii="Arial" w:cs="Arial" w:eastAsia="Arial" w:hAnsi="Arial"/>
                <w:sz w:val="14"/>
                <w:szCs w:val="14"/>
                <w:color w:val="55565A"/>
              </w:rPr>
              <w:t>(Asset)</w:t>
            </w:r>
          </w:p>
        </w:tc>
        <w:tc>
          <w:tcPr>
            <w:tcW w:w="7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55565A"/>
              </w:rPr>
              <w:t>Instruments</w:t>
            </w:r>
          </w:p>
        </w:tc>
        <w:tc>
          <w:tcPr>
            <w:tcW w:w="1380" w:type="dxa"/>
            <w:vAlign w:val="bottom"/>
          </w:tcPr>
          <w:p>
            <w:pPr>
              <w:jc w:val="center"/>
              <w:ind w:right="9"/>
              <w:spacing w:after="0"/>
              <w:rPr>
                <w:sz w:val="20"/>
                <w:szCs w:val="20"/>
                <w:color w:val="auto"/>
              </w:rPr>
            </w:pPr>
            <w:r>
              <w:rPr>
                <w:rFonts w:ascii="Arial" w:cs="Arial" w:eastAsia="Arial" w:hAnsi="Arial"/>
                <w:sz w:val="14"/>
                <w:szCs w:val="14"/>
                <w:color w:val="55565A"/>
              </w:rPr>
              <w:t>(Asset)</w:t>
            </w:r>
          </w:p>
        </w:tc>
        <w:tc>
          <w:tcPr>
            <w:tcW w:w="0" w:type="dxa"/>
            <w:vAlign w:val="bottom"/>
          </w:tcPr>
          <w:p>
            <w:pPr>
              <w:spacing w:after="0"/>
              <w:rPr>
                <w:sz w:val="1"/>
                <w:szCs w:val="1"/>
                <w:color w:val="auto"/>
              </w:rPr>
            </w:pPr>
          </w:p>
        </w:tc>
      </w:tr>
      <w:tr>
        <w:trPr>
          <w:trHeight w:val="57"/>
        </w:trPr>
        <w:tc>
          <w:tcPr>
            <w:tcW w:w="4720" w:type="dxa"/>
            <w:vAlign w:val="bottom"/>
            <w:gridSpan w:val="2"/>
            <w:vMerge w:val="continue"/>
          </w:tcPr>
          <w:p>
            <w:pPr>
              <w:spacing w:after="0"/>
              <w:rPr>
                <w:sz w:val="4"/>
                <w:szCs w:val="4"/>
                <w:color w:val="auto"/>
              </w:rPr>
            </w:pPr>
          </w:p>
        </w:tc>
        <w:tc>
          <w:tcPr>
            <w:tcW w:w="13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700" w:type="dxa"/>
            <w:vAlign w:val="bottom"/>
            <w:tcBorders>
              <w:top w:val="single" w:sz="8" w:color="88888B"/>
            </w:tcBorders>
            <w:shd w:val="clear" w:color="auto" w:fill="CCEEFF"/>
          </w:tcPr>
          <w:p>
            <w:pPr>
              <w:spacing w:after="0"/>
              <w:rPr>
                <w:sz w:val="20"/>
                <w:szCs w:val="20"/>
                <w:color w:val="auto"/>
              </w:rPr>
            </w:pPr>
            <w:r>
              <w:rPr>
                <w:rFonts w:ascii="Arial" w:cs="Arial" w:eastAsia="Arial" w:hAnsi="Arial"/>
                <w:sz w:val="14"/>
                <w:szCs w:val="14"/>
                <w:color w:val="55565A"/>
              </w:rPr>
              <w:t>Commercial paper</w:t>
            </w:r>
          </w:p>
        </w:tc>
        <w:tc>
          <w:tcPr>
            <w:tcW w:w="1360" w:type="dxa"/>
            <w:vAlign w:val="bottom"/>
            <w:tcBorders>
              <w:top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color w:val="55565A"/>
              </w:rPr>
              <w:t>130</w:t>
            </w:r>
          </w:p>
        </w:tc>
        <w:tc>
          <w:tcPr>
            <w:tcW w:w="1440" w:type="dxa"/>
            <w:vAlign w:val="bottom"/>
            <w:tcBorders>
              <w:top w:val="single" w:sz="8" w:color="88888B"/>
            </w:tcBorders>
            <w:shd w:val="clear" w:color="auto" w:fill="CCEEFF"/>
          </w:tcPr>
          <w:p>
            <w:pPr>
              <w:jc w:val="right"/>
              <w:ind w:right="309"/>
              <w:spacing w:after="0"/>
              <w:rPr>
                <w:sz w:val="20"/>
                <w:szCs w:val="20"/>
                <w:color w:val="auto"/>
              </w:rPr>
            </w:pPr>
            <w:r>
              <w:rPr>
                <w:rFonts w:ascii="Arial" w:cs="Arial" w:eastAsia="Arial" w:hAnsi="Arial"/>
                <w:sz w:val="14"/>
                <w:szCs w:val="14"/>
                <w:color w:val="55565A"/>
              </w:rPr>
              <w:t>–</w:t>
            </w:r>
          </w:p>
        </w:tc>
        <w:tc>
          <w:tcPr>
            <w:tcW w:w="2020" w:type="dxa"/>
            <w:vAlign w:val="bottom"/>
            <w:tcBorders>
              <w:top w:val="single" w:sz="8" w:color="88888B"/>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55565A"/>
              </w:rPr>
              <w:t>130</w:t>
            </w:r>
          </w:p>
        </w:tc>
        <w:tc>
          <w:tcPr>
            <w:tcW w:w="1380" w:type="dxa"/>
            <w:vAlign w:val="bottom"/>
            <w:tcBorders>
              <w:top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color w:val="55565A"/>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4"/>
                <w:szCs w:val="14"/>
                <w:color w:val="55565A"/>
              </w:rPr>
              <w:t>C$1,400, 2.239% Notes, due 2025</w:t>
            </w:r>
          </w:p>
        </w:tc>
        <w:tc>
          <w:tcPr>
            <w:tcW w:w="1360" w:type="dxa"/>
            <w:vAlign w:val="bottom"/>
          </w:tcPr>
          <w:p>
            <w:pPr>
              <w:jc w:val="right"/>
              <w:ind w:right="249"/>
              <w:spacing w:after="0"/>
              <w:rPr>
                <w:sz w:val="20"/>
                <w:szCs w:val="20"/>
                <w:color w:val="auto"/>
              </w:rPr>
            </w:pPr>
            <w:r>
              <w:rPr>
                <w:rFonts w:ascii="Arial" w:cs="Arial" w:eastAsia="Arial" w:hAnsi="Arial"/>
                <w:sz w:val="14"/>
                <w:szCs w:val="14"/>
                <w:color w:val="55565A"/>
              </w:rPr>
              <w:t>1,060</w:t>
            </w:r>
          </w:p>
        </w:tc>
        <w:tc>
          <w:tcPr>
            <w:tcW w:w="1440" w:type="dxa"/>
            <w:vAlign w:val="bottom"/>
          </w:tcPr>
          <w:p>
            <w:pPr>
              <w:jc w:val="right"/>
              <w:ind w:right="309"/>
              <w:spacing w:after="0"/>
              <w:rPr>
                <w:sz w:val="20"/>
                <w:szCs w:val="20"/>
                <w:color w:val="auto"/>
              </w:rPr>
            </w:pPr>
            <w:r>
              <w:rPr>
                <w:rFonts w:ascii="Arial" w:cs="Arial" w:eastAsia="Arial" w:hAnsi="Arial"/>
                <w:sz w:val="14"/>
                <w:szCs w:val="14"/>
                <w:color w:val="55565A"/>
              </w:rPr>
              <w:t>(65)</w:t>
            </w:r>
          </w:p>
        </w:tc>
        <w:tc>
          <w:tcPr>
            <w:tcW w:w="2020" w:type="dxa"/>
            <w:vAlign w:val="bottom"/>
            <w:gridSpan w:val="2"/>
          </w:tcPr>
          <w:p>
            <w:pPr>
              <w:jc w:val="right"/>
              <w:ind w:right="209"/>
              <w:spacing w:after="0"/>
              <w:rPr>
                <w:sz w:val="20"/>
                <w:szCs w:val="20"/>
                <w:color w:val="auto"/>
              </w:rPr>
            </w:pPr>
            <w:r>
              <w:rPr>
                <w:rFonts w:ascii="Arial" w:cs="Arial" w:eastAsia="Arial" w:hAnsi="Arial"/>
                <w:sz w:val="14"/>
                <w:szCs w:val="14"/>
                <w:color w:val="55565A"/>
              </w:rPr>
              <w:t>1,026</w:t>
            </w:r>
          </w:p>
        </w:tc>
        <w:tc>
          <w:tcPr>
            <w:tcW w:w="1380" w:type="dxa"/>
            <w:vAlign w:val="bottom"/>
          </w:tcPr>
          <w:p>
            <w:pPr>
              <w:jc w:val="right"/>
              <w:ind w:right="289"/>
              <w:spacing w:after="0"/>
              <w:rPr>
                <w:sz w:val="20"/>
                <w:szCs w:val="20"/>
                <w:color w:val="auto"/>
              </w:rPr>
            </w:pPr>
            <w:r>
              <w:rPr>
                <w:rFonts w:ascii="Arial" w:cs="Arial" w:eastAsia="Arial" w:hAnsi="Arial"/>
                <w:sz w:val="14"/>
                <w:szCs w:val="14"/>
                <w:color w:val="55565A"/>
              </w:rPr>
              <w:t>(65)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shd w:val="clear" w:color="auto" w:fill="CCEEFF"/>
          </w:tcPr>
          <w:p>
            <w:pPr>
              <w:spacing w:after="0" w:line="188" w:lineRule="exact"/>
              <w:rPr>
                <w:sz w:val="20"/>
                <w:szCs w:val="20"/>
                <w:color w:val="auto"/>
              </w:rPr>
            </w:pPr>
            <w:r>
              <w:rPr>
                <w:rFonts w:ascii="Arial" w:cs="Arial" w:eastAsia="Arial" w:hAnsi="Arial"/>
                <w:sz w:val="14"/>
                <w:szCs w:val="14"/>
                <w:color w:val="55565A"/>
              </w:rPr>
              <w:t>$450, 3.85% Notes, due 2024</w:t>
            </w:r>
            <w:r>
              <w:rPr>
                <w:rFonts w:ascii="Arial" w:cs="Arial" w:eastAsia="Arial" w:hAnsi="Arial"/>
                <w:sz w:val="21"/>
                <w:szCs w:val="21"/>
                <w:color w:val="55565A"/>
                <w:vertAlign w:val="superscript"/>
              </w:rPr>
              <w:t>(1)</w:t>
            </w:r>
          </w:p>
        </w:tc>
        <w:tc>
          <w:tcPr>
            <w:tcW w:w="13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242</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5565A"/>
              </w:rPr>
              <w:t>–</w:t>
            </w:r>
          </w:p>
        </w:tc>
        <w:tc>
          <w:tcPr>
            <w:tcW w:w="20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55565A"/>
              </w:rPr>
              <w:t>239</w:t>
            </w:r>
          </w:p>
        </w:tc>
        <w:tc>
          <w:tcPr>
            <w:tcW w:w="138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4"/>
                <w:szCs w:val="14"/>
                <w:color w:val="55565A"/>
              </w:rPr>
              <w:t>$500, 3.35% Notes, due 2026</w:t>
            </w:r>
          </w:p>
        </w:tc>
        <w:tc>
          <w:tcPr>
            <w:tcW w:w="1360" w:type="dxa"/>
            <w:vAlign w:val="bottom"/>
          </w:tcPr>
          <w:p>
            <w:pPr>
              <w:jc w:val="right"/>
              <w:ind w:right="249"/>
              <w:spacing w:after="0"/>
              <w:rPr>
                <w:sz w:val="20"/>
                <w:szCs w:val="20"/>
                <w:color w:val="auto"/>
              </w:rPr>
            </w:pPr>
            <w:r>
              <w:rPr>
                <w:rFonts w:ascii="Arial" w:cs="Arial" w:eastAsia="Arial" w:hAnsi="Arial"/>
                <w:sz w:val="14"/>
                <w:szCs w:val="14"/>
                <w:color w:val="55565A"/>
              </w:rPr>
              <w:t>499</w:t>
            </w:r>
          </w:p>
        </w:tc>
        <w:tc>
          <w:tcPr>
            <w:tcW w:w="1440" w:type="dxa"/>
            <w:vAlign w:val="bottom"/>
          </w:tcPr>
          <w:p>
            <w:pPr>
              <w:jc w:val="right"/>
              <w:ind w:right="309"/>
              <w:spacing w:after="0"/>
              <w:rPr>
                <w:sz w:val="20"/>
                <w:szCs w:val="20"/>
                <w:color w:val="auto"/>
              </w:rPr>
            </w:pPr>
            <w:r>
              <w:rPr>
                <w:rFonts w:ascii="Arial" w:cs="Arial" w:eastAsia="Arial" w:hAnsi="Arial"/>
                <w:sz w:val="14"/>
                <w:szCs w:val="14"/>
                <w:color w:val="55565A"/>
              </w:rPr>
              <w:t>–</w:t>
            </w:r>
          </w:p>
        </w:tc>
        <w:tc>
          <w:tcPr>
            <w:tcW w:w="2020" w:type="dxa"/>
            <w:vAlign w:val="bottom"/>
            <w:gridSpan w:val="2"/>
          </w:tcPr>
          <w:p>
            <w:pPr>
              <w:jc w:val="right"/>
              <w:ind w:right="209"/>
              <w:spacing w:after="0"/>
              <w:rPr>
                <w:sz w:val="20"/>
                <w:szCs w:val="20"/>
                <w:color w:val="auto"/>
              </w:rPr>
            </w:pPr>
            <w:r>
              <w:rPr>
                <w:rFonts w:ascii="Arial" w:cs="Arial" w:eastAsia="Arial" w:hAnsi="Arial"/>
                <w:sz w:val="14"/>
                <w:szCs w:val="14"/>
                <w:color w:val="55565A"/>
              </w:rPr>
              <w:t>482</w:t>
            </w:r>
          </w:p>
        </w:tc>
        <w:tc>
          <w:tcPr>
            <w:tcW w:w="1380" w:type="dxa"/>
            <w:vAlign w:val="bottom"/>
          </w:tcPr>
          <w:p>
            <w:pPr>
              <w:jc w:val="right"/>
              <w:ind w:right="289"/>
              <w:spacing w:after="0"/>
              <w:rPr>
                <w:sz w:val="20"/>
                <w:szCs w:val="20"/>
                <w:color w:val="auto"/>
              </w:rPr>
            </w:pPr>
            <w:r>
              <w:rPr>
                <w:rFonts w:ascii="Arial" w:cs="Arial" w:eastAsia="Arial" w:hAnsi="Arial"/>
                <w:sz w:val="14"/>
                <w:szCs w:val="14"/>
                <w:color w:val="55565A"/>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shd w:val="clear" w:color="auto" w:fill="CCEEFF"/>
          </w:tcPr>
          <w:p>
            <w:pPr>
              <w:spacing w:after="0" w:line="188" w:lineRule="exact"/>
              <w:rPr>
                <w:sz w:val="20"/>
                <w:szCs w:val="20"/>
                <w:color w:val="auto"/>
              </w:rPr>
            </w:pPr>
            <w:r>
              <w:rPr>
                <w:rFonts w:ascii="Arial" w:cs="Arial" w:eastAsia="Arial" w:hAnsi="Arial"/>
                <w:sz w:val="14"/>
                <w:szCs w:val="14"/>
                <w:color w:val="55565A"/>
              </w:rPr>
              <w:t>$350, 4.50% Notes, due 2043</w:t>
            </w:r>
            <w:r>
              <w:rPr>
                <w:rFonts w:ascii="Arial" w:cs="Arial" w:eastAsia="Arial" w:hAnsi="Arial"/>
                <w:sz w:val="21"/>
                <w:szCs w:val="21"/>
                <w:color w:val="55565A"/>
                <w:vertAlign w:val="superscript"/>
              </w:rPr>
              <w:t>(1)</w:t>
            </w:r>
          </w:p>
        </w:tc>
        <w:tc>
          <w:tcPr>
            <w:tcW w:w="13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116</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5565A"/>
              </w:rPr>
              <w:t>–</w:t>
            </w:r>
          </w:p>
        </w:tc>
        <w:tc>
          <w:tcPr>
            <w:tcW w:w="20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55565A"/>
              </w:rPr>
              <w:t>95</w:t>
            </w:r>
          </w:p>
        </w:tc>
        <w:tc>
          <w:tcPr>
            <w:tcW w:w="138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4"/>
                <w:szCs w:val="14"/>
                <w:color w:val="55565A"/>
              </w:rPr>
              <w:t>$350, 5.65% Notes, due 2043</w:t>
            </w:r>
          </w:p>
        </w:tc>
        <w:tc>
          <w:tcPr>
            <w:tcW w:w="1360" w:type="dxa"/>
            <w:vAlign w:val="bottom"/>
          </w:tcPr>
          <w:p>
            <w:pPr>
              <w:jc w:val="right"/>
              <w:ind w:right="249"/>
              <w:spacing w:after="0"/>
              <w:rPr>
                <w:sz w:val="20"/>
                <w:szCs w:val="20"/>
                <w:color w:val="auto"/>
              </w:rPr>
            </w:pPr>
            <w:r>
              <w:rPr>
                <w:rFonts w:ascii="Arial" w:cs="Arial" w:eastAsia="Arial" w:hAnsi="Arial"/>
                <w:sz w:val="14"/>
                <w:szCs w:val="14"/>
                <w:color w:val="55565A"/>
              </w:rPr>
              <w:t>342</w:t>
            </w:r>
          </w:p>
        </w:tc>
        <w:tc>
          <w:tcPr>
            <w:tcW w:w="1440" w:type="dxa"/>
            <w:vAlign w:val="bottom"/>
          </w:tcPr>
          <w:p>
            <w:pPr>
              <w:jc w:val="right"/>
              <w:ind w:right="309"/>
              <w:spacing w:after="0"/>
              <w:rPr>
                <w:sz w:val="20"/>
                <w:szCs w:val="20"/>
                <w:color w:val="auto"/>
              </w:rPr>
            </w:pPr>
            <w:r>
              <w:rPr>
                <w:rFonts w:ascii="Arial" w:cs="Arial" w:eastAsia="Arial" w:hAnsi="Arial"/>
                <w:sz w:val="14"/>
                <w:szCs w:val="14"/>
                <w:color w:val="55565A"/>
              </w:rPr>
              <w:t>–</w:t>
            </w:r>
          </w:p>
        </w:tc>
        <w:tc>
          <w:tcPr>
            <w:tcW w:w="2020" w:type="dxa"/>
            <w:vAlign w:val="bottom"/>
            <w:gridSpan w:val="2"/>
          </w:tcPr>
          <w:p>
            <w:pPr>
              <w:jc w:val="right"/>
              <w:ind w:right="209"/>
              <w:spacing w:after="0"/>
              <w:rPr>
                <w:sz w:val="20"/>
                <w:szCs w:val="20"/>
                <w:color w:val="auto"/>
              </w:rPr>
            </w:pPr>
            <w:r>
              <w:rPr>
                <w:rFonts w:ascii="Arial" w:cs="Arial" w:eastAsia="Arial" w:hAnsi="Arial"/>
                <w:sz w:val="14"/>
                <w:szCs w:val="14"/>
                <w:color w:val="55565A"/>
              </w:rPr>
              <w:t>346</w:t>
            </w:r>
          </w:p>
        </w:tc>
        <w:tc>
          <w:tcPr>
            <w:tcW w:w="1380" w:type="dxa"/>
            <w:vAlign w:val="bottom"/>
          </w:tcPr>
          <w:p>
            <w:pPr>
              <w:jc w:val="right"/>
              <w:ind w:right="289"/>
              <w:spacing w:after="0"/>
              <w:rPr>
                <w:sz w:val="20"/>
                <w:szCs w:val="20"/>
                <w:color w:val="auto"/>
              </w:rPr>
            </w:pPr>
            <w:r>
              <w:rPr>
                <w:rFonts w:ascii="Arial" w:cs="Arial" w:eastAsia="Arial" w:hAnsi="Arial"/>
                <w:sz w:val="14"/>
                <w:szCs w:val="14"/>
                <w:color w:val="55565A"/>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color w:val="55565A"/>
              </w:rPr>
              <w:t>$400, 5.50% Debentures, due 2035</w:t>
            </w:r>
          </w:p>
        </w:tc>
        <w:tc>
          <w:tcPr>
            <w:tcW w:w="13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55565A"/>
              </w:rPr>
              <w:t>396</w:t>
            </w:r>
          </w:p>
        </w:tc>
        <w:tc>
          <w:tcPr>
            <w:tcW w:w="144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5565A"/>
              </w:rPr>
              <w:t>–</w:t>
            </w:r>
          </w:p>
        </w:tc>
        <w:tc>
          <w:tcPr>
            <w:tcW w:w="20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55565A"/>
              </w:rPr>
              <w:t>415</w:t>
            </w:r>
          </w:p>
        </w:tc>
        <w:tc>
          <w:tcPr>
            <w:tcW w:w="138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$500, 5.85% Debentures, due 2040</w:t>
            </w:r>
          </w:p>
        </w:tc>
        <w:tc>
          <w:tcPr>
            <w:tcW w:w="136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color w:val="55565A"/>
              </w:rPr>
              <w:t>492</w:t>
            </w:r>
          </w:p>
        </w:tc>
        <w:tc>
          <w:tcPr>
            <w:tcW w:w="1440" w:type="dxa"/>
            <w:vAlign w:val="bottom"/>
            <w:tcBorders>
              <w:bottom w:val="single" w:sz="8" w:color="88888B"/>
            </w:tcBorders>
          </w:tcPr>
          <w:p>
            <w:pPr>
              <w:jc w:val="right"/>
              <w:ind w:right="309"/>
              <w:spacing w:after="0"/>
              <w:rPr>
                <w:sz w:val="20"/>
                <w:szCs w:val="20"/>
                <w:color w:val="auto"/>
              </w:rPr>
            </w:pPr>
            <w:r>
              <w:rPr>
                <w:rFonts w:ascii="Arial" w:cs="Arial" w:eastAsia="Arial" w:hAnsi="Arial"/>
                <w:sz w:val="14"/>
                <w:szCs w:val="14"/>
                <w:color w:val="55565A"/>
              </w:rPr>
              <w:t>–</w:t>
            </w:r>
          </w:p>
        </w:tc>
        <w:tc>
          <w:tcPr>
            <w:tcW w:w="2020" w:type="dxa"/>
            <w:vAlign w:val="bottom"/>
            <w:tcBorders>
              <w:bottom w:val="single" w:sz="8" w:color="88888B"/>
            </w:tcBorders>
            <w:gridSpan w:val="2"/>
          </w:tcPr>
          <w:p>
            <w:pPr>
              <w:jc w:val="right"/>
              <w:ind w:right="209"/>
              <w:spacing w:after="0"/>
              <w:rPr>
                <w:sz w:val="20"/>
                <w:szCs w:val="20"/>
                <w:color w:val="auto"/>
              </w:rPr>
            </w:pPr>
            <w:r>
              <w:rPr>
                <w:rFonts w:ascii="Arial" w:cs="Arial" w:eastAsia="Arial" w:hAnsi="Arial"/>
                <w:sz w:val="14"/>
                <w:szCs w:val="14"/>
                <w:color w:val="55565A"/>
              </w:rPr>
              <w:t>519</w:t>
            </w:r>
          </w:p>
        </w:tc>
        <w:tc>
          <w:tcPr>
            <w:tcW w:w="138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color w:val="55565A"/>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Total</w:t>
            </w:r>
          </w:p>
        </w:tc>
        <w:tc>
          <w:tcPr>
            <w:tcW w:w="136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color w:val="55565A"/>
              </w:rPr>
              <w:t>3,277</w:t>
            </w:r>
          </w:p>
        </w:tc>
        <w:tc>
          <w:tcPr>
            <w:tcW w:w="1440" w:type="dxa"/>
            <w:vAlign w:val="bottom"/>
            <w:tcBorders>
              <w:bottom w:val="single" w:sz="8" w:color="88888B"/>
            </w:tcBorders>
            <w:shd w:val="clear" w:color="auto" w:fill="CCEEFF"/>
          </w:tcPr>
          <w:p>
            <w:pPr>
              <w:jc w:val="right"/>
              <w:ind w:right="309"/>
              <w:spacing w:after="0"/>
              <w:rPr>
                <w:sz w:val="20"/>
                <w:szCs w:val="20"/>
                <w:color w:val="auto"/>
              </w:rPr>
            </w:pPr>
            <w:r>
              <w:rPr>
                <w:rFonts w:ascii="Arial" w:cs="Arial" w:eastAsia="Arial" w:hAnsi="Arial"/>
                <w:sz w:val="14"/>
                <w:szCs w:val="14"/>
                <w:color w:val="55565A"/>
              </w:rPr>
              <w:t>(65)</w:t>
            </w:r>
          </w:p>
        </w:tc>
        <w:tc>
          <w:tcPr>
            <w:tcW w:w="2020" w:type="dxa"/>
            <w:vAlign w:val="bottom"/>
            <w:tcBorders>
              <w:bottom w:val="single" w:sz="8" w:color="88888B"/>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55565A"/>
              </w:rPr>
              <w:t>3,252</w:t>
            </w:r>
          </w:p>
        </w:tc>
        <w:tc>
          <w:tcPr>
            <w:tcW w:w="1380" w:type="dxa"/>
            <w:vAlign w:val="bottom"/>
            <w:tcBorders>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color w:val="55565A"/>
              </w:rPr>
              <w:t>(65)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0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Current portion</w:t>
            </w:r>
          </w:p>
        </w:tc>
        <w:tc>
          <w:tcPr>
            <w:tcW w:w="136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color w:val="55565A"/>
              </w:rPr>
              <w:t>372</w:t>
            </w:r>
          </w:p>
        </w:tc>
        <w:tc>
          <w:tcPr>
            <w:tcW w:w="1440" w:type="dxa"/>
            <w:vAlign w:val="bottom"/>
            <w:tcBorders>
              <w:bottom w:val="single" w:sz="8" w:color="88888B"/>
            </w:tcBorders>
          </w:tcPr>
          <w:p>
            <w:pPr>
              <w:jc w:val="right"/>
              <w:ind w:right="309"/>
              <w:spacing w:after="0"/>
              <w:rPr>
                <w:sz w:val="20"/>
                <w:szCs w:val="20"/>
                <w:color w:val="auto"/>
              </w:rPr>
            </w:pPr>
            <w:r>
              <w:rPr>
                <w:rFonts w:ascii="Arial" w:cs="Arial" w:eastAsia="Arial" w:hAnsi="Arial"/>
                <w:sz w:val="14"/>
                <w:szCs w:val="14"/>
                <w:color w:val="55565A"/>
              </w:rPr>
              <w:t>–</w:t>
            </w:r>
          </w:p>
        </w:tc>
        <w:tc>
          <w:tcPr>
            <w:tcW w:w="720" w:type="dxa"/>
            <w:vAlign w:val="bottom"/>
            <w:tcBorders>
              <w:bottom w:val="single" w:sz="8" w:color="88888B"/>
            </w:tcBorders>
          </w:tcPr>
          <w:p>
            <w:pPr>
              <w:spacing w:after="0"/>
              <w:rPr>
                <w:sz w:val="15"/>
                <w:szCs w:val="15"/>
                <w:color w:val="auto"/>
              </w:rPr>
            </w:pPr>
          </w:p>
        </w:tc>
        <w:tc>
          <w:tcPr>
            <w:tcW w:w="1300" w:type="dxa"/>
            <w:vAlign w:val="bottom"/>
            <w:tcBorders>
              <w:bottom w:val="single" w:sz="8" w:color="88888B"/>
            </w:tcBorders>
          </w:tcPr>
          <w:p>
            <w:pPr>
              <w:spacing w:after="0"/>
              <w:rPr>
                <w:sz w:val="15"/>
                <w:szCs w:val="15"/>
                <w:color w:val="auto"/>
              </w:rPr>
            </w:pPr>
          </w:p>
        </w:tc>
        <w:tc>
          <w:tcPr>
            <w:tcW w:w="1380" w:type="dxa"/>
            <w:vAlign w:val="bottom"/>
            <w:tcBorders>
              <w:bottom w:val="single" w:sz="8" w:color="88888B"/>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Long-term portion</w:t>
            </w:r>
          </w:p>
        </w:tc>
        <w:tc>
          <w:tcPr>
            <w:tcW w:w="136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color w:val="55565A"/>
              </w:rPr>
              <w:t>2,905</w:t>
            </w:r>
          </w:p>
        </w:tc>
        <w:tc>
          <w:tcPr>
            <w:tcW w:w="1440" w:type="dxa"/>
            <w:vAlign w:val="bottom"/>
            <w:tcBorders>
              <w:bottom w:val="single" w:sz="8" w:color="88888B"/>
            </w:tcBorders>
            <w:shd w:val="clear" w:color="auto" w:fill="CCEEFF"/>
          </w:tcPr>
          <w:p>
            <w:pPr>
              <w:jc w:val="right"/>
              <w:ind w:right="309"/>
              <w:spacing w:after="0"/>
              <w:rPr>
                <w:sz w:val="20"/>
                <w:szCs w:val="20"/>
                <w:color w:val="auto"/>
              </w:rPr>
            </w:pPr>
            <w:r>
              <w:rPr>
                <w:rFonts w:ascii="Arial" w:cs="Arial" w:eastAsia="Arial" w:hAnsi="Arial"/>
                <w:sz w:val="14"/>
                <w:szCs w:val="14"/>
                <w:color w:val="55565A"/>
              </w:rPr>
              <w:t>(65)</w:t>
            </w:r>
          </w:p>
        </w:tc>
        <w:tc>
          <w:tcPr>
            <w:tcW w:w="7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20" w:hanging="313"/>
        <w:spacing w:after="0"/>
        <w:tabs>
          <w:tab w:leader="none" w:pos="320" w:val="left"/>
        </w:tabs>
        <w:numPr>
          <w:ilvl w:val="0"/>
          <w:numId w:val="33"/>
        </w:numPr>
        <w:rPr>
          <w:rFonts w:ascii="Arial" w:cs="Arial" w:eastAsia="Arial" w:hAnsi="Arial"/>
          <w:sz w:val="12"/>
          <w:szCs w:val="12"/>
          <w:color w:val="55565A"/>
        </w:rPr>
      </w:pPr>
      <w:r>
        <w:rPr>
          <w:rFonts w:ascii="Arial" w:cs="Arial" w:eastAsia="Arial" w:hAnsi="Arial"/>
          <w:sz w:val="12"/>
          <w:szCs w:val="12"/>
          <w:color w:val="55565A"/>
        </w:rPr>
        <w:t>Notes were partially redeemed in October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55565A"/>
        </w:rPr>
        <w:t>Page 52</w:t>
      </w:r>
    </w:p>
    <w:p>
      <w:pPr>
        <w:sectPr>
          <w:pgSz w:w="11900" w:h="16838" w:orient="portrait"/>
          <w:cols w:equalWidth="0" w:num="1">
            <w:col w:w="10920"/>
          </w:cols>
          <w:pgMar w:left="480" w:top="1440" w:right="49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Fair value estimation</w:t>
      </w:r>
    </w:p>
    <w:p>
      <w:pPr>
        <w:spacing w:after="0" w:line="110"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55565A"/>
        </w:rPr>
        <w:t>The following fair value measurement hierarchy is used for financial instruments that are measured in the consolidated statement of financial position at fair value:</w:t>
      </w:r>
    </w:p>
    <w:p>
      <w:pPr>
        <w:sectPr>
          <w:pgSz w:w="11900" w:h="16838" w:orient="portrait"/>
          <w:cols w:equalWidth="0" w:num="1">
            <w:col w:w="10920"/>
          </w:cols>
          <w:pgMar w:left="480" w:top="1440" w:right="499" w:bottom="1440" w:gutter="0" w:footer="0" w:header="0"/>
        </w:sectPr>
      </w:pP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5565A"/>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5565A"/>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5565A"/>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55565A"/>
        </w:rPr>
        <w:t>Level 1 - quoted prices (unadjusted) in active markets for identical assets or liabilities;</w:t>
      </w:r>
    </w:p>
    <w:p>
      <w:pPr>
        <w:spacing w:after="0" w:line="19" w:lineRule="exact"/>
        <w:rPr>
          <w:sz w:val="20"/>
          <w:szCs w:val="20"/>
          <w:color w:val="auto"/>
        </w:rPr>
      </w:pPr>
    </w:p>
    <w:p>
      <w:pPr>
        <w:ind w:right="540"/>
        <w:spacing w:after="0" w:line="244" w:lineRule="auto"/>
        <w:rPr>
          <w:sz w:val="20"/>
          <w:szCs w:val="20"/>
          <w:color w:val="auto"/>
        </w:rPr>
      </w:pPr>
      <w:r>
        <w:rPr>
          <w:rFonts w:ascii="Arial" w:cs="Arial" w:eastAsia="Arial" w:hAnsi="Arial"/>
          <w:sz w:val="16"/>
          <w:szCs w:val="16"/>
          <w:color w:val="55565A"/>
        </w:rPr>
        <w:t>Level 2 - inputs other than quoted prices included within level 1 that are observable for the asset or liability, either directly (that is, as prices) or indirectly (that is, derived from prices); and</w:t>
      </w:r>
    </w:p>
    <w:p>
      <w:pPr>
        <w:spacing w:after="0"/>
        <w:rPr>
          <w:sz w:val="20"/>
          <w:szCs w:val="20"/>
          <w:color w:val="auto"/>
        </w:rPr>
      </w:pPr>
      <w:r>
        <w:rPr>
          <w:rFonts w:ascii="Arial" w:cs="Arial" w:eastAsia="Arial" w:hAnsi="Arial"/>
          <w:sz w:val="16"/>
          <w:szCs w:val="16"/>
          <w:color w:val="55565A"/>
        </w:rPr>
        <w:t>Level 3 - inputs for the asset or liability that are not based on observable market data (that is, unobservable inputs).</w:t>
      </w:r>
    </w:p>
    <w:p>
      <w:pPr>
        <w:spacing w:after="0" w:line="94" w:lineRule="exact"/>
        <w:rPr>
          <w:sz w:val="20"/>
          <w:szCs w:val="20"/>
          <w:color w:val="auto"/>
        </w:rPr>
      </w:pPr>
    </w:p>
    <w:p>
      <w:pPr>
        <w:sectPr>
          <w:pgSz w:w="11900" w:h="16838" w:orient="portrait"/>
          <w:cols w:equalWidth="0" w:num="2">
            <w:col w:w="60" w:space="260"/>
            <w:col w:w="10600"/>
          </w:cols>
          <w:pgMar w:left="480" w:top="1440" w:right="499" w:bottom="1440" w:gutter="0" w:footer="0" w:header="0"/>
          <w:type w:val="continuous"/>
        </w:sectPr>
      </w:pPr>
    </w:p>
    <w:p>
      <w:pPr>
        <w:ind w:right="60"/>
        <w:spacing w:after="0" w:line="279" w:lineRule="auto"/>
        <w:rPr>
          <w:sz w:val="20"/>
          <w:szCs w:val="20"/>
          <w:color w:val="auto"/>
        </w:rPr>
      </w:pPr>
      <w:r>
        <w:rPr>
          <w:rFonts w:ascii="Arial" w:cs="Arial" w:eastAsia="Arial" w:hAnsi="Arial"/>
          <w:sz w:val="16"/>
          <w:szCs w:val="16"/>
          <w:color w:val="55565A"/>
        </w:rPr>
        <w:t>The levels used to determine fair value measurements for those instruments carried at fair value in the consolidated statement of financial position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Borders>
              <w:top w:val="single" w:sz="8" w:color="88888B"/>
            </w:tcBorders>
            <w:gridSpan w:val="3"/>
          </w:tcPr>
          <w:p>
            <w:pPr>
              <w:spacing w:after="0"/>
              <w:rPr>
                <w:sz w:val="20"/>
                <w:szCs w:val="20"/>
                <w:color w:val="auto"/>
              </w:rPr>
            </w:pPr>
            <w:r>
              <w:rPr>
                <w:rFonts w:ascii="Arial" w:cs="Arial" w:eastAsia="Arial" w:hAnsi="Arial"/>
                <w:sz w:val="14"/>
                <w:szCs w:val="14"/>
                <w:b w:val="1"/>
                <w:bCs w:val="1"/>
                <w:color w:val="55565A"/>
              </w:rPr>
              <w:t> March 31, 2024</w:t>
            </w:r>
          </w:p>
        </w:tc>
        <w:tc>
          <w:tcPr>
            <w:tcW w:w="820" w:type="dxa"/>
            <w:vAlign w:val="bottom"/>
            <w:tcBorders>
              <w:top w:val="single" w:sz="8" w:color="88888B"/>
            </w:tcBorders>
          </w:tcPr>
          <w:p>
            <w:pPr>
              <w:spacing w:after="0"/>
              <w:rPr>
                <w:sz w:val="18"/>
                <w:szCs w:val="18"/>
                <w:color w:val="auto"/>
              </w:rPr>
            </w:pPr>
          </w:p>
        </w:tc>
        <w:tc>
          <w:tcPr>
            <w:tcW w:w="960" w:type="dxa"/>
            <w:vAlign w:val="bottom"/>
            <w:tcBorders>
              <w:top w:val="single" w:sz="8" w:color="88888B"/>
            </w:tcBorders>
          </w:tcPr>
          <w:p>
            <w:pPr>
              <w:spacing w:after="0"/>
              <w:rPr>
                <w:sz w:val="18"/>
                <w:szCs w:val="18"/>
                <w:color w:val="auto"/>
              </w:rPr>
            </w:pPr>
          </w:p>
        </w:tc>
        <w:tc>
          <w:tcPr>
            <w:tcW w:w="1140" w:type="dxa"/>
            <w:vAlign w:val="bottom"/>
            <w:tcBorders>
              <w:top w:val="single" w:sz="8" w:color="88888B"/>
            </w:tcBorders>
          </w:tcPr>
          <w:p>
            <w:pPr>
              <w:spacing w:after="0"/>
              <w:rPr>
                <w:sz w:val="18"/>
                <w:szCs w:val="18"/>
                <w:color w:val="auto"/>
              </w:rPr>
            </w:pPr>
          </w:p>
        </w:tc>
        <w:tc>
          <w:tcPr>
            <w:tcW w:w="1120" w:type="dxa"/>
            <w:vAlign w:val="bottom"/>
            <w:tcBorders>
              <w:top w:val="single" w:sz="8" w:color="88888B"/>
            </w:tcBorders>
          </w:tcPr>
          <w:p>
            <w:pPr>
              <w:jc w:val="right"/>
              <w:ind w:right="149"/>
              <w:spacing w:after="0"/>
              <w:rPr>
                <w:sz w:val="20"/>
                <w:szCs w:val="20"/>
                <w:color w:val="auto"/>
              </w:rPr>
            </w:pPr>
            <w:r>
              <w:rPr>
                <w:rFonts w:ascii="Arial" w:cs="Arial" w:eastAsia="Arial" w:hAnsi="Arial"/>
                <w:sz w:val="14"/>
                <w:szCs w:val="14"/>
                <w:b w:val="1"/>
                <w:bCs w:val="1"/>
                <w:color w:val="55565A"/>
              </w:rPr>
              <w:t>Total</w:t>
            </w:r>
          </w:p>
        </w:tc>
      </w:tr>
      <w:tr>
        <w:trPr>
          <w:trHeight w:val="193"/>
        </w:trPr>
        <w:tc>
          <w:tcPr>
            <w:tcW w:w="6880" w:type="dxa"/>
            <w:vAlign w:val="bottom"/>
            <w:gridSpan w:val="3"/>
          </w:tcPr>
          <w:p>
            <w:pPr>
              <w:spacing w:after="0"/>
              <w:rPr>
                <w:sz w:val="20"/>
                <w:szCs w:val="20"/>
                <w:color w:val="auto"/>
              </w:rPr>
            </w:pPr>
            <w:r>
              <w:rPr>
                <w:rFonts w:ascii="Arial" w:cs="Arial" w:eastAsia="Arial" w:hAnsi="Arial"/>
                <w:sz w:val="14"/>
                <w:szCs w:val="14"/>
                <w:color w:val="55565A"/>
              </w:rPr>
              <w:t> Assets</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55565A"/>
              </w:rPr>
              <w:t>Level 1</w:t>
            </w:r>
          </w:p>
        </w:tc>
        <w:tc>
          <w:tcPr>
            <w:tcW w:w="960" w:type="dxa"/>
            <w:vAlign w:val="bottom"/>
          </w:tcPr>
          <w:p>
            <w:pPr>
              <w:jc w:val="right"/>
              <w:ind w:right="229"/>
              <w:spacing w:after="0"/>
              <w:rPr>
                <w:sz w:val="20"/>
                <w:szCs w:val="20"/>
                <w:color w:val="auto"/>
              </w:rPr>
            </w:pPr>
            <w:r>
              <w:rPr>
                <w:rFonts w:ascii="Arial" w:cs="Arial" w:eastAsia="Arial" w:hAnsi="Arial"/>
                <w:sz w:val="14"/>
                <w:szCs w:val="14"/>
                <w:b w:val="1"/>
                <w:bCs w:val="1"/>
                <w:color w:val="55565A"/>
              </w:rPr>
              <w:t>Level 2</w:t>
            </w:r>
          </w:p>
        </w:tc>
        <w:tc>
          <w:tcPr>
            <w:tcW w:w="1140" w:type="dxa"/>
            <w:vAlign w:val="bottom"/>
          </w:tcPr>
          <w:p>
            <w:pPr>
              <w:jc w:val="right"/>
              <w:ind w:right="289"/>
              <w:spacing w:after="0"/>
              <w:rPr>
                <w:sz w:val="20"/>
                <w:szCs w:val="20"/>
                <w:color w:val="auto"/>
              </w:rPr>
            </w:pPr>
            <w:r>
              <w:rPr>
                <w:rFonts w:ascii="Arial" w:cs="Arial" w:eastAsia="Arial" w:hAnsi="Arial"/>
                <w:sz w:val="14"/>
                <w:szCs w:val="14"/>
                <w:b w:val="1"/>
                <w:bCs w:val="1"/>
                <w:color w:val="55565A"/>
              </w:rPr>
              <w:t>Level 3</w:t>
            </w:r>
          </w:p>
        </w:tc>
        <w:tc>
          <w:tcPr>
            <w:tcW w:w="1120" w:type="dxa"/>
            <w:vAlign w:val="bottom"/>
          </w:tcPr>
          <w:p>
            <w:pPr>
              <w:jc w:val="right"/>
              <w:ind w:right="149"/>
              <w:spacing w:after="0"/>
              <w:rPr>
                <w:sz w:val="20"/>
                <w:szCs w:val="20"/>
                <w:color w:val="auto"/>
              </w:rPr>
            </w:pPr>
            <w:r>
              <w:rPr>
                <w:rFonts w:ascii="Arial" w:cs="Arial" w:eastAsia="Arial" w:hAnsi="Arial"/>
                <w:sz w:val="14"/>
                <w:szCs w:val="14"/>
                <w:b w:val="1"/>
                <w:bCs w:val="1"/>
                <w:color w:val="55565A"/>
              </w:rPr>
              <w:t>Balance</w:t>
            </w:r>
          </w:p>
        </w:tc>
      </w:tr>
      <w:tr>
        <w:trPr>
          <w:trHeight w:val="181"/>
        </w:trPr>
        <w:tc>
          <w:tcPr>
            <w:tcW w:w="20" w:type="dxa"/>
            <w:vAlign w:val="bottom"/>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8"/>
                <w:szCs w:val="8"/>
                <w:color w:val="55565A"/>
                <w:w w:val="74"/>
              </w:rPr>
              <w:t> </w:t>
            </w:r>
          </w:p>
        </w:tc>
        <w:tc>
          <w:tcPr>
            <w:tcW w:w="67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4"/>
                <w:szCs w:val="14"/>
                <w:color w:val="55565A"/>
              </w:rPr>
              <w:t> Money market accounts</w:t>
            </w:r>
          </w:p>
        </w:tc>
        <w:tc>
          <w:tcPr>
            <w:tcW w:w="820" w:type="dxa"/>
            <w:vAlign w:val="bottom"/>
            <w:tcBorders>
              <w:top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w:t>
            </w:r>
          </w:p>
        </w:tc>
        <w:tc>
          <w:tcPr>
            <w:tcW w:w="960" w:type="dxa"/>
            <w:vAlign w:val="bottom"/>
            <w:tcBorders>
              <w:top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1,517</w:t>
            </w:r>
          </w:p>
        </w:tc>
        <w:tc>
          <w:tcPr>
            <w:tcW w:w="1140" w:type="dxa"/>
            <w:vAlign w:val="bottom"/>
            <w:tcBorders>
              <w:top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w:t>
            </w:r>
          </w:p>
        </w:tc>
        <w:tc>
          <w:tcPr>
            <w:tcW w:w="1120" w:type="dxa"/>
            <w:vAlign w:val="bottom"/>
            <w:tcBorders>
              <w:top w:val="single" w:sz="8" w:color="88888B"/>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5565A"/>
              </w:rPr>
              <w:t>1,517</w:t>
            </w:r>
          </w:p>
        </w:tc>
      </w:tr>
      <w:tr>
        <w:trPr>
          <w:trHeight w:val="194"/>
        </w:trPr>
        <w:tc>
          <w:tcPr>
            <w:tcW w:w="20" w:type="dxa"/>
            <w:vAlign w:val="bottom"/>
          </w:tcPr>
          <w:p>
            <w:pPr>
              <w:spacing w:after="0"/>
              <w:rPr>
                <w:sz w:val="16"/>
                <w:szCs w:val="16"/>
                <w:color w:val="auto"/>
              </w:rPr>
            </w:pPr>
          </w:p>
        </w:tc>
        <w:tc>
          <w:tcPr>
            <w:tcW w:w="80" w:type="dxa"/>
            <w:vAlign w:val="bottom"/>
            <w:tcBorders>
              <w:bottom w:val="single" w:sz="8" w:color="88888B"/>
            </w:tcBorders>
          </w:tcPr>
          <w:p>
            <w:pPr>
              <w:spacing w:after="0"/>
              <w:rPr>
                <w:sz w:val="20"/>
                <w:szCs w:val="20"/>
                <w:color w:val="auto"/>
              </w:rPr>
            </w:pPr>
            <w:r>
              <w:rPr>
                <w:rFonts w:ascii="Arial" w:cs="Arial" w:eastAsia="Arial" w:hAnsi="Arial"/>
                <w:sz w:val="8"/>
                <w:szCs w:val="8"/>
                <w:color w:val="55565A"/>
                <w:w w:val="74"/>
              </w:rPr>
              <w:t> </w:t>
            </w:r>
          </w:p>
        </w:tc>
        <w:tc>
          <w:tcPr>
            <w:tcW w:w="6780" w:type="dxa"/>
            <w:vAlign w:val="bottom"/>
            <w:tcBorders>
              <w:bottom w:val="single" w:sz="8" w:color="88888B"/>
            </w:tcBorders>
          </w:tcPr>
          <w:p>
            <w:pPr>
              <w:ind w:left="60"/>
              <w:spacing w:after="0" w:line="188" w:lineRule="exact"/>
              <w:rPr>
                <w:sz w:val="20"/>
                <w:szCs w:val="20"/>
                <w:color w:val="auto"/>
              </w:rPr>
            </w:pPr>
            <w:r>
              <w:rPr>
                <w:rFonts w:ascii="Arial" w:cs="Arial" w:eastAsia="Arial" w:hAnsi="Arial"/>
                <w:sz w:val="14"/>
                <w:szCs w:val="14"/>
                <w:color w:val="55565A"/>
              </w:rPr>
              <w:t> Other receivables</w:t>
            </w:r>
            <w:r>
              <w:rPr>
                <w:rFonts w:ascii="Arial" w:cs="Arial" w:eastAsia="Arial" w:hAnsi="Arial"/>
                <w:sz w:val="21"/>
                <w:szCs w:val="21"/>
                <w:color w:val="55565A"/>
                <w:vertAlign w:val="superscript"/>
              </w:rPr>
              <w:t>(1)</w:t>
            </w:r>
          </w:p>
        </w:tc>
        <w:tc>
          <w:tcPr>
            <w:tcW w:w="820" w:type="dxa"/>
            <w:vAlign w:val="bottom"/>
            <w:tcBorders>
              <w:bottom w:val="single" w:sz="8" w:color="88888B"/>
            </w:tcBorders>
          </w:tcPr>
          <w:p>
            <w:pPr>
              <w:jc w:val="right"/>
              <w:ind w:right="129"/>
              <w:spacing w:after="0"/>
              <w:rPr>
                <w:sz w:val="20"/>
                <w:szCs w:val="20"/>
                <w:color w:val="auto"/>
              </w:rPr>
            </w:pPr>
            <w:r>
              <w:rPr>
                <w:rFonts w:ascii="Arial" w:cs="Arial" w:eastAsia="Arial" w:hAnsi="Arial"/>
                <w:sz w:val="14"/>
                <w:szCs w:val="14"/>
                <w:b w:val="1"/>
                <w:bCs w:val="1"/>
                <w:color w:val="55565A"/>
              </w:rPr>
              <w:t>–</w:t>
            </w:r>
          </w:p>
        </w:tc>
        <w:tc>
          <w:tcPr>
            <w:tcW w:w="96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b w:val="1"/>
                <w:bCs w:val="1"/>
                <w:color w:val="55565A"/>
              </w:rPr>
              <w:t>–</w:t>
            </w:r>
          </w:p>
        </w:tc>
        <w:tc>
          <w:tcPr>
            <w:tcW w:w="114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b w:val="1"/>
                <w:bCs w:val="1"/>
                <w:color w:val="55565A"/>
              </w:rPr>
              <w:t>272</w:t>
            </w:r>
          </w:p>
        </w:tc>
        <w:tc>
          <w:tcPr>
            <w:tcW w:w="1120" w:type="dxa"/>
            <w:vAlign w:val="bottom"/>
            <w:tcBorders>
              <w:bottom w:val="single" w:sz="8" w:color="88888B"/>
            </w:tcBorders>
          </w:tcPr>
          <w:p>
            <w:pPr>
              <w:jc w:val="right"/>
              <w:ind w:right="149"/>
              <w:spacing w:after="0"/>
              <w:rPr>
                <w:sz w:val="20"/>
                <w:szCs w:val="20"/>
                <w:color w:val="auto"/>
              </w:rPr>
            </w:pPr>
            <w:r>
              <w:rPr>
                <w:rFonts w:ascii="Arial" w:cs="Arial" w:eastAsia="Arial" w:hAnsi="Arial"/>
                <w:sz w:val="14"/>
                <w:szCs w:val="14"/>
                <w:b w:val="1"/>
                <w:bCs w:val="1"/>
                <w:color w:val="55565A"/>
              </w:rPr>
              <w:t>272</w:t>
            </w:r>
          </w:p>
        </w:tc>
      </w:tr>
      <w:tr>
        <w:trPr>
          <w:trHeight w:val="187"/>
        </w:trPr>
        <w:tc>
          <w:tcPr>
            <w:tcW w:w="20" w:type="dxa"/>
            <w:vAlign w:val="bottom"/>
          </w:tcPr>
          <w:p>
            <w:pPr>
              <w:spacing w:after="0"/>
              <w:rPr>
                <w:sz w:val="16"/>
                <w:szCs w:val="16"/>
                <w:color w:val="auto"/>
              </w:rPr>
            </w:pPr>
          </w:p>
        </w:tc>
        <w:tc>
          <w:tcPr>
            <w:tcW w:w="6860" w:type="dxa"/>
            <w:vAlign w:val="bottom"/>
            <w:tcBorders>
              <w:bottom w:val="single" w:sz="8" w:color="88888B"/>
            </w:tcBorders>
            <w:gridSpan w:val="2"/>
            <w:shd w:val="clear" w:color="auto" w:fill="CCEEFF"/>
          </w:tcPr>
          <w:p>
            <w:pPr>
              <w:spacing w:after="0"/>
              <w:rPr>
                <w:sz w:val="20"/>
                <w:szCs w:val="20"/>
                <w:color w:val="auto"/>
              </w:rPr>
            </w:pPr>
            <w:r>
              <w:rPr>
                <w:rFonts w:ascii="Arial" w:cs="Arial" w:eastAsia="Arial" w:hAnsi="Arial"/>
                <w:sz w:val="14"/>
                <w:szCs w:val="14"/>
                <w:color w:val="55565A"/>
              </w:rPr>
              <w:t> Financial assets at fair value through earnings</w:t>
            </w:r>
          </w:p>
        </w:tc>
        <w:tc>
          <w:tcPr>
            <w:tcW w:w="82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w:t>
            </w:r>
          </w:p>
        </w:tc>
        <w:tc>
          <w:tcPr>
            <w:tcW w:w="96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1,517</w:t>
            </w:r>
          </w:p>
        </w:tc>
        <w:tc>
          <w:tcPr>
            <w:tcW w:w="1140" w:type="dxa"/>
            <w:vAlign w:val="bottom"/>
            <w:tcBorders>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272</w:t>
            </w:r>
          </w:p>
        </w:tc>
        <w:tc>
          <w:tcPr>
            <w:tcW w:w="1120" w:type="dxa"/>
            <w:vAlign w:val="bottom"/>
            <w:tcBorders>
              <w:bottom w:val="single" w:sz="8" w:color="88888B"/>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5565A"/>
              </w:rPr>
              <w:t>1,789</w:t>
            </w:r>
          </w:p>
        </w:tc>
      </w:tr>
      <w:tr>
        <w:trPr>
          <w:trHeight w:val="201"/>
        </w:trPr>
        <w:tc>
          <w:tcPr>
            <w:tcW w:w="6880" w:type="dxa"/>
            <w:vAlign w:val="bottom"/>
            <w:gridSpan w:val="3"/>
          </w:tcPr>
          <w:p>
            <w:pPr>
              <w:spacing w:after="0" w:line="194" w:lineRule="exact"/>
              <w:rPr>
                <w:sz w:val="20"/>
                <w:szCs w:val="20"/>
                <w:color w:val="auto"/>
              </w:rPr>
            </w:pPr>
            <w:r>
              <w:rPr>
                <w:rFonts w:ascii="Arial" w:cs="Arial" w:eastAsia="Arial" w:hAnsi="Arial"/>
                <w:sz w:val="14"/>
                <w:szCs w:val="14"/>
                <w:color w:val="55565A"/>
              </w:rPr>
              <w:t> Financial assets at fair value through other comprehensive income</w:t>
            </w:r>
            <w:r>
              <w:rPr>
                <w:rFonts w:ascii="Arial" w:cs="Arial" w:eastAsia="Arial" w:hAnsi="Arial"/>
                <w:sz w:val="21"/>
                <w:szCs w:val="21"/>
                <w:color w:val="55565A"/>
                <w:vertAlign w:val="superscript"/>
              </w:rPr>
              <w:t>(2)</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55565A"/>
              </w:rPr>
              <w:t>35</w:t>
            </w:r>
          </w:p>
        </w:tc>
        <w:tc>
          <w:tcPr>
            <w:tcW w:w="960" w:type="dxa"/>
            <w:vAlign w:val="bottom"/>
          </w:tcPr>
          <w:p>
            <w:pPr>
              <w:jc w:val="right"/>
              <w:ind w:right="229"/>
              <w:spacing w:after="0"/>
              <w:rPr>
                <w:sz w:val="20"/>
                <w:szCs w:val="20"/>
                <w:color w:val="auto"/>
              </w:rPr>
            </w:pPr>
            <w:r>
              <w:rPr>
                <w:rFonts w:ascii="Arial" w:cs="Arial" w:eastAsia="Arial" w:hAnsi="Arial"/>
                <w:sz w:val="14"/>
                <w:szCs w:val="14"/>
                <w:b w:val="1"/>
                <w:bCs w:val="1"/>
                <w:color w:val="55565A"/>
              </w:rPr>
              <w:t>–</w:t>
            </w:r>
          </w:p>
        </w:tc>
        <w:tc>
          <w:tcPr>
            <w:tcW w:w="1140" w:type="dxa"/>
            <w:vAlign w:val="bottom"/>
          </w:tcPr>
          <w:p>
            <w:pPr>
              <w:jc w:val="right"/>
              <w:ind w:right="289"/>
              <w:spacing w:after="0"/>
              <w:rPr>
                <w:sz w:val="20"/>
                <w:szCs w:val="20"/>
                <w:color w:val="auto"/>
              </w:rPr>
            </w:pPr>
            <w:r>
              <w:rPr>
                <w:rFonts w:ascii="Arial" w:cs="Arial" w:eastAsia="Arial" w:hAnsi="Arial"/>
                <w:sz w:val="14"/>
                <w:szCs w:val="14"/>
                <w:b w:val="1"/>
                <w:bCs w:val="1"/>
                <w:color w:val="55565A"/>
              </w:rPr>
              <w:t>70</w:t>
            </w:r>
          </w:p>
        </w:tc>
        <w:tc>
          <w:tcPr>
            <w:tcW w:w="1120" w:type="dxa"/>
            <w:vAlign w:val="bottom"/>
          </w:tcPr>
          <w:p>
            <w:pPr>
              <w:jc w:val="right"/>
              <w:ind w:right="149"/>
              <w:spacing w:after="0"/>
              <w:rPr>
                <w:sz w:val="20"/>
                <w:szCs w:val="20"/>
                <w:color w:val="auto"/>
              </w:rPr>
            </w:pPr>
            <w:r>
              <w:rPr>
                <w:rFonts w:ascii="Arial" w:cs="Arial" w:eastAsia="Arial" w:hAnsi="Arial"/>
                <w:sz w:val="14"/>
                <w:szCs w:val="14"/>
                <w:b w:val="1"/>
                <w:bCs w:val="1"/>
                <w:color w:val="55565A"/>
              </w:rPr>
              <w:t>105</w:t>
            </w:r>
          </w:p>
        </w:tc>
      </w:tr>
      <w:tr>
        <w:trPr>
          <w:trHeight w:val="187"/>
        </w:trPr>
        <w:tc>
          <w:tcPr>
            <w:tcW w:w="20" w:type="dxa"/>
            <w:vAlign w:val="bottom"/>
          </w:tcPr>
          <w:p>
            <w:pPr>
              <w:spacing w:after="0"/>
              <w:rPr>
                <w:sz w:val="16"/>
                <w:szCs w:val="16"/>
                <w:color w:val="auto"/>
              </w:rPr>
            </w:pPr>
          </w:p>
        </w:tc>
        <w:tc>
          <w:tcPr>
            <w:tcW w:w="6860" w:type="dxa"/>
            <w:vAlign w:val="bottom"/>
            <w:tcBorders>
              <w:top w:val="single" w:sz="8" w:color="88888B"/>
              <w:bottom w:val="single" w:sz="8" w:color="88888B"/>
            </w:tcBorders>
            <w:gridSpan w:val="2"/>
            <w:shd w:val="clear" w:color="auto" w:fill="CCEEFF"/>
          </w:tcPr>
          <w:p>
            <w:pPr>
              <w:spacing w:after="0" w:line="188" w:lineRule="exact"/>
              <w:rPr>
                <w:sz w:val="20"/>
                <w:szCs w:val="20"/>
                <w:color w:val="auto"/>
              </w:rPr>
            </w:pPr>
            <w:r>
              <w:rPr>
                <w:rFonts w:ascii="Arial" w:cs="Arial" w:eastAsia="Arial" w:hAnsi="Arial"/>
                <w:sz w:val="14"/>
                <w:szCs w:val="14"/>
                <w:color w:val="55565A"/>
              </w:rPr>
              <w:t> Derivatives used for hedging</w:t>
            </w:r>
            <w:r>
              <w:rPr>
                <w:rFonts w:ascii="Arial" w:cs="Arial" w:eastAsia="Arial" w:hAnsi="Arial"/>
                <w:sz w:val="21"/>
                <w:szCs w:val="21"/>
                <w:color w:val="55565A"/>
                <w:vertAlign w:val="superscript"/>
              </w:rPr>
              <w:t>(3)</w:t>
            </w:r>
          </w:p>
        </w:tc>
        <w:tc>
          <w:tcPr>
            <w:tcW w:w="820" w:type="dxa"/>
            <w:vAlign w:val="bottom"/>
            <w:tcBorders>
              <w:top w:val="single" w:sz="8" w:color="88888B"/>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w:t>
            </w:r>
          </w:p>
        </w:tc>
        <w:tc>
          <w:tcPr>
            <w:tcW w:w="960" w:type="dxa"/>
            <w:vAlign w:val="bottom"/>
            <w:tcBorders>
              <w:top w:val="single" w:sz="8" w:color="88888B"/>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42</w:t>
            </w:r>
          </w:p>
        </w:tc>
        <w:tc>
          <w:tcPr>
            <w:tcW w:w="1140" w:type="dxa"/>
            <w:vAlign w:val="bottom"/>
            <w:tcBorders>
              <w:top w:val="single" w:sz="8" w:color="88888B"/>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w:t>
            </w:r>
          </w:p>
        </w:tc>
        <w:tc>
          <w:tcPr>
            <w:tcW w:w="1120" w:type="dxa"/>
            <w:vAlign w:val="bottom"/>
            <w:tcBorders>
              <w:top w:val="single" w:sz="8" w:color="88888B"/>
              <w:bottom w:val="single" w:sz="8" w:color="88888B"/>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5565A"/>
              </w:rPr>
              <w:t>42</w:t>
            </w:r>
          </w:p>
        </w:tc>
      </w:tr>
      <w:tr>
        <w:trPr>
          <w:trHeight w:val="201"/>
        </w:trPr>
        <w:tc>
          <w:tcPr>
            <w:tcW w:w="6880" w:type="dxa"/>
            <w:vAlign w:val="bottom"/>
            <w:gridSpan w:val="3"/>
          </w:tcPr>
          <w:p>
            <w:pPr>
              <w:spacing w:after="0"/>
              <w:rPr>
                <w:sz w:val="20"/>
                <w:szCs w:val="20"/>
                <w:color w:val="auto"/>
              </w:rPr>
            </w:pPr>
            <w:r>
              <w:rPr>
                <w:rFonts w:ascii="Arial" w:cs="Arial" w:eastAsia="Arial" w:hAnsi="Arial"/>
                <w:sz w:val="14"/>
                <w:szCs w:val="14"/>
                <w:color w:val="55565A"/>
              </w:rPr>
              <w:t> Total assets</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55565A"/>
              </w:rPr>
              <w:t>35</w:t>
            </w:r>
          </w:p>
        </w:tc>
        <w:tc>
          <w:tcPr>
            <w:tcW w:w="960" w:type="dxa"/>
            <w:vAlign w:val="bottom"/>
          </w:tcPr>
          <w:p>
            <w:pPr>
              <w:jc w:val="right"/>
              <w:ind w:right="229"/>
              <w:spacing w:after="0"/>
              <w:rPr>
                <w:sz w:val="20"/>
                <w:szCs w:val="20"/>
                <w:color w:val="auto"/>
              </w:rPr>
            </w:pPr>
            <w:r>
              <w:rPr>
                <w:rFonts w:ascii="Arial" w:cs="Arial" w:eastAsia="Arial" w:hAnsi="Arial"/>
                <w:sz w:val="14"/>
                <w:szCs w:val="14"/>
                <w:b w:val="1"/>
                <w:bCs w:val="1"/>
                <w:color w:val="55565A"/>
              </w:rPr>
              <w:t>1,559</w:t>
            </w:r>
          </w:p>
        </w:tc>
        <w:tc>
          <w:tcPr>
            <w:tcW w:w="1140" w:type="dxa"/>
            <w:vAlign w:val="bottom"/>
          </w:tcPr>
          <w:p>
            <w:pPr>
              <w:jc w:val="right"/>
              <w:ind w:right="289"/>
              <w:spacing w:after="0"/>
              <w:rPr>
                <w:sz w:val="20"/>
                <w:szCs w:val="20"/>
                <w:color w:val="auto"/>
              </w:rPr>
            </w:pPr>
            <w:r>
              <w:rPr>
                <w:rFonts w:ascii="Arial" w:cs="Arial" w:eastAsia="Arial" w:hAnsi="Arial"/>
                <w:sz w:val="14"/>
                <w:szCs w:val="14"/>
                <w:b w:val="1"/>
                <w:bCs w:val="1"/>
                <w:color w:val="55565A"/>
              </w:rPr>
              <w:t>342</w:t>
            </w:r>
          </w:p>
        </w:tc>
        <w:tc>
          <w:tcPr>
            <w:tcW w:w="1120" w:type="dxa"/>
            <w:vAlign w:val="bottom"/>
          </w:tcPr>
          <w:p>
            <w:pPr>
              <w:jc w:val="right"/>
              <w:ind w:right="149"/>
              <w:spacing w:after="0"/>
              <w:rPr>
                <w:sz w:val="20"/>
                <w:szCs w:val="20"/>
                <w:color w:val="auto"/>
              </w:rPr>
            </w:pPr>
            <w:r>
              <w:rPr>
                <w:rFonts w:ascii="Arial" w:cs="Arial" w:eastAsia="Arial" w:hAnsi="Arial"/>
                <w:sz w:val="14"/>
                <w:szCs w:val="14"/>
                <w:b w:val="1"/>
                <w:bCs w:val="1"/>
                <w:color w:val="55565A"/>
              </w:rPr>
              <w:t>1,936</w:t>
            </w:r>
          </w:p>
        </w:tc>
      </w:tr>
      <w:tr>
        <w:trPr>
          <w:trHeight w:val="187"/>
        </w:trPr>
        <w:tc>
          <w:tcPr>
            <w:tcW w:w="20" w:type="dxa"/>
            <w:vAlign w:val="bottom"/>
          </w:tcPr>
          <w:p>
            <w:pPr>
              <w:spacing w:after="0"/>
              <w:rPr>
                <w:sz w:val="16"/>
                <w:szCs w:val="16"/>
                <w:color w:val="auto"/>
              </w:rPr>
            </w:pPr>
          </w:p>
        </w:tc>
        <w:tc>
          <w:tcPr>
            <w:tcW w:w="6860" w:type="dxa"/>
            <w:vAlign w:val="bottom"/>
            <w:tcBorders>
              <w:top w:val="single" w:sz="8" w:color="88888B"/>
            </w:tcBorders>
            <w:gridSpan w:val="2"/>
            <w:shd w:val="clear" w:color="auto" w:fill="CCEEFF"/>
          </w:tcPr>
          <w:p>
            <w:pPr>
              <w:spacing w:after="0"/>
              <w:rPr>
                <w:sz w:val="20"/>
                <w:szCs w:val="20"/>
                <w:color w:val="auto"/>
              </w:rPr>
            </w:pPr>
            <w:r>
              <w:rPr>
                <w:rFonts w:ascii="Arial" w:cs="Arial" w:eastAsia="Arial" w:hAnsi="Arial"/>
                <w:sz w:val="14"/>
                <w:szCs w:val="14"/>
                <w:color w:val="55565A"/>
              </w:rPr>
              <w:t> Liabilities</w:t>
            </w:r>
          </w:p>
        </w:tc>
        <w:tc>
          <w:tcPr>
            <w:tcW w:w="820" w:type="dxa"/>
            <w:vAlign w:val="bottom"/>
            <w:tcBorders>
              <w:top w:val="single" w:sz="8" w:color="88888B"/>
            </w:tcBorders>
            <w:shd w:val="clear" w:color="auto" w:fill="CCEEFF"/>
          </w:tcPr>
          <w:p>
            <w:pPr>
              <w:spacing w:after="0"/>
              <w:rPr>
                <w:sz w:val="16"/>
                <w:szCs w:val="16"/>
                <w:color w:val="auto"/>
              </w:rPr>
            </w:pPr>
          </w:p>
        </w:tc>
        <w:tc>
          <w:tcPr>
            <w:tcW w:w="960" w:type="dxa"/>
            <w:vAlign w:val="bottom"/>
            <w:tcBorders>
              <w:top w:val="single" w:sz="8" w:color="88888B"/>
            </w:tcBorders>
            <w:shd w:val="clear" w:color="auto" w:fill="CCEEFF"/>
          </w:tcPr>
          <w:p>
            <w:pPr>
              <w:spacing w:after="0"/>
              <w:rPr>
                <w:sz w:val="16"/>
                <w:szCs w:val="16"/>
                <w:color w:val="auto"/>
              </w:rPr>
            </w:pPr>
          </w:p>
        </w:tc>
        <w:tc>
          <w:tcPr>
            <w:tcW w:w="1140" w:type="dxa"/>
            <w:vAlign w:val="bottom"/>
            <w:tcBorders>
              <w:top w:val="single" w:sz="8" w:color="88888B"/>
            </w:tcBorders>
            <w:shd w:val="clear" w:color="auto" w:fill="CCEEFF"/>
          </w:tcPr>
          <w:p>
            <w:pPr>
              <w:spacing w:after="0"/>
              <w:rPr>
                <w:sz w:val="16"/>
                <w:szCs w:val="16"/>
                <w:color w:val="auto"/>
              </w:rPr>
            </w:pPr>
          </w:p>
        </w:tc>
        <w:tc>
          <w:tcPr>
            <w:tcW w:w="1120" w:type="dxa"/>
            <w:vAlign w:val="bottom"/>
            <w:tcBorders>
              <w:top w:val="single" w:sz="8" w:color="88888B"/>
            </w:tcBorders>
            <w:shd w:val="clear" w:color="auto" w:fill="CCEEFF"/>
          </w:tcPr>
          <w:p>
            <w:pPr>
              <w:spacing w:after="0"/>
              <w:rPr>
                <w:sz w:val="16"/>
                <w:szCs w:val="16"/>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80" w:type="dxa"/>
            <w:vAlign w:val="bottom"/>
          </w:tcPr>
          <w:p>
            <w:pPr>
              <w:ind w:left="60"/>
              <w:spacing w:after="0"/>
              <w:rPr>
                <w:sz w:val="20"/>
                <w:szCs w:val="20"/>
                <w:color w:val="auto"/>
              </w:rPr>
            </w:pPr>
            <w:r>
              <w:rPr>
                <w:rFonts w:ascii="Arial" w:cs="Arial" w:eastAsia="Arial" w:hAnsi="Arial"/>
                <w:sz w:val="14"/>
                <w:szCs w:val="14"/>
                <w:color w:val="55565A"/>
              </w:rPr>
              <w:t> Foreign exchange contracts</w:t>
            </w:r>
            <w:r>
              <w:rPr>
                <w:rFonts w:ascii="Arial" w:cs="Arial" w:eastAsia="Arial" w:hAnsi="Arial"/>
                <w:sz w:val="21"/>
                <w:szCs w:val="21"/>
                <w:color w:val="55565A"/>
                <w:vertAlign w:val="superscript"/>
              </w:rPr>
              <w:t>(4)</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55565A"/>
              </w:rPr>
              <w:t>–</w:t>
            </w:r>
          </w:p>
        </w:tc>
        <w:tc>
          <w:tcPr>
            <w:tcW w:w="960" w:type="dxa"/>
            <w:vAlign w:val="bottom"/>
          </w:tcPr>
          <w:p>
            <w:pPr>
              <w:jc w:val="right"/>
              <w:ind w:right="229"/>
              <w:spacing w:after="0"/>
              <w:rPr>
                <w:sz w:val="20"/>
                <w:szCs w:val="20"/>
                <w:color w:val="auto"/>
              </w:rPr>
            </w:pPr>
            <w:r>
              <w:rPr>
                <w:rFonts w:ascii="Arial" w:cs="Arial" w:eastAsia="Arial" w:hAnsi="Arial"/>
                <w:sz w:val="14"/>
                <w:szCs w:val="14"/>
                <w:b w:val="1"/>
                <w:bCs w:val="1"/>
                <w:color w:val="55565A"/>
              </w:rPr>
              <w:t>(30)</w:t>
            </w:r>
          </w:p>
        </w:tc>
        <w:tc>
          <w:tcPr>
            <w:tcW w:w="1140" w:type="dxa"/>
            <w:vAlign w:val="bottom"/>
          </w:tcPr>
          <w:p>
            <w:pPr>
              <w:jc w:val="right"/>
              <w:ind w:right="289"/>
              <w:spacing w:after="0"/>
              <w:rPr>
                <w:sz w:val="20"/>
                <w:szCs w:val="20"/>
                <w:color w:val="auto"/>
              </w:rPr>
            </w:pPr>
            <w:r>
              <w:rPr>
                <w:rFonts w:ascii="Arial" w:cs="Arial" w:eastAsia="Arial" w:hAnsi="Arial"/>
                <w:sz w:val="14"/>
                <w:szCs w:val="14"/>
                <w:b w:val="1"/>
                <w:bCs w:val="1"/>
                <w:color w:val="55565A"/>
              </w:rPr>
              <w:t>–</w:t>
            </w:r>
          </w:p>
        </w:tc>
        <w:tc>
          <w:tcPr>
            <w:tcW w:w="1120" w:type="dxa"/>
            <w:vAlign w:val="bottom"/>
          </w:tcPr>
          <w:p>
            <w:pPr>
              <w:jc w:val="right"/>
              <w:ind w:right="149"/>
              <w:spacing w:after="0"/>
              <w:rPr>
                <w:sz w:val="20"/>
                <w:szCs w:val="20"/>
                <w:color w:val="auto"/>
              </w:rPr>
            </w:pPr>
            <w:r>
              <w:rPr>
                <w:rFonts w:ascii="Arial" w:cs="Arial" w:eastAsia="Arial" w:hAnsi="Arial"/>
                <w:sz w:val="14"/>
                <w:szCs w:val="14"/>
                <w:b w:val="1"/>
                <w:bCs w:val="1"/>
                <w:color w:val="55565A"/>
              </w:rPr>
              <w:t>(30)</w:t>
            </w:r>
          </w:p>
        </w:tc>
      </w:tr>
      <w:tr>
        <w:trPr>
          <w:trHeight w:val="187"/>
        </w:trPr>
        <w:tc>
          <w:tcPr>
            <w:tcW w:w="20" w:type="dxa"/>
            <w:vAlign w:val="bottom"/>
          </w:tcPr>
          <w:p>
            <w:pPr>
              <w:spacing w:after="0"/>
              <w:rPr>
                <w:sz w:val="16"/>
                <w:szCs w:val="16"/>
                <w:color w:val="auto"/>
              </w:rPr>
            </w:pPr>
          </w:p>
        </w:tc>
        <w:tc>
          <w:tcPr>
            <w:tcW w:w="80" w:type="dxa"/>
            <w:vAlign w:val="bottom"/>
            <w:tcBorders>
              <w:bottom w:val="single" w:sz="8" w:color="88888B"/>
            </w:tcBorders>
            <w:shd w:val="clear" w:color="auto" w:fill="CCEEFF"/>
          </w:tcPr>
          <w:p>
            <w:pPr>
              <w:spacing w:after="0"/>
              <w:rPr>
                <w:sz w:val="16"/>
                <w:szCs w:val="16"/>
                <w:color w:val="auto"/>
              </w:rPr>
            </w:pPr>
          </w:p>
        </w:tc>
        <w:tc>
          <w:tcPr>
            <w:tcW w:w="6780" w:type="dxa"/>
            <w:vAlign w:val="bottom"/>
            <w:tcBorders>
              <w:bottom w:val="single" w:sz="8" w:color="88888B"/>
            </w:tcBorders>
            <w:shd w:val="clear" w:color="auto" w:fill="CCEEFF"/>
          </w:tcPr>
          <w:p>
            <w:pPr>
              <w:ind w:left="60"/>
              <w:spacing w:after="0" w:line="188" w:lineRule="exact"/>
              <w:rPr>
                <w:sz w:val="20"/>
                <w:szCs w:val="20"/>
                <w:color w:val="auto"/>
              </w:rPr>
            </w:pPr>
            <w:r>
              <w:rPr>
                <w:rFonts w:ascii="Arial" w:cs="Arial" w:eastAsia="Arial" w:hAnsi="Arial"/>
                <w:sz w:val="14"/>
                <w:szCs w:val="14"/>
                <w:color w:val="55565A"/>
              </w:rPr>
              <w:t>Contingent consideration</w:t>
            </w:r>
            <w:r>
              <w:rPr>
                <w:rFonts w:ascii="Arial" w:cs="Arial" w:eastAsia="Arial" w:hAnsi="Arial"/>
                <w:sz w:val="21"/>
                <w:szCs w:val="21"/>
                <w:color w:val="55565A"/>
                <w:vertAlign w:val="superscript"/>
              </w:rPr>
              <w:t>(5)</w:t>
            </w:r>
          </w:p>
        </w:tc>
        <w:tc>
          <w:tcPr>
            <w:tcW w:w="82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w:t>
            </w:r>
          </w:p>
        </w:tc>
        <w:tc>
          <w:tcPr>
            <w:tcW w:w="96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w:t>
            </w:r>
          </w:p>
        </w:tc>
        <w:tc>
          <w:tcPr>
            <w:tcW w:w="1140" w:type="dxa"/>
            <w:vAlign w:val="bottom"/>
            <w:tcBorders>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(44)</w:t>
            </w:r>
          </w:p>
        </w:tc>
        <w:tc>
          <w:tcPr>
            <w:tcW w:w="1120" w:type="dxa"/>
            <w:vAlign w:val="bottom"/>
            <w:tcBorders>
              <w:bottom w:val="single" w:sz="8" w:color="88888B"/>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5565A"/>
              </w:rPr>
              <w:t>(44)</w:t>
            </w:r>
          </w:p>
        </w:tc>
      </w:tr>
      <w:tr>
        <w:trPr>
          <w:trHeight w:val="201"/>
        </w:trPr>
        <w:tc>
          <w:tcPr>
            <w:tcW w:w="6880" w:type="dxa"/>
            <w:vAlign w:val="bottom"/>
            <w:gridSpan w:val="3"/>
          </w:tcPr>
          <w:p>
            <w:pPr>
              <w:spacing w:after="0"/>
              <w:rPr>
                <w:sz w:val="20"/>
                <w:szCs w:val="20"/>
                <w:color w:val="auto"/>
              </w:rPr>
            </w:pPr>
            <w:r>
              <w:rPr>
                <w:rFonts w:ascii="Arial" w:cs="Arial" w:eastAsia="Arial" w:hAnsi="Arial"/>
                <w:sz w:val="14"/>
                <w:szCs w:val="14"/>
                <w:color w:val="55565A"/>
              </w:rPr>
              <w:t>Financial liabilities at fair value through earnings</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55565A"/>
              </w:rPr>
              <w:t>–</w:t>
            </w:r>
          </w:p>
        </w:tc>
        <w:tc>
          <w:tcPr>
            <w:tcW w:w="960" w:type="dxa"/>
            <w:vAlign w:val="bottom"/>
          </w:tcPr>
          <w:p>
            <w:pPr>
              <w:jc w:val="right"/>
              <w:ind w:right="229"/>
              <w:spacing w:after="0"/>
              <w:rPr>
                <w:sz w:val="20"/>
                <w:szCs w:val="20"/>
                <w:color w:val="auto"/>
              </w:rPr>
            </w:pPr>
            <w:r>
              <w:rPr>
                <w:rFonts w:ascii="Arial" w:cs="Arial" w:eastAsia="Arial" w:hAnsi="Arial"/>
                <w:sz w:val="14"/>
                <w:szCs w:val="14"/>
                <w:b w:val="1"/>
                <w:bCs w:val="1"/>
                <w:color w:val="55565A"/>
              </w:rPr>
              <w:t>(30)</w:t>
            </w:r>
          </w:p>
        </w:tc>
        <w:tc>
          <w:tcPr>
            <w:tcW w:w="1140" w:type="dxa"/>
            <w:vAlign w:val="bottom"/>
          </w:tcPr>
          <w:p>
            <w:pPr>
              <w:jc w:val="right"/>
              <w:ind w:right="289"/>
              <w:spacing w:after="0"/>
              <w:rPr>
                <w:sz w:val="20"/>
                <w:szCs w:val="20"/>
                <w:color w:val="auto"/>
              </w:rPr>
            </w:pPr>
            <w:r>
              <w:rPr>
                <w:rFonts w:ascii="Arial" w:cs="Arial" w:eastAsia="Arial" w:hAnsi="Arial"/>
                <w:sz w:val="14"/>
                <w:szCs w:val="14"/>
                <w:b w:val="1"/>
                <w:bCs w:val="1"/>
                <w:color w:val="55565A"/>
              </w:rPr>
              <w:t>(44)</w:t>
            </w:r>
          </w:p>
        </w:tc>
        <w:tc>
          <w:tcPr>
            <w:tcW w:w="1120" w:type="dxa"/>
            <w:vAlign w:val="bottom"/>
          </w:tcPr>
          <w:p>
            <w:pPr>
              <w:jc w:val="right"/>
              <w:ind w:right="149"/>
              <w:spacing w:after="0"/>
              <w:rPr>
                <w:sz w:val="20"/>
                <w:szCs w:val="20"/>
                <w:color w:val="auto"/>
              </w:rPr>
            </w:pPr>
            <w:r>
              <w:rPr>
                <w:rFonts w:ascii="Arial" w:cs="Arial" w:eastAsia="Arial" w:hAnsi="Arial"/>
                <w:sz w:val="14"/>
                <w:szCs w:val="14"/>
                <w:b w:val="1"/>
                <w:bCs w:val="1"/>
                <w:color w:val="55565A"/>
              </w:rPr>
              <w:t>(74)</w:t>
            </w:r>
          </w:p>
        </w:tc>
      </w:tr>
      <w:tr>
        <w:trPr>
          <w:trHeight w:val="187"/>
        </w:trPr>
        <w:tc>
          <w:tcPr>
            <w:tcW w:w="20" w:type="dxa"/>
            <w:vAlign w:val="bottom"/>
          </w:tcPr>
          <w:p>
            <w:pPr>
              <w:spacing w:after="0"/>
              <w:rPr>
                <w:sz w:val="16"/>
                <w:szCs w:val="16"/>
                <w:color w:val="auto"/>
              </w:rPr>
            </w:pPr>
          </w:p>
        </w:tc>
        <w:tc>
          <w:tcPr>
            <w:tcW w:w="6860" w:type="dxa"/>
            <w:vAlign w:val="bottom"/>
            <w:tcBorders>
              <w:top w:val="single" w:sz="8" w:color="88888B"/>
              <w:bottom w:val="single" w:sz="8" w:color="88888B"/>
            </w:tcBorders>
            <w:gridSpan w:val="2"/>
            <w:shd w:val="clear" w:color="auto" w:fill="CCEEFF"/>
          </w:tcPr>
          <w:p>
            <w:pPr>
              <w:spacing w:after="0"/>
              <w:rPr>
                <w:sz w:val="20"/>
                <w:szCs w:val="20"/>
                <w:color w:val="auto"/>
              </w:rPr>
            </w:pPr>
            <w:r>
              <w:rPr>
                <w:rFonts w:ascii="Arial" w:cs="Arial" w:eastAsia="Arial" w:hAnsi="Arial"/>
                <w:sz w:val="14"/>
                <w:szCs w:val="14"/>
                <w:color w:val="55565A"/>
              </w:rPr>
              <w:t>Total liabilities</w:t>
            </w:r>
          </w:p>
        </w:tc>
        <w:tc>
          <w:tcPr>
            <w:tcW w:w="820" w:type="dxa"/>
            <w:vAlign w:val="bottom"/>
            <w:tcBorders>
              <w:top w:val="single" w:sz="8" w:color="88888B"/>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w:t>
            </w:r>
          </w:p>
        </w:tc>
        <w:tc>
          <w:tcPr>
            <w:tcW w:w="960" w:type="dxa"/>
            <w:vAlign w:val="bottom"/>
            <w:tcBorders>
              <w:top w:val="single" w:sz="8" w:color="88888B"/>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(30)</w:t>
            </w:r>
          </w:p>
        </w:tc>
        <w:tc>
          <w:tcPr>
            <w:tcW w:w="1140" w:type="dxa"/>
            <w:vAlign w:val="bottom"/>
            <w:tcBorders>
              <w:top w:val="single" w:sz="8" w:color="88888B"/>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b w:val="1"/>
                <w:bCs w:val="1"/>
                <w:color w:val="55565A"/>
              </w:rPr>
              <w:t>(44)</w:t>
            </w:r>
          </w:p>
        </w:tc>
        <w:tc>
          <w:tcPr>
            <w:tcW w:w="1120" w:type="dxa"/>
            <w:vAlign w:val="bottom"/>
            <w:tcBorders>
              <w:top w:val="single" w:sz="8" w:color="88888B"/>
              <w:bottom w:val="single" w:sz="8" w:color="88888B"/>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5565A"/>
              </w:rPr>
              <w:t>(74)</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80" w:type="dxa"/>
            <w:vAlign w:val="bottom"/>
            <w:tcBorders>
              <w:top w:val="single" w:sz="8" w:color="88888B"/>
            </w:tcBorders>
            <w:gridSpan w:val="3"/>
          </w:tcPr>
          <w:p>
            <w:pPr>
              <w:spacing w:after="0"/>
              <w:rPr>
                <w:sz w:val="20"/>
                <w:szCs w:val="20"/>
                <w:color w:val="auto"/>
              </w:rPr>
            </w:pPr>
            <w:r>
              <w:rPr>
                <w:rFonts w:ascii="Arial" w:cs="Arial" w:eastAsia="Arial" w:hAnsi="Arial"/>
                <w:sz w:val="16"/>
                <w:szCs w:val="16"/>
                <w:color w:val="55565A"/>
              </w:rPr>
              <w:t> December 31, 2023</w:t>
            </w:r>
          </w:p>
        </w:tc>
        <w:tc>
          <w:tcPr>
            <w:tcW w:w="820" w:type="dxa"/>
            <w:vAlign w:val="bottom"/>
            <w:tcBorders>
              <w:top w:val="single" w:sz="8" w:color="88888B"/>
            </w:tcBorders>
          </w:tcPr>
          <w:p>
            <w:pPr>
              <w:spacing w:after="0"/>
              <w:rPr>
                <w:sz w:val="20"/>
                <w:szCs w:val="20"/>
                <w:color w:val="auto"/>
              </w:rPr>
            </w:pPr>
          </w:p>
        </w:tc>
        <w:tc>
          <w:tcPr>
            <w:tcW w:w="960" w:type="dxa"/>
            <w:vAlign w:val="bottom"/>
            <w:tcBorders>
              <w:top w:val="single" w:sz="8" w:color="88888B"/>
            </w:tcBorders>
          </w:tcPr>
          <w:p>
            <w:pPr>
              <w:spacing w:after="0"/>
              <w:rPr>
                <w:sz w:val="20"/>
                <w:szCs w:val="20"/>
                <w:color w:val="auto"/>
              </w:rPr>
            </w:pPr>
          </w:p>
        </w:tc>
        <w:tc>
          <w:tcPr>
            <w:tcW w:w="1140" w:type="dxa"/>
            <w:vAlign w:val="bottom"/>
            <w:tcBorders>
              <w:top w:val="single" w:sz="8" w:color="88888B"/>
            </w:tcBorders>
          </w:tcPr>
          <w:p>
            <w:pPr>
              <w:spacing w:after="0"/>
              <w:rPr>
                <w:sz w:val="20"/>
                <w:szCs w:val="20"/>
                <w:color w:val="auto"/>
              </w:rPr>
            </w:pPr>
          </w:p>
        </w:tc>
        <w:tc>
          <w:tcPr>
            <w:tcW w:w="1120" w:type="dxa"/>
            <w:vAlign w:val="bottom"/>
            <w:tcBorders>
              <w:top w:val="single" w:sz="8" w:color="88888B"/>
            </w:tcBorders>
          </w:tcPr>
          <w:p>
            <w:pPr>
              <w:jc w:val="right"/>
              <w:ind w:right="148"/>
              <w:spacing w:after="0"/>
              <w:rPr>
                <w:sz w:val="20"/>
                <w:szCs w:val="20"/>
                <w:color w:val="auto"/>
              </w:rPr>
            </w:pPr>
            <w:r>
              <w:rPr>
                <w:rFonts w:ascii="Arial" w:cs="Arial" w:eastAsia="Arial" w:hAnsi="Arial"/>
                <w:sz w:val="16"/>
                <w:szCs w:val="16"/>
                <w:b w:val="1"/>
                <w:bCs w:val="1"/>
                <w:color w:val="55565A"/>
              </w:rPr>
              <w:t>Total</w:t>
            </w:r>
          </w:p>
        </w:tc>
        <w:tc>
          <w:tcPr>
            <w:tcW w:w="0" w:type="dxa"/>
            <w:vAlign w:val="bottom"/>
          </w:tcPr>
          <w:p>
            <w:pPr>
              <w:spacing w:after="0"/>
              <w:rPr>
                <w:sz w:val="1"/>
                <w:szCs w:val="1"/>
                <w:color w:val="auto"/>
              </w:rPr>
            </w:pPr>
          </w:p>
        </w:tc>
      </w:tr>
      <w:tr>
        <w:trPr>
          <w:trHeight w:val="200"/>
        </w:trPr>
        <w:tc>
          <w:tcPr>
            <w:tcW w:w="6880" w:type="dxa"/>
            <w:vAlign w:val="bottom"/>
            <w:gridSpan w:val="3"/>
          </w:tcPr>
          <w:p>
            <w:pPr>
              <w:spacing w:after="0"/>
              <w:rPr>
                <w:sz w:val="20"/>
                <w:szCs w:val="20"/>
                <w:color w:val="auto"/>
              </w:rPr>
            </w:pPr>
            <w:r>
              <w:rPr>
                <w:rFonts w:ascii="Arial" w:cs="Arial" w:eastAsia="Arial" w:hAnsi="Arial"/>
                <w:sz w:val="14"/>
                <w:szCs w:val="14"/>
                <w:color w:val="55565A"/>
              </w:rPr>
              <w:t> Assets</w:t>
            </w:r>
          </w:p>
        </w:tc>
        <w:tc>
          <w:tcPr>
            <w:tcW w:w="820" w:type="dxa"/>
            <w:vAlign w:val="bottom"/>
            <w:tcBorders>
              <w:bottom w:val="single" w:sz="8" w:color="88888B"/>
            </w:tcBorders>
          </w:tcPr>
          <w:p>
            <w:pPr>
              <w:jc w:val="right"/>
              <w:ind w:right="109"/>
              <w:spacing w:after="0"/>
              <w:rPr>
                <w:sz w:val="20"/>
                <w:szCs w:val="20"/>
                <w:color w:val="auto"/>
              </w:rPr>
            </w:pPr>
            <w:r>
              <w:rPr>
                <w:rFonts w:ascii="Arial" w:cs="Arial" w:eastAsia="Arial" w:hAnsi="Arial"/>
                <w:sz w:val="14"/>
                <w:szCs w:val="14"/>
                <w:b w:val="1"/>
                <w:bCs w:val="1"/>
                <w:color w:val="55565A"/>
              </w:rPr>
              <w:t>Level 1</w:t>
            </w:r>
          </w:p>
        </w:tc>
        <w:tc>
          <w:tcPr>
            <w:tcW w:w="96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b w:val="1"/>
                <w:bCs w:val="1"/>
                <w:color w:val="55565A"/>
              </w:rPr>
              <w:t>Level 2</w:t>
            </w:r>
          </w:p>
        </w:tc>
        <w:tc>
          <w:tcPr>
            <w:tcW w:w="114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b w:val="1"/>
                <w:bCs w:val="1"/>
                <w:color w:val="55565A"/>
              </w:rPr>
              <w:t>Level 3</w:t>
            </w:r>
          </w:p>
        </w:tc>
        <w:tc>
          <w:tcPr>
            <w:tcW w:w="1120" w:type="dxa"/>
            <w:vAlign w:val="bottom"/>
            <w:tcBorders>
              <w:bottom w:val="single" w:sz="8" w:color="88888B"/>
            </w:tcBorders>
          </w:tcPr>
          <w:p>
            <w:pPr>
              <w:jc w:val="right"/>
              <w:ind w:right="148"/>
              <w:spacing w:after="0"/>
              <w:rPr>
                <w:sz w:val="20"/>
                <w:szCs w:val="20"/>
                <w:color w:val="auto"/>
              </w:rPr>
            </w:pPr>
            <w:r>
              <w:rPr>
                <w:rFonts w:ascii="Arial" w:cs="Arial" w:eastAsia="Arial" w:hAnsi="Arial"/>
                <w:sz w:val="14"/>
                <w:szCs w:val="14"/>
                <w:b w:val="1"/>
                <w:bCs w:val="1"/>
                <w:color w:val="55565A"/>
              </w:rPr>
              <w:t>Balance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8"/>
                <w:szCs w:val="8"/>
                <w:color w:val="55565A"/>
                <w:w w:val="74"/>
              </w:rPr>
              <w:t> </w:t>
            </w:r>
          </w:p>
        </w:tc>
        <w:tc>
          <w:tcPr>
            <w:tcW w:w="6780" w:type="dxa"/>
            <w:vAlign w:val="bottom"/>
            <w:shd w:val="clear" w:color="auto" w:fill="CCEEFF"/>
          </w:tcPr>
          <w:p>
            <w:pPr>
              <w:ind w:left="60"/>
              <w:spacing w:after="0"/>
              <w:rPr>
                <w:sz w:val="20"/>
                <w:szCs w:val="20"/>
                <w:color w:val="auto"/>
              </w:rPr>
            </w:pPr>
            <w:r>
              <w:rPr>
                <w:rFonts w:ascii="Arial" w:cs="Arial" w:eastAsia="Arial" w:hAnsi="Arial"/>
                <w:sz w:val="14"/>
                <w:szCs w:val="14"/>
                <w:color w:val="55565A"/>
              </w:rPr>
              <w:t> Money market accounts</w:t>
            </w:r>
          </w:p>
        </w:tc>
        <w:tc>
          <w:tcPr>
            <w:tcW w:w="8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w:t>
            </w: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906</w:t>
            </w:r>
          </w:p>
        </w:tc>
        <w:tc>
          <w:tcPr>
            <w:tcW w:w="11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55565A"/>
              </w:rPr>
              <w:t>906</w:t>
            </w:r>
          </w:p>
        </w:tc>
        <w:tc>
          <w:tcPr>
            <w:tcW w:w="0" w:type="dxa"/>
            <w:vAlign w:val="bottom"/>
          </w:tcPr>
          <w:p>
            <w:pPr>
              <w:spacing w:after="0"/>
              <w:rPr>
                <w:sz w:val="1"/>
                <w:szCs w:val="1"/>
                <w:color w:val="auto"/>
              </w:rPr>
            </w:pPr>
          </w:p>
        </w:tc>
      </w:tr>
      <w:tr>
        <w:trPr>
          <w:trHeight w:val="241"/>
        </w:trPr>
        <w:tc>
          <w:tcPr>
            <w:tcW w:w="100" w:type="dxa"/>
            <w:vAlign w:val="bottom"/>
            <w:gridSpan w:val="2"/>
          </w:tcPr>
          <w:p>
            <w:pPr>
              <w:spacing w:after="0"/>
              <w:rPr>
                <w:sz w:val="20"/>
                <w:szCs w:val="20"/>
                <w:color w:val="auto"/>
              </w:rPr>
            </w:pPr>
            <w:r>
              <w:rPr>
                <w:rFonts w:ascii="Arial" w:cs="Arial" w:eastAsia="Arial" w:hAnsi="Arial"/>
                <w:sz w:val="11"/>
                <w:szCs w:val="11"/>
                <w:color w:val="55565A"/>
                <w:w w:val="72"/>
              </w:rPr>
              <w:t> </w:t>
            </w:r>
          </w:p>
        </w:tc>
        <w:tc>
          <w:tcPr>
            <w:tcW w:w="6780" w:type="dxa"/>
            <w:vAlign w:val="bottom"/>
          </w:tcPr>
          <w:p>
            <w:pPr>
              <w:ind w:left="60"/>
              <w:spacing w:after="0"/>
              <w:rPr>
                <w:sz w:val="20"/>
                <w:szCs w:val="20"/>
                <w:color w:val="auto"/>
              </w:rPr>
            </w:pPr>
            <w:r>
              <w:rPr>
                <w:rFonts w:ascii="Arial" w:cs="Arial" w:eastAsia="Arial" w:hAnsi="Arial"/>
                <w:sz w:val="14"/>
                <w:szCs w:val="14"/>
                <w:color w:val="55565A"/>
              </w:rPr>
              <w:t> Other receivables</w:t>
            </w:r>
            <w:r>
              <w:rPr>
                <w:rFonts w:ascii="Arial" w:cs="Arial" w:eastAsia="Arial" w:hAnsi="Arial"/>
                <w:sz w:val="21"/>
                <w:szCs w:val="21"/>
                <w:color w:val="55565A"/>
                <w:vertAlign w:val="superscript"/>
              </w:rPr>
              <w:t>(1)</w:t>
            </w:r>
          </w:p>
        </w:tc>
        <w:tc>
          <w:tcPr>
            <w:tcW w:w="820" w:type="dxa"/>
            <w:vAlign w:val="bottom"/>
          </w:tcPr>
          <w:p>
            <w:pPr>
              <w:jc w:val="right"/>
              <w:ind w:right="109"/>
              <w:spacing w:after="0"/>
              <w:rPr>
                <w:sz w:val="20"/>
                <w:szCs w:val="20"/>
                <w:color w:val="auto"/>
              </w:rPr>
            </w:pPr>
            <w:r>
              <w:rPr>
                <w:rFonts w:ascii="Arial" w:cs="Arial" w:eastAsia="Arial" w:hAnsi="Arial"/>
                <w:sz w:val="14"/>
                <w:szCs w:val="14"/>
                <w:color w:val="55565A"/>
              </w:rPr>
              <w:t>–</w:t>
            </w:r>
          </w:p>
        </w:tc>
        <w:tc>
          <w:tcPr>
            <w:tcW w:w="960" w:type="dxa"/>
            <w:vAlign w:val="bottom"/>
          </w:tcPr>
          <w:p>
            <w:pPr>
              <w:jc w:val="right"/>
              <w:ind w:right="229"/>
              <w:spacing w:after="0"/>
              <w:rPr>
                <w:sz w:val="20"/>
                <w:szCs w:val="20"/>
                <w:color w:val="auto"/>
              </w:rPr>
            </w:pPr>
            <w:r>
              <w:rPr>
                <w:rFonts w:ascii="Arial" w:cs="Arial" w:eastAsia="Arial" w:hAnsi="Arial"/>
                <w:sz w:val="14"/>
                <w:szCs w:val="14"/>
                <w:color w:val="55565A"/>
              </w:rPr>
              <w:t>–</w:t>
            </w:r>
          </w:p>
        </w:tc>
        <w:tc>
          <w:tcPr>
            <w:tcW w:w="1140" w:type="dxa"/>
            <w:vAlign w:val="bottom"/>
          </w:tcPr>
          <w:p>
            <w:pPr>
              <w:jc w:val="right"/>
              <w:ind w:right="289"/>
              <w:spacing w:after="0"/>
              <w:rPr>
                <w:sz w:val="20"/>
                <w:szCs w:val="20"/>
                <w:color w:val="auto"/>
              </w:rPr>
            </w:pPr>
            <w:r>
              <w:rPr>
                <w:rFonts w:ascii="Arial" w:cs="Arial" w:eastAsia="Arial" w:hAnsi="Arial"/>
                <w:sz w:val="14"/>
                <w:szCs w:val="14"/>
                <w:color w:val="55565A"/>
              </w:rPr>
              <w:t>263</w:t>
            </w:r>
          </w:p>
        </w:tc>
        <w:tc>
          <w:tcPr>
            <w:tcW w:w="1120" w:type="dxa"/>
            <w:vAlign w:val="bottom"/>
          </w:tcPr>
          <w:p>
            <w:pPr>
              <w:jc w:val="right"/>
              <w:ind w:right="148"/>
              <w:spacing w:after="0"/>
              <w:rPr>
                <w:sz w:val="20"/>
                <w:szCs w:val="20"/>
                <w:color w:val="auto"/>
              </w:rPr>
            </w:pPr>
            <w:r>
              <w:rPr>
                <w:rFonts w:ascii="Arial" w:cs="Arial" w:eastAsia="Arial" w:hAnsi="Arial"/>
                <w:sz w:val="14"/>
                <w:szCs w:val="14"/>
                <w:color w:val="55565A"/>
              </w:rPr>
              <w:t>263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8"/>
                <w:szCs w:val="8"/>
                <w:color w:val="55565A"/>
                <w:w w:val="74"/>
              </w:rPr>
              <w:t> </w:t>
            </w:r>
          </w:p>
        </w:tc>
        <w:tc>
          <w:tcPr>
            <w:tcW w:w="6780" w:type="dxa"/>
            <w:vAlign w:val="bottom"/>
            <w:tcBorders>
              <w:bottom w:val="single" w:sz="8" w:color="88888B"/>
            </w:tcBorders>
            <w:shd w:val="clear" w:color="auto" w:fill="CCEEFF"/>
          </w:tcPr>
          <w:p>
            <w:pPr>
              <w:ind w:left="60"/>
              <w:spacing w:after="0" w:line="188" w:lineRule="exact"/>
              <w:rPr>
                <w:sz w:val="20"/>
                <w:szCs w:val="20"/>
                <w:color w:val="auto"/>
              </w:rPr>
            </w:pPr>
            <w:r>
              <w:rPr>
                <w:rFonts w:ascii="Arial" w:cs="Arial" w:eastAsia="Arial" w:hAnsi="Arial"/>
                <w:sz w:val="14"/>
                <w:szCs w:val="14"/>
                <w:color w:val="55565A"/>
              </w:rPr>
              <w:t> Foreign exchange contracts</w:t>
            </w:r>
            <w:r>
              <w:rPr>
                <w:rFonts w:ascii="Arial" w:cs="Arial" w:eastAsia="Arial" w:hAnsi="Arial"/>
                <w:sz w:val="21"/>
                <w:szCs w:val="21"/>
                <w:color w:val="55565A"/>
                <w:vertAlign w:val="superscript"/>
              </w:rPr>
              <w:t>(4)</w:t>
            </w:r>
          </w:p>
        </w:tc>
        <w:tc>
          <w:tcPr>
            <w:tcW w:w="82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color w:val="55565A"/>
              </w:rPr>
              <w:t>–</w:t>
            </w:r>
          </w:p>
        </w:tc>
        <w:tc>
          <w:tcPr>
            <w:tcW w:w="96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58</w:t>
            </w:r>
          </w:p>
        </w:tc>
        <w:tc>
          <w:tcPr>
            <w:tcW w:w="1140" w:type="dxa"/>
            <w:vAlign w:val="bottom"/>
            <w:tcBorders>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color w:val="55565A"/>
              </w:rPr>
              <w:t>–</w:t>
            </w:r>
          </w:p>
        </w:tc>
        <w:tc>
          <w:tcPr>
            <w:tcW w:w="1120" w:type="dxa"/>
            <w:vAlign w:val="bottom"/>
            <w:tcBorders>
              <w:bottom w:val="single" w:sz="8" w:color="88888B"/>
            </w:tcBorders>
            <w:shd w:val="clear" w:color="auto" w:fill="CCEEFF"/>
          </w:tcPr>
          <w:p>
            <w:pPr>
              <w:jc w:val="right"/>
              <w:ind w:right="148"/>
              <w:spacing w:after="0"/>
              <w:rPr>
                <w:sz w:val="20"/>
                <w:szCs w:val="20"/>
                <w:color w:val="auto"/>
              </w:rPr>
            </w:pPr>
            <w:r>
              <w:rPr>
                <w:rFonts w:ascii="Arial" w:cs="Arial" w:eastAsia="Arial" w:hAnsi="Arial"/>
                <w:sz w:val="14"/>
                <w:szCs w:val="14"/>
                <w:color w:val="55565A"/>
              </w:rPr>
              <w:t>58</w:t>
            </w:r>
          </w:p>
        </w:tc>
        <w:tc>
          <w:tcPr>
            <w:tcW w:w="0" w:type="dxa"/>
            <w:vAlign w:val="bottom"/>
          </w:tcPr>
          <w:p>
            <w:pPr>
              <w:spacing w:after="0"/>
              <w:rPr>
                <w:sz w:val="1"/>
                <w:szCs w:val="1"/>
                <w:color w:val="auto"/>
              </w:rPr>
            </w:pPr>
          </w:p>
        </w:tc>
      </w:tr>
      <w:tr>
        <w:trPr>
          <w:trHeight w:val="201"/>
        </w:trPr>
        <w:tc>
          <w:tcPr>
            <w:tcW w:w="6880" w:type="dxa"/>
            <w:vAlign w:val="bottom"/>
            <w:gridSpan w:val="3"/>
          </w:tcPr>
          <w:p>
            <w:pPr>
              <w:spacing w:after="0"/>
              <w:rPr>
                <w:sz w:val="20"/>
                <w:szCs w:val="20"/>
                <w:color w:val="auto"/>
              </w:rPr>
            </w:pPr>
            <w:r>
              <w:rPr>
                <w:rFonts w:ascii="Arial" w:cs="Arial" w:eastAsia="Arial" w:hAnsi="Arial"/>
                <w:sz w:val="14"/>
                <w:szCs w:val="14"/>
                <w:color w:val="55565A"/>
              </w:rPr>
              <w:t> Financial assets at fair value through earnings</w:t>
            </w:r>
          </w:p>
        </w:tc>
        <w:tc>
          <w:tcPr>
            <w:tcW w:w="820" w:type="dxa"/>
            <w:vAlign w:val="bottom"/>
          </w:tcPr>
          <w:p>
            <w:pPr>
              <w:jc w:val="right"/>
              <w:ind w:right="109"/>
              <w:spacing w:after="0"/>
              <w:rPr>
                <w:sz w:val="20"/>
                <w:szCs w:val="20"/>
                <w:color w:val="auto"/>
              </w:rPr>
            </w:pPr>
            <w:r>
              <w:rPr>
                <w:rFonts w:ascii="Arial" w:cs="Arial" w:eastAsia="Arial" w:hAnsi="Arial"/>
                <w:sz w:val="14"/>
                <w:szCs w:val="14"/>
                <w:color w:val="55565A"/>
              </w:rPr>
              <w:t>–</w:t>
            </w:r>
          </w:p>
        </w:tc>
        <w:tc>
          <w:tcPr>
            <w:tcW w:w="960" w:type="dxa"/>
            <w:vAlign w:val="bottom"/>
          </w:tcPr>
          <w:p>
            <w:pPr>
              <w:jc w:val="right"/>
              <w:ind w:right="229"/>
              <w:spacing w:after="0"/>
              <w:rPr>
                <w:sz w:val="20"/>
                <w:szCs w:val="20"/>
                <w:color w:val="auto"/>
              </w:rPr>
            </w:pPr>
            <w:r>
              <w:rPr>
                <w:rFonts w:ascii="Arial" w:cs="Arial" w:eastAsia="Arial" w:hAnsi="Arial"/>
                <w:sz w:val="14"/>
                <w:szCs w:val="14"/>
                <w:color w:val="55565A"/>
              </w:rPr>
              <w:t>964</w:t>
            </w:r>
          </w:p>
        </w:tc>
        <w:tc>
          <w:tcPr>
            <w:tcW w:w="1140" w:type="dxa"/>
            <w:vAlign w:val="bottom"/>
          </w:tcPr>
          <w:p>
            <w:pPr>
              <w:jc w:val="right"/>
              <w:ind w:right="289"/>
              <w:spacing w:after="0"/>
              <w:rPr>
                <w:sz w:val="20"/>
                <w:szCs w:val="20"/>
                <w:color w:val="auto"/>
              </w:rPr>
            </w:pPr>
            <w:r>
              <w:rPr>
                <w:rFonts w:ascii="Arial" w:cs="Arial" w:eastAsia="Arial" w:hAnsi="Arial"/>
                <w:sz w:val="14"/>
                <w:szCs w:val="14"/>
                <w:color w:val="55565A"/>
              </w:rPr>
              <w:t>263</w:t>
            </w:r>
          </w:p>
        </w:tc>
        <w:tc>
          <w:tcPr>
            <w:tcW w:w="1120" w:type="dxa"/>
            <w:vAlign w:val="bottom"/>
          </w:tcPr>
          <w:p>
            <w:pPr>
              <w:jc w:val="right"/>
              <w:ind w:right="148"/>
              <w:spacing w:after="0"/>
              <w:rPr>
                <w:sz w:val="20"/>
                <w:szCs w:val="20"/>
                <w:color w:val="auto"/>
              </w:rPr>
            </w:pPr>
            <w:r>
              <w:rPr>
                <w:rFonts w:ascii="Arial" w:cs="Arial" w:eastAsia="Arial" w:hAnsi="Arial"/>
                <w:sz w:val="14"/>
                <w:szCs w:val="14"/>
                <w:color w:val="55565A"/>
              </w:rPr>
              <w:t>1,227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60" w:type="dxa"/>
            <w:vAlign w:val="bottom"/>
            <w:tcBorders>
              <w:top w:val="single" w:sz="8" w:color="88888B"/>
              <w:bottom w:val="single" w:sz="8" w:color="88888B"/>
            </w:tcBorders>
            <w:gridSpan w:val="2"/>
            <w:shd w:val="clear" w:color="auto" w:fill="CCEEFF"/>
          </w:tcPr>
          <w:p>
            <w:pPr>
              <w:spacing w:after="0" w:line="188" w:lineRule="exact"/>
              <w:rPr>
                <w:sz w:val="20"/>
                <w:szCs w:val="20"/>
                <w:color w:val="auto"/>
              </w:rPr>
            </w:pPr>
            <w:r>
              <w:rPr>
                <w:rFonts w:ascii="Arial" w:cs="Arial" w:eastAsia="Arial" w:hAnsi="Arial"/>
                <w:sz w:val="14"/>
                <w:szCs w:val="14"/>
                <w:color w:val="55565A"/>
              </w:rPr>
              <w:t> Financial assets at fair value through other comprehensive income</w:t>
            </w:r>
            <w:r>
              <w:rPr>
                <w:rFonts w:ascii="Arial" w:cs="Arial" w:eastAsia="Arial" w:hAnsi="Arial"/>
                <w:sz w:val="21"/>
                <w:szCs w:val="21"/>
                <w:color w:val="55565A"/>
                <w:vertAlign w:val="superscript"/>
              </w:rPr>
              <w:t>(2)</w:t>
            </w:r>
          </w:p>
        </w:tc>
        <w:tc>
          <w:tcPr>
            <w:tcW w:w="820" w:type="dxa"/>
            <w:vAlign w:val="bottom"/>
            <w:tcBorders>
              <w:top w:val="single" w:sz="8" w:color="88888B"/>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color w:val="55565A"/>
              </w:rPr>
              <w:t>33</w:t>
            </w:r>
          </w:p>
        </w:tc>
        <w:tc>
          <w:tcPr>
            <w:tcW w:w="960" w:type="dxa"/>
            <w:vAlign w:val="bottom"/>
            <w:tcBorders>
              <w:top w:val="single" w:sz="8" w:color="88888B"/>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w:t>
            </w:r>
          </w:p>
        </w:tc>
        <w:tc>
          <w:tcPr>
            <w:tcW w:w="1140" w:type="dxa"/>
            <w:vAlign w:val="bottom"/>
            <w:tcBorders>
              <w:top w:val="single" w:sz="8" w:color="88888B"/>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color w:val="55565A"/>
              </w:rPr>
              <w:t>65</w:t>
            </w:r>
          </w:p>
        </w:tc>
        <w:tc>
          <w:tcPr>
            <w:tcW w:w="1120" w:type="dxa"/>
            <w:vAlign w:val="bottom"/>
            <w:tcBorders>
              <w:top w:val="single" w:sz="8" w:color="88888B"/>
              <w:bottom w:val="single" w:sz="8" w:color="88888B"/>
            </w:tcBorders>
            <w:shd w:val="clear" w:color="auto" w:fill="CCEEFF"/>
          </w:tcPr>
          <w:p>
            <w:pPr>
              <w:jc w:val="right"/>
              <w:ind w:right="148"/>
              <w:spacing w:after="0"/>
              <w:rPr>
                <w:sz w:val="20"/>
                <w:szCs w:val="20"/>
                <w:color w:val="auto"/>
              </w:rPr>
            </w:pPr>
            <w:r>
              <w:rPr>
                <w:rFonts w:ascii="Arial" w:cs="Arial" w:eastAsia="Arial" w:hAnsi="Arial"/>
                <w:sz w:val="14"/>
                <w:szCs w:val="14"/>
                <w:color w:val="55565A"/>
              </w:rPr>
              <w:t>98</w:t>
            </w:r>
          </w:p>
        </w:tc>
        <w:tc>
          <w:tcPr>
            <w:tcW w:w="0" w:type="dxa"/>
            <w:vAlign w:val="bottom"/>
          </w:tcPr>
          <w:p>
            <w:pPr>
              <w:spacing w:after="0"/>
              <w:rPr>
                <w:sz w:val="1"/>
                <w:szCs w:val="1"/>
                <w:color w:val="auto"/>
              </w:rPr>
            </w:pPr>
          </w:p>
        </w:tc>
      </w:tr>
      <w:tr>
        <w:trPr>
          <w:trHeight w:val="194"/>
        </w:trPr>
        <w:tc>
          <w:tcPr>
            <w:tcW w:w="6880" w:type="dxa"/>
            <w:vAlign w:val="bottom"/>
            <w:gridSpan w:val="3"/>
          </w:tcPr>
          <w:p>
            <w:pPr>
              <w:spacing w:after="0" w:line="194" w:lineRule="exact"/>
              <w:rPr>
                <w:sz w:val="20"/>
                <w:szCs w:val="20"/>
                <w:color w:val="auto"/>
              </w:rPr>
            </w:pPr>
            <w:r>
              <w:rPr>
                <w:rFonts w:ascii="Arial" w:cs="Arial" w:eastAsia="Arial" w:hAnsi="Arial"/>
                <w:sz w:val="14"/>
                <w:szCs w:val="14"/>
                <w:color w:val="55565A"/>
              </w:rPr>
              <w:t> Derivatives used for hedging</w:t>
            </w:r>
            <w:r>
              <w:rPr>
                <w:rFonts w:ascii="Arial" w:cs="Arial" w:eastAsia="Arial" w:hAnsi="Arial"/>
                <w:sz w:val="21"/>
                <w:szCs w:val="21"/>
                <w:color w:val="55565A"/>
                <w:vertAlign w:val="superscript"/>
              </w:rPr>
              <w:t>(3)</w:t>
            </w:r>
          </w:p>
        </w:tc>
        <w:tc>
          <w:tcPr>
            <w:tcW w:w="820" w:type="dxa"/>
            <w:vAlign w:val="bottom"/>
          </w:tcPr>
          <w:p>
            <w:pPr>
              <w:jc w:val="right"/>
              <w:ind w:right="109"/>
              <w:spacing w:after="0"/>
              <w:rPr>
                <w:sz w:val="20"/>
                <w:szCs w:val="20"/>
                <w:color w:val="auto"/>
              </w:rPr>
            </w:pPr>
            <w:r>
              <w:rPr>
                <w:rFonts w:ascii="Arial" w:cs="Arial" w:eastAsia="Arial" w:hAnsi="Arial"/>
                <w:sz w:val="14"/>
                <w:szCs w:val="14"/>
                <w:color w:val="55565A"/>
              </w:rPr>
              <w:t>–</w:t>
            </w:r>
          </w:p>
        </w:tc>
        <w:tc>
          <w:tcPr>
            <w:tcW w:w="960" w:type="dxa"/>
            <w:vAlign w:val="bottom"/>
          </w:tcPr>
          <w:p>
            <w:pPr>
              <w:jc w:val="right"/>
              <w:ind w:right="229"/>
              <w:spacing w:after="0"/>
              <w:rPr>
                <w:sz w:val="20"/>
                <w:szCs w:val="20"/>
                <w:color w:val="auto"/>
              </w:rPr>
            </w:pPr>
            <w:r>
              <w:rPr>
                <w:rFonts w:ascii="Arial" w:cs="Arial" w:eastAsia="Arial" w:hAnsi="Arial"/>
                <w:sz w:val="14"/>
                <w:szCs w:val="14"/>
                <w:color w:val="55565A"/>
              </w:rPr>
              <w:t>65</w:t>
            </w:r>
          </w:p>
        </w:tc>
        <w:tc>
          <w:tcPr>
            <w:tcW w:w="1140" w:type="dxa"/>
            <w:vAlign w:val="bottom"/>
          </w:tcPr>
          <w:p>
            <w:pPr>
              <w:jc w:val="right"/>
              <w:ind w:right="289"/>
              <w:spacing w:after="0"/>
              <w:rPr>
                <w:sz w:val="20"/>
                <w:szCs w:val="20"/>
                <w:color w:val="auto"/>
              </w:rPr>
            </w:pPr>
            <w:r>
              <w:rPr>
                <w:rFonts w:ascii="Arial" w:cs="Arial" w:eastAsia="Arial" w:hAnsi="Arial"/>
                <w:sz w:val="14"/>
                <w:szCs w:val="14"/>
                <w:color w:val="55565A"/>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55565A"/>
              </w:rPr>
              <w:t>65</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Borders>
              <w:top w:val="single" w:sz="8" w:color="88888B"/>
            </w:tcBorders>
          </w:tcPr>
          <w:p>
            <w:pPr>
              <w:spacing w:after="0"/>
              <w:rPr>
                <w:sz w:val="4"/>
                <w:szCs w:val="4"/>
                <w:color w:val="auto"/>
              </w:rPr>
            </w:pPr>
          </w:p>
        </w:tc>
        <w:tc>
          <w:tcPr>
            <w:tcW w:w="6780" w:type="dxa"/>
            <w:vAlign w:val="bottom"/>
            <w:tcBorders>
              <w:top w:val="single" w:sz="8" w:color="88888B"/>
            </w:tcBorders>
          </w:tcPr>
          <w:p>
            <w:pPr>
              <w:spacing w:after="0"/>
              <w:rPr>
                <w:sz w:val="4"/>
                <w:szCs w:val="4"/>
                <w:color w:val="auto"/>
              </w:rPr>
            </w:pPr>
          </w:p>
        </w:tc>
        <w:tc>
          <w:tcPr>
            <w:tcW w:w="820" w:type="dxa"/>
            <w:vAlign w:val="bottom"/>
            <w:tcBorders>
              <w:top w:val="single" w:sz="8" w:color="88888B"/>
            </w:tcBorders>
          </w:tcPr>
          <w:p>
            <w:pPr>
              <w:spacing w:after="0"/>
              <w:rPr>
                <w:sz w:val="4"/>
                <w:szCs w:val="4"/>
                <w:color w:val="auto"/>
              </w:rPr>
            </w:pPr>
          </w:p>
        </w:tc>
        <w:tc>
          <w:tcPr>
            <w:tcW w:w="960" w:type="dxa"/>
            <w:vAlign w:val="bottom"/>
            <w:tcBorders>
              <w:top w:val="single" w:sz="8" w:color="88888B"/>
            </w:tcBorders>
          </w:tcPr>
          <w:p>
            <w:pPr>
              <w:spacing w:after="0"/>
              <w:rPr>
                <w:sz w:val="4"/>
                <w:szCs w:val="4"/>
                <w:color w:val="auto"/>
              </w:rPr>
            </w:pPr>
          </w:p>
        </w:tc>
        <w:tc>
          <w:tcPr>
            <w:tcW w:w="1140" w:type="dxa"/>
            <w:vAlign w:val="bottom"/>
            <w:tcBorders>
              <w:top w:val="single" w:sz="8" w:color="88888B"/>
            </w:tcBorders>
          </w:tcPr>
          <w:p>
            <w:pPr>
              <w:spacing w:after="0"/>
              <w:rPr>
                <w:sz w:val="4"/>
                <w:szCs w:val="4"/>
                <w:color w:val="auto"/>
              </w:rPr>
            </w:pPr>
          </w:p>
        </w:tc>
        <w:tc>
          <w:tcPr>
            <w:tcW w:w="1120" w:type="dxa"/>
            <w:vAlign w:val="bottom"/>
            <w:tcBorders>
              <w:top w:val="single" w:sz="8" w:color="88888B"/>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6860" w:type="dxa"/>
            <w:vAlign w:val="bottom"/>
            <w:tcBorders>
              <w:bottom w:val="single" w:sz="8" w:color="88888B"/>
            </w:tcBorders>
            <w:gridSpan w:val="2"/>
            <w:shd w:val="clear" w:color="auto" w:fill="CCEEFF"/>
          </w:tcPr>
          <w:p>
            <w:pPr>
              <w:spacing w:after="0"/>
              <w:rPr>
                <w:sz w:val="20"/>
                <w:szCs w:val="20"/>
                <w:color w:val="auto"/>
              </w:rPr>
            </w:pPr>
            <w:r>
              <w:rPr>
                <w:rFonts w:ascii="Arial" w:cs="Arial" w:eastAsia="Arial" w:hAnsi="Arial"/>
                <w:sz w:val="14"/>
                <w:szCs w:val="14"/>
                <w:color w:val="55565A"/>
              </w:rPr>
              <w:t> Total assets</w:t>
            </w:r>
          </w:p>
        </w:tc>
        <w:tc>
          <w:tcPr>
            <w:tcW w:w="82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color w:val="55565A"/>
              </w:rPr>
              <w:t>33</w:t>
            </w:r>
          </w:p>
        </w:tc>
        <w:tc>
          <w:tcPr>
            <w:tcW w:w="96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1,029</w:t>
            </w:r>
          </w:p>
        </w:tc>
        <w:tc>
          <w:tcPr>
            <w:tcW w:w="1140" w:type="dxa"/>
            <w:vAlign w:val="bottom"/>
            <w:tcBorders>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color w:val="55565A"/>
              </w:rPr>
              <w:t>328</w:t>
            </w:r>
          </w:p>
        </w:tc>
        <w:tc>
          <w:tcPr>
            <w:tcW w:w="1120" w:type="dxa"/>
            <w:vAlign w:val="bottom"/>
            <w:tcBorders>
              <w:bottom w:val="single" w:sz="8" w:color="88888B"/>
            </w:tcBorders>
            <w:shd w:val="clear" w:color="auto" w:fill="CCEEFF"/>
          </w:tcPr>
          <w:p>
            <w:pPr>
              <w:jc w:val="right"/>
              <w:ind w:right="148"/>
              <w:spacing w:after="0"/>
              <w:rPr>
                <w:sz w:val="20"/>
                <w:szCs w:val="20"/>
                <w:color w:val="auto"/>
              </w:rPr>
            </w:pPr>
            <w:r>
              <w:rPr>
                <w:rFonts w:ascii="Arial" w:cs="Arial" w:eastAsia="Arial" w:hAnsi="Arial"/>
                <w:sz w:val="14"/>
                <w:szCs w:val="14"/>
                <w:color w:val="55565A"/>
              </w:rPr>
              <w:t>1,390</w:t>
            </w:r>
          </w:p>
        </w:tc>
        <w:tc>
          <w:tcPr>
            <w:tcW w:w="0" w:type="dxa"/>
            <w:vAlign w:val="bottom"/>
          </w:tcPr>
          <w:p>
            <w:pPr>
              <w:spacing w:after="0"/>
              <w:rPr>
                <w:sz w:val="1"/>
                <w:szCs w:val="1"/>
                <w:color w:val="auto"/>
              </w:rPr>
            </w:pPr>
          </w:p>
        </w:tc>
      </w:tr>
      <w:tr>
        <w:trPr>
          <w:trHeight w:val="186"/>
        </w:trPr>
        <w:tc>
          <w:tcPr>
            <w:tcW w:w="6880" w:type="dxa"/>
            <w:vAlign w:val="bottom"/>
            <w:gridSpan w:val="3"/>
          </w:tcPr>
          <w:p>
            <w:pPr>
              <w:spacing w:after="0"/>
              <w:rPr>
                <w:sz w:val="20"/>
                <w:szCs w:val="20"/>
                <w:color w:val="auto"/>
              </w:rPr>
            </w:pPr>
            <w:r>
              <w:rPr>
                <w:rFonts w:ascii="Arial" w:cs="Arial" w:eastAsia="Arial" w:hAnsi="Arial"/>
                <w:sz w:val="14"/>
                <w:szCs w:val="14"/>
                <w:color w:val="55565A"/>
              </w:rPr>
              <w:t> Liabilities</w:t>
            </w: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780" w:type="dxa"/>
            <w:vAlign w:val="bottom"/>
            <w:shd w:val="clear" w:color="auto" w:fill="CCEEFF"/>
          </w:tcPr>
          <w:p>
            <w:pPr>
              <w:ind w:left="60"/>
              <w:spacing w:after="0" w:line="188" w:lineRule="exact"/>
              <w:rPr>
                <w:sz w:val="20"/>
                <w:szCs w:val="20"/>
                <w:color w:val="auto"/>
              </w:rPr>
            </w:pPr>
            <w:r>
              <w:rPr>
                <w:rFonts w:ascii="Arial" w:cs="Arial" w:eastAsia="Arial" w:hAnsi="Arial"/>
                <w:sz w:val="14"/>
                <w:szCs w:val="14"/>
                <w:color w:val="55565A"/>
              </w:rPr>
              <w:t> Foreign exchange contracts</w:t>
            </w:r>
            <w:r>
              <w:rPr>
                <w:rFonts w:ascii="Arial" w:cs="Arial" w:eastAsia="Arial" w:hAnsi="Arial"/>
                <w:sz w:val="21"/>
                <w:szCs w:val="21"/>
                <w:color w:val="55565A"/>
                <w:vertAlign w:val="superscript"/>
              </w:rPr>
              <w:t>(4)</w:t>
            </w:r>
          </w:p>
        </w:tc>
        <w:tc>
          <w:tcPr>
            <w:tcW w:w="8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5565A"/>
              </w:rPr>
              <w:t>–</w:t>
            </w: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(32)</w:t>
            </w:r>
          </w:p>
        </w:tc>
        <w:tc>
          <w:tcPr>
            <w:tcW w:w="11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55565A"/>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55565A"/>
              </w:rPr>
              <w:t>(32)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Borders>
              <w:bottom w:val="single" w:sz="8" w:color="88888B"/>
            </w:tcBorders>
          </w:tcPr>
          <w:p>
            <w:pPr>
              <w:spacing w:after="0"/>
              <w:rPr>
                <w:sz w:val="19"/>
                <w:szCs w:val="19"/>
                <w:color w:val="auto"/>
              </w:rPr>
            </w:pPr>
          </w:p>
        </w:tc>
        <w:tc>
          <w:tcPr>
            <w:tcW w:w="6780" w:type="dxa"/>
            <w:vAlign w:val="bottom"/>
            <w:tcBorders>
              <w:bottom w:val="single" w:sz="8" w:color="88888B"/>
            </w:tcBorders>
          </w:tcPr>
          <w:p>
            <w:pPr>
              <w:ind w:left="60"/>
              <w:spacing w:after="0" w:line="214" w:lineRule="exact"/>
              <w:rPr>
                <w:sz w:val="20"/>
                <w:szCs w:val="20"/>
                <w:color w:val="auto"/>
              </w:rPr>
            </w:pPr>
            <w:r>
              <w:rPr>
                <w:rFonts w:ascii="Arial" w:cs="Arial" w:eastAsia="Arial" w:hAnsi="Arial"/>
                <w:sz w:val="14"/>
                <w:szCs w:val="14"/>
                <w:color w:val="55565A"/>
              </w:rPr>
              <w:t> Contingent consideration</w:t>
            </w:r>
            <w:r>
              <w:rPr>
                <w:rFonts w:ascii="Arial" w:cs="Arial" w:eastAsia="Arial" w:hAnsi="Arial"/>
                <w:sz w:val="21"/>
                <w:szCs w:val="21"/>
                <w:color w:val="55565A"/>
                <w:vertAlign w:val="superscript"/>
              </w:rPr>
              <w:t>(5)</w:t>
            </w:r>
          </w:p>
        </w:tc>
        <w:tc>
          <w:tcPr>
            <w:tcW w:w="820" w:type="dxa"/>
            <w:vAlign w:val="bottom"/>
            <w:tcBorders>
              <w:bottom w:val="single" w:sz="8" w:color="88888B"/>
            </w:tcBorders>
          </w:tcPr>
          <w:p>
            <w:pPr>
              <w:jc w:val="right"/>
              <w:ind w:right="109"/>
              <w:spacing w:after="0"/>
              <w:rPr>
                <w:sz w:val="20"/>
                <w:szCs w:val="20"/>
                <w:color w:val="auto"/>
              </w:rPr>
            </w:pPr>
            <w:r>
              <w:rPr>
                <w:rFonts w:ascii="Arial" w:cs="Arial" w:eastAsia="Arial" w:hAnsi="Arial"/>
                <w:sz w:val="14"/>
                <w:szCs w:val="14"/>
                <w:color w:val="55565A"/>
              </w:rPr>
              <w:t>–</w:t>
            </w:r>
          </w:p>
        </w:tc>
        <w:tc>
          <w:tcPr>
            <w:tcW w:w="96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w:t>
            </w:r>
          </w:p>
        </w:tc>
        <w:tc>
          <w:tcPr>
            <w:tcW w:w="114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color w:val="55565A"/>
              </w:rPr>
              <w:t>(22)</w:t>
            </w:r>
          </w:p>
        </w:tc>
        <w:tc>
          <w:tcPr>
            <w:tcW w:w="1120" w:type="dxa"/>
            <w:vAlign w:val="bottom"/>
            <w:tcBorders>
              <w:bottom w:val="single" w:sz="8" w:color="88888B"/>
            </w:tcBorders>
          </w:tcPr>
          <w:p>
            <w:pPr>
              <w:jc w:val="right"/>
              <w:ind w:right="148"/>
              <w:spacing w:after="0"/>
              <w:rPr>
                <w:sz w:val="20"/>
                <w:szCs w:val="20"/>
                <w:color w:val="auto"/>
              </w:rPr>
            </w:pPr>
            <w:r>
              <w:rPr>
                <w:rFonts w:ascii="Arial" w:cs="Arial" w:eastAsia="Arial" w:hAnsi="Arial"/>
                <w:sz w:val="14"/>
                <w:szCs w:val="14"/>
                <w:color w:val="55565A"/>
              </w:rPr>
              <w:t>(22)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60" w:type="dxa"/>
            <w:vAlign w:val="bottom"/>
            <w:tcBorders>
              <w:bottom w:val="single" w:sz="8" w:color="88888B"/>
            </w:tcBorders>
            <w:gridSpan w:val="2"/>
            <w:shd w:val="clear" w:color="auto" w:fill="CCEEFF"/>
          </w:tcPr>
          <w:p>
            <w:pPr>
              <w:spacing w:after="0"/>
              <w:rPr>
                <w:sz w:val="20"/>
                <w:szCs w:val="20"/>
                <w:color w:val="auto"/>
              </w:rPr>
            </w:pPr>
            <w:r>
              <w:rPr>
                <w:rFonts w:ascii="Arial" w:cs="Arial" w:eastAsia="Arial" w:hAnsi="Arial"/>
                <w:sz w:val="14"/>
                <w:szCs w:val="14"/>
                <w:color w:val="55565A"/>
              </w:rPr>
              <w:t> Financial liabilities at fair value through earnings</w:t>
            </w:r>
          </w:p>
        </w:tc>
        <w:tc>
          <w:tcPr>
            <w:tcW w:w="82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color w:val="55565A"/>
              </w:rPr>
              <w:t>–</w:t>
            </w:r>
          </w:p>
        </w:tc>
        <w:tc>
          <w:tcPr>
            <w:tcW w:w="96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(32)</w:t>
            </w:r>
          </w:p>
        </w:tc>
        <w:tc>
          <w:tcPr>
            <w:tcW w:w="1140" w:type="dxa"/>
            <w:vAlign w:val="bottom"/>
            <w:tcBorders>
              <w:bottom w:val="single" w:sz="8" w:color="88888B"/>
            </w:tcBorders>
            <w:shd w:val="clear" w:color="auto" w:fill="CCEEFF"/>
          </w:tcPr>
          <w:p>
            <w:pPr>
              <w:jc w:val="right"/>
              <w:ind w:right="289"/>
              <w:spacing w:after="0"/>
              <w:rPr>
                <w:sz w:val="20"/>
                <w:szCs w:val="20"/>
                <w:color w:val="auto"/>
              </w:rPr>
            </w:pPr>
            <w:r>
              <w:rPr>
                <w:rFonts w:ascii="Arial" w:cs="Arial" w:eastAsia="Arial" w:hAnsi="Arial"/>
                <w:sz w:val="14"/>
                <w:szCs w:val="14"/>
                <w:color w:val="55565A"/>
              </w:rPr>
              <w:t>(22)</w:t>
            </w:r>
          </w:p>
        </w:tc>
        <w:tc>
          <w:tcPr>
            <w:tcW w:w="1120" w:type="dxa"/>
            <w:vAlign w:val="bottom"/>
            <w:tcBorders>
              <w:bottom w:val="single" w:sz="8" w:color="88888B"/>
            </w:tcBorders>
            <w:shd w:val="clear" w:color="auto" w:fill="CCEEFF"/>
          </w:tcPr>
          <w:p>
            <w:pPr>
              <w:jc w:val="right"/>
              <w:ind w:right="148"/>
              <w:spacing w:after="0"/>
              <w:rPr>
                <w:sz w:val="20"/>
                <w:szCs w:val="20"/>
                <w:color w:val="auto"/>
              </w:rPr>
            </w:pPr>
            <w:r>
              <w:rPr>
                <w:rFonts w:ascii="Arial" w:cs="Arial" w:eastAsia="Arial" w:hAnsi="Arial"/>
                <w:sz w:val="14"/>
                <w:szCs w:val="14"/>
                <w:color w:val="55565A"/>
              </w:rPr>
              <w:t>(54)</w:t>
            </w:r>
          </w:p>
        </w:tc>
        <w:tc>
          <w:tcPr>
            <w:tcW w:w="0" w:type="dxa"/>
            <w:vAlign w:val="bottom"/>
          </w:tcPr>
          <w:p>
            <w:pPr>
              <w:spacing w:after="0"/>
              <w:rPr>
                <w:sz w:val="1"/>
                <w:szCs w:val="1"/>
                <w:color w:val="auto"/>
              </w:rPr>
            </w:pPr>
          </w:p>
        </w:tc>
      </w:tr>
      <w:tr>
        <w:trPr>
          <w:trHeight w:val="190"/>
        </w:trPr>
        <w:tc>
          <w:tcPr>
            <w:tcW w:w="6880" w:type="dxa"/>
            <w:vAlign w:val="bottom"/>
            <w:tcBorders>
              <w:bottom w:val="single" w:sz="8" w:color="88888B"/>
            </w:tcBorders>
            <w:gridSpan w:val="3"/>
          </w:tcPr>
          <w:p>
            <w:pPr>
              <w:spacing w:after="0"/>
              <w:rPr>
                <w:sz w:val="20"/>
                <w:szCs w:val="20"/>
                <w:color w:val="auto"/>
              </w:rPr>
            </w:pPr>
            <w:r>
              <w:rPr>
                <w:rFonts w:ascii="Arial" w:cs="Arial" w:eastAsia="Arial" w:hAnsi="Arial"/>
                <w:sz w:val="14"/>
                <w:szCs w:val="14"/>
                <w:color w:val="55565A"/>
              </w:rPr>
              <w:t> Total liabilities</w:t>
            </w:r>
          </w:p>
        </w:tc>
        <w:tc>
          <w:tcPr>
            <w:tcW w:w="820" w:type="dxa"/>
            <w:vAlign w:val="bottom"/>
            <w:tcBorders>
              <w:bottom w:val="single" w:sz="8" w:color="88888B"/>
            </w:tcBorders>
          </w:tcPr>
          <w:p>
            <w:pPr>
              <w:jc w:val="right"/>
              <w:ind w:right="109"/>
              <w:spacing w:after="0"/>
              <w:rPr>
                <w:sz w:val="20"/>
                <w:szCs w:val="20"/>
                <w:color w:val="auto"/>
              </w:rPr>
            </w:pPr>
            <w:r>
              <w:rPr>
                <w:rFonts w:ascii="Arial" w:cs="Arial" w:eastAsia="Arial" w:hAnsi="Arial"/>
                <w:sz w:val="14"/>
                <w:szCs w:val="14"/>
                <w:color w:val="55565A"/>
              </w:rPr>
              <w:t>–</w:t>
            </w:r>
          </w:p>
        </w:tc>
        <w:tc>
          <w:tcPr>
            <w:tcW w:w="96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color w:val="55565A"/>
              </w:rPr>
              <w:t>(32)</w:t>
            </w:r>
          </w:p>
        </w:tc>
        <w:tc>
          <w:tcPr>
            <w:tcW w:w="1140" w:type="dxa"/>
            <w:vAlign w:val="bottom"/>
            <w:tcBorders>
              <w:bottom w:val="single" w:sz="8" w:color="88888B"/>
            </w:tcBorders>
          </w:tcPr>
          <w:p>
            <w:pPr>
              <w:jc w:val="right"/>
              <w:ind w:right="289"/>
              <w:spacing w:after="0"/>
              <w:rPr>
                <w:sz w:val="20"/>
                <w:szCs w:val="20"/>
                <w:color w:val="auto"/>
              </w:rPr>
            </w:pPr>
            <w:r>
              <w:rPr>
                <w:rFonts w:ascii="Arial" w:cs="Arial" w:eastAsia="Arial" w:hAnsi="Arial"/>
                <w:sz w:val="14"/>
                <w:szCs w:val="14"/>
                <w:color w:val="55565A"/>
              </w:rPr>
              <w:t>(22)</w:t>
            </w:r>
          </w:p>
        </w:tc>
        <w:tc>
          <w:tcPr>
            <w:tcW w:w="1120" w:type="dxa"/>
            <w:vAlign w:val="bottom"/>
            <w:tcBorders>
              <w:bottom w:val="single" w:sz="8" w:color="88888B"/>
            </w:tcBorders>
          </w:tcPr>
          <w:p>
            <w:pPr>
              <w:jc w:val="right"/>
              <w:ind w:right="148"/>
              <w:spacing w:after="0"/>
              <w:rPr>
                <w:sz w:val="20"/>
                <w:szCs w:val="20"/>
                <w:color w:val="auto"/>
              </w:rPr>
            </w:pPr>
            <w:r>
              <w:rPr>
                <w:rFonts w:ascii="Arial" w:cs="Arial" w:eastAsia="Arial" w:hAnsi="Arial"/>
                <w:sz w:val="14"/>
                <w:szCs w:val="14"/>
                <w:color w:val="55565A"/>
              </w:rPr>
              <w:t>(54)</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20" w:hanging="313"/>
        <w:spacing w:after="0"/>
        <w:tabs>
          <w:tab w:leader="none" w:pos="320" w:val="left"/>
        </w:tabs>
        <w:numPr>
          <w:ilvl w:val="0"/>
          <w:numId w:val="34"/>
        </w:numPr>
        <w:rPr>
          <w:rFonts w:ascii="Arial" w:cs="Arial" w:eastAsia="Arial" w:hAnsi="Arial"/>
          <w:sz w:val="12"/>
          <w:szCs w:val="12"/>
          <w:color w:val="55565A"/>
        </w:rPr>
      </w:pPr>
      <w:r>
        <w:rPr>
          <w:rFonts w:ascii="Arial" w:cs="Arial" w:eastAsia="Arial" w:hAnsi="Arial"/>
          <w:sz w:val="12"/>
          <w:szCs w:val="12"/>
          <w:color w:val="55565A"/>
        </w:rPr>
        <w:t>Receivables under indemnification arrangement (see below and in note 18).</w:t>
      </w:r>
    </w:p>
    <w:p>
      <w:pPr>
        <w:spacing w:after="0" w:line="7" w:lineRule="exact"/>
        <w:rPr>
          <w:rFonts w:ascii="Arial" w:cs="Arial" w:eastAsia="Arial" w:hAnsi="Arial"/>
          <w:sz w:val="12"/>
          <w:szCs w:val="12"/>
          <w:color w:val="55565A"/>
        </w:rPr>
      </w:pPr>
    </w:p>
    <w:p>
      <w:pPr>
        <w:ind w:left="320" w:hanging="313"/>
        <w:spacing w:after="0" w:line="232" w:lineRule="auto"/>
        <w:tabs>
          <w:tab w:leader="none" w:pos="320" w:val="left"/>
        </w:tabs>
        <w:numPr>
          <w:ilvl w:val="0"/>
          <w:numId w:val="34"/>
        </w:numPr>
        <w:rPr>
          <w:rFonts w:ascii="Arial" w:cs="Arial" w:eastAsia="Arial" w:hAnsi="Arial"/>
          <w:sz w:val="12"/>
          <w:szCs w:val="12"/>
          <w:color w:val="55565A"/>
        </w:rPr>
      </w:pPr>
      <w:r>
        <w:rPr>
          <w:rFonts w:ascii="Arial" w:cs="Arial" w:eastAsia="Arial" w:hAnsi="Arial"/>
          <w:sz w:val="12"/>
          <w:szCs w:val="12"/>
          <w:color w:val="55565A"/>
        </w:rPr>
        <w:t>Investments in entities over which the Company does not have control, joint control or significant influence.</w:t>
      </w:r>
    </w:p>
    <w:p>
      <w:pPr>
        <w:ind w:left="320" w:hanging="313"/>
        <w:spacing w:after="0" w:line="232" w:lineRule="auto"/>
        <w:tabs>
          <w:tab w:leader="none" w:pos="320" w:val="left"/>
        </w:tabs>
        <w:numPr>
          <w:ilvl w:val="0"/>
          <w:numId w:val="34"/>
        </w:numPr>
        <w:rPr>
          <w:rFonts w:ascii="Arial" w:cs="Arial" w:eastAsia="Arial" w:hAnsi="Arial"/>
          <w:sz w:val="12"/>
          <w:szCs w:val="12"/>
          <w:color w:val="55565A"/>
        </w:rPr>
      </w:pPr>
      <w:r>
        <w:rPr>
          <w:rFonts w:ascii="Arial" w:cs="Arial" w:eastAsia="Arial" w:hAnsi="Arial"/>
          <w:sz w:val="12"/>
          <w:szCs w:val="12"/>
          <w:color w:val="55565A"/>
        </w:rPr>
        <w:t>Comprised of fixed-to-fixed cross-currency swaps on indebtedness.</w:t>
      </w:r>
    </w:p>
    <w:p>
      <w:pPr>
        <w:ind w:left="320" w:hanging="313"/>
        <w:spacing w:after="0" w:line="232" w:lineRule="auto"/>
        <w:tabs>
          <w:tab w:leader="none" w:pos="320" w:val="left"/>
        </w:tabs>
        <w:numPr>
          <w:ilvl w:val="0"/>
          <w:numId w:val="34"/>
        </w:numPr>
        <w:rPr>
          <w:rFonts w:ascii="Arial" w:cs="Arial" w:eastAsia="Arial" w:hAnsi="Arial"/>
          <w:sz w:val="12"/>
          <w:szCs w:val="12"/>
          <w:color w:val="55565A"/>
        </w:rPr>
      </w:pPr>
      <w:r>
        <w:rPr>
          <w:rFonts w:ascii="Arial" w:cs="Arial" w:eastAsia="Arial" w:hAnsi="Arial"/>
          <w:sz w:val="12"/>
          <w:szCs w:val="12"/>
          <w:color w:val="55565A"/>
        </w:rPr>
        <w:t>Relates to the management of foreign exchange risk on a portion of the Company’s indirect investment in LSEG.</w:t>
      </w:r>
    </w:p>
    <w:p>
      <w:pPr>
        <w:ind w:left="320" w:right="40" w:hanging="313"/>
        <w:spacing w:after="0" w:line="258" w:lineRule="auto"/>
        <w:tabs>
          <w:tab w:leader="none" w:pos="320" w:val="left"/>
        </w:tabs>
        <w:numPr>
          <w:ilvl w:val="0"/>
          <w:numId w:val="34"/>
        </w:numPr>
        <w:rPr>
          <w:rFonts w:ascii="Arial" w:cs="Arial" w:eastAsia="Arial" w:hAnsi="Arial"/>
          <w:sz w:val="12"/>
          <w:szCs w:val="12"/>
          <w:color w:val="55565A"/>
        </w:rPr>
      </w:pPr>
      <w:r>
        <w:rPr>
          <w:rFonts w:ascii="Arial" w:cs="Arial" w:eastAsia="Arial" w:hAnsi="Arial"/>
          <w:sz w:val="12"/>
          <w:szCs w:val="12"/>
          <w:color w:val="55565A"/>
        </w:rPr>
        <w:t>Obligations to pay additional consideration for prior acquisitions, based upon performance measures contractually agreed at the time of purchase, and to purchase shares from minority owners of a subsidiary.</w:t>
      </w:r>
    </w:p>
    <w:p>
      <w:pPr>
        <w:spacing w:after="0" w:line="7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55565A"/>
        </w:rPr>
        <w:t>The receivable from the indemnification arrangement is a level 3 in the fair value measurement hierarchy. The increase in the receivable between December 31, 2023 and March 31, 2024 is primarily due to fair value gains based on interest rates associated with the indemnifying party’s credit profile, partly offset by net foreign exchange losses, which are included within “Earnings from discontinued operations, net of tax”, in the consolidated income statement.</w:t>
      </w:r>
    </w:p>
    <w:p>
      <w:pPr>
        <w:spacing w:after="0" w:line="71"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55565A"/>
        </w:rPr>
        <w:t>The Company recognizes transfers into and out of the fair value measurement hierarchy levels at the end of the reporting period in which the event or change in circumstances that caused the transfer occurred. There were no transfers between hierarchy levels 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297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53</w:t>
      </w:r>
    </w:p>
    <w:p>
      <w:pPr>
        <w:sectPr>
          <w:pgSz w:w="11900" w:h="16838" w:orient="portrait"/>
          <w:cols w:equalWidth="0" w:num="1">
            <w:col w:w="10920"/>
          </w:cols>
          <w:pgMar w:left="480" w:top="1440" w:right="499" w:bottom="1440" w:gutter="0" w:footer="0" w:header="0"/>
          <w:type w:val="continuous"/>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Valuation Techniques</w:t>
      </w:r>
    </w:p>
    <w:p>
      <w:pPr>
        <w:spacing w:after="0" w:line="11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55565A"/>
        </w:rPr>
        <w:t>The fair value of financial instruments that are not traded in an active market (for example, over-the-counter derivatives) is determined by using valuation techniques. These valuation techniques maximize the use of observable market data where it is available and rely as little as possible on entity specific estimates. If all significant inputs required to fair value an instrument are observable, the instrument is included in level 2. If one or more of the significant inputs is not based on observable market data, the instrument is included in level 3.</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55565A"/>
        </w:rPr>
        <w:t>Specific valuation techniques used to value financial instruments include:</w:t>
      </w:r>
    </w:p>
    <w:p>
      <w:pPr>
        <w:sectPr>
          <w:pgSz w:w="11900" w:h="16838" w:orient="portrait"/>
          <w:cols w:equalWidth="0" w:num="1">
            <w:col w:w="10920"/>
          </w:cols>
          <w:pgMar w:left="480" w:top="1440" w:right="499" w:bottom="144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5565A"/>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5565A"/>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5565A"/>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5565A"/>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55565A"/>
        </w:rPr>
        <w:t>Quoted market prices or dealer quotes for similar instruments;</w:t>
      </w:r>
    </w:p>
    <w:p>
      <w:pPr>
        <w:spacing w:after="0" w:line="19"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55565A"/>
        </w:rPr>
        <w:t>The fair value of cross-currency interest rate swaps and foreign exchange contracts are calculated as the present value of the estimated future cash flows based on observable yield curves;</w:t>
      </w:r>
    </w:p>
    <w:p>
      <w:pPr>
        <w:ind w:right="1120"/>
        <w:spacing w:after="0" w:line="258" w:lineRule="auto"/>
        <w:rPr>
          <w:sz w:val="20"/>
          <w:szCs w:val="20"/>
          <w:color w:val="auto"/>
        </w:rPr>
      </w:pPr>
      <w:r>
        <w:rPr>
          <w:rFonts w:ascii="Arial" w:cs="Arial" w:eastAsia="Arial" w:hAnsi="Arial"/>
          <w:sz w:val="16"/>
          <w:szCs w:val="16"/>
          <w:color w:val="55565A"/>
        </w:rPr>
        <w:t>The fair value of other receivables considers estimated future cash flows, current market interest rates and non-performance risk; and The fair value of contingent consideration is calculated based on estimates of future revenue performance.</w:t>
      </w:r>
    </w:p>
    <w:p>
      <w:pPr>
        <w:spacing w:after="0" w:line="72" w:lineRule="exact"/>
        <w:rPr>
          <w:sz w:val="20"/>
          <w:szCs w:val="20"/>
          <w:color w:val="auto"/>
        </w:rPr>
      </w:pPr>
    </w:p>
    <w:p>
      <w:pPr>
        <w:sectPr>
          <w:pgSz w:w="11900" w:h="16838" w:orient="portrait"/>
          <w:cols w:equalWidth="0" w:num="2">
            <w:col w:w="60" w:space="260"/>
            <w:col w:w="10600"/>
          </w:cols>
          <w:pgMar w:left="480" w:top="1440" w:right="49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55565A"/>
        </w:rPr>
        <w:t>Note 12: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9297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3520" w:type="dxa"/>
            <w:vAlign w:val="bottom"/>
          </w:tcPr>
          <w:p>
            <w:pPr>
              <w:jc w:val="right"/>
              <w:ind w:right="329"/>
              <w:spacing w:after="0"/>
              <w:rPr>
                <w:sz w:val="20"/>
                <w:szCs w:val="20"/>
                <w:color w:val="auto"/>
              </w:rPr>
            </w:pPr>
            <w:r>
              <w:rPr>
                <w:rFonts w:ascii="Arial" w:cs="Arial" w:eastAsia="Arial" w:hAnsi="Arial"/>
                <w:sz w:val="14"/>
                <w:szCs w:val="14"/>
                <w:b w:val="1"/>
                <w:bCs w:val="1"/>
                <w:color w:val="55565A"/>
              </w:rPr>
              <w:t>March 31,</w:t>
            </w:r>
          </w:p>
        </w:tc>
        <w:tc>
          <w:tcPr>
            <w:tcW w:w="1920" w:type="dxa"/>
            <w:vAlign w:val="bottom"/>
          </w:tcPr>
          <w:p>
            <w:pPr>
              <w:jc w:val="right"/>
              <w:ind w:right="549"/>
              <w:spacing w:after="0"/>
              <w:rPr>
                <w:sz w:val="20"/>
                <w:szCs w:val="20"/>
                <w:color w:val="auto"/>
              </w:rPr>
            </w:pPr>
            <w:r>
              <w:rPr>
                <w:rFonts w:ascii="Arial" w:cs="Arial" w:eastAsia="Arial" w:hAnsi="Arial"/>
                <w:sz w:val="14"/>
                <w:szCs w:val="14"/>
                <w:color w:val="55565A"/>
              </w:rPr>
              <w:t>December 31,</w:t>
            </w: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520" w:type="dxa"/>
            <w:vAlign w:val="bottom"/>
          </w:tcPr>
          <w:p>
            <w:pPr>
              <w:jc w:val="right"/>
              <w:ind w:right="329"/>
              <w:spacing w:after="0"/>
              <w:rPr>
                <w:sz w:val="20"/>
                <w:szCs w:val="20"/>
                <w:color w:val="auto"/>
              </w:rPr>
            </w:pPr>
            <w:r>
              <w:rPr>
                <w:rFonts w:ascii="Arial" w:cs="Arial" w:eastAsia="Arial" w:hAnsi="Arial"/>
                <w:sz w:val="14"/>
                <w:szCs w:val="14"/>
                <w:b w:val="1"/>
                <w:bCs w:val="1"/>
                <w:color w:val="55565A"/>
              </w:rPr>
              <w:t>2024</w:t>
            </w:r>
          </w:p>
        </w:tc>
        <w:tc>
          <w:tcPr>
            <w:tcW w:w="1920" w:type="dxa"/>
            <w:vAlign w:val="bottom"/>
          </w:tcPr>
          <w:p>
            <w:pPr>
              <w:jc w:val="right"/>
              <w:ind w:right="409"/>
              <w:spacing w:after="0"/>
              <w:rPr>
                <w:sz w:val="20"/>
                <w:szCs w:val="20"/>
                <w:color w:val="auto"/>
              </w:rPr>
            </w:pPr>
            <w:r>
              <w:rPr>
                <w:rFonts w:ascii="Arial" w:cs="Arial" w:eastAsia="Arial" w:hAnsi="Arial"/>
                <w:sz w:val="14"/>
                <w:szCs w:val="14"/>
                <w:color w:val="55565A"/>
              </w:rPr>
              <w:t>2023</w:t>
            </w:r>
          </w:p>
        </w:tc>
      </w:tr>
      <w:tr>
        <w:trPr>
          <w:trHeight w:val="35"/>
        </w:trPr>
        <w:tc>
          <w:tcPr>
            <w:tcW w:w="20" w:type="dxa"/>
            <w:vAlign w:val="bottom"/>
          </w:tcPr>
          <w:p>
            <w:pPr>
              <w:spacing w:after="0"/>
              <w:rPr>
                <w:sz w:val="3"/>
                <w:szCs w:val="3"/>
                <w:color w:val="auto"/>
              </w:rPr>
            </w:pPr>
          </w:p>
        </w:tc>
        <w:tc>
          <w:tcPr>
            <w:tcW w:w="5460" w:type="dxa"/>
            <w:vAlign w:val="bottom"/>
            <w:tcBorders>
              <w:bottom w:val="single" w:sz="8" w:color="88888B"/>
            </w:tcBorders>
          </w:tcPr>
          <w:p>
            <w:pPr>
              <w:spacing w:after="0"/>
              <w:rPr>
                <w:sz w:val="3"/>
                <w:szCs w:val="3"/>
                <w:color w:val="auto"/>
              </w:rPr>
            </w:pPr>
          </w:p>
        </w:tc>
        <w:tc>
          <w:tcPr>
            <w:tcW w:w="3520" w:type="dxa"/>
            <w:vAlign w:val="bottom"/>
            <w:tcBorders>
              <w:bottom w:val="single" w:sz="8" w:color="88888B"/>
            </w:tcBorders>
          </w:tcPr>
          <w:p>
            <w:pPr>
              <w:spacing w:after="0"/>
              <w:rPr>
                <w:sz w:val="3"/>
                <w:szCs w:val="3"/>
                <w:color w:val="auto"/>
              </w:rPr>
            </w:pPr>
          </w:p>
        </w:tc>
        <w:tc>
          <w:tcPr>
            <w:tcW w:w="1920" w:type="dxa"/>
            <w:vAlign w:val="bottom"/>
            <w:tcBorders>
              <w:bottom w:val="single" w:sz="8" w:color="88888B"/>
            </w:tcBorders>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color w:val="55565A"/>
              </w:rPr>
              <w:t>   Net defined benefit plan surpluses</w:t>
            </w:r>
          </w:p>
        </w:tc>
        <w:tc>
          <w:tcPr>
            <w:tcW w:w="352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49</w:t>
            </w:r>
          </w:p>
        </w:tc>
        <w:tc>
          <w:tcPr>
            <w:tcW w:w="192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45</w:t>
            </w:r>
          </w:p>
        </w:tc>
      </w:tr>
      <w:tr>
        <w:trPr>
          <w:trHeight w:val="212"/>
        </w:trPr>
        <w:tc>
          <w:tcPr>
            <w:tcW w:w="5480" w:type="dxa"/>
            <w:vAlign w:val="bottom"/>
            <w:gridSpan w:val="2"/>
          </w:tcPr>
          <w:p>
            <w:pPr>
              <w:spacing w:after="0"/>
              <w:rPr>
                <w:sz w:val="20"/>
                <w:szCs w:val="20"/>
                <w:color w:val="auto"/>
              </w:rPr>
            </w:pPr>
            <w:r>
              <w:rPr>
                <w:rFonts w:ascii="Arial" w:cs="Arial" w:eastAsia="Arial" w:hAnsi="Arial"/>
                <w:sz w:val="14"/>
                <w:szCs w:val="14"/>
                <w:color w:val="55565A"/>
              </w:rPr>
              <w:t>   Cash surrender value of life insurance policies</w:t>
            </w:r>
          </w:p>
        </w:tc>
        <w:tc>
          <w:tcPr>
            <w:tcW w:w="3520" w:type="dxa"/>
            <w:vAlign w:val="bottom"/>
          </w:tcPr>
          <w:p>
            <w:pPr>
              <w:jc w:val="right"/>
              <w:ind w:right="329"/>
              <w:spacing w:after="0"/>
              <w:rPr>
                <w:sz w:val="20"/>
                <w:szCs w:val="20"/>
                <w:color w:val="auto"/>
              </w:rPr>
            </w:pPr>
            <w:r>
              <w:rPr>
                <w:rFonts w:ascii="Arial" w:cs="Arial" w:eastAsia="Arial" w:hAnsi="Arial"/>
                <w:sz w:val="14"/>
                <w:szCs w:val="14"/>
                <w:b w:val="1"/>
                <w:bCs w:val="1"/>
                <w:color w:val="55565A"/>
              </w:rPr>
              <w:t>359</w:t>
            </w:r>
          </w:p>
        </w:tc>
        <w:tc>
          <w:tcPr>
            <w:tcW w:w="1920" w:type="dxa"/>
            <w:vAlign w:val="bottom"/>
          </w:tcPr>
          <w:p>
            <w:pPr>
              <w:jc w:val="right"/>
              <w:ind w:right="409"/>
              <w:spacing w:after="0"/>
              <w:rPr>
                <w:sz w:val="20"/>
                <w:szCs w:val="20"/>
                <w:color w:val="auto"/>
              </w:rPr>
            </w:pPr>
            <w:r>
              <w:rPr>
                <w:rFonts w:ascii="Arial" w:cs="Arial" w:eastAsia="Arial" w:hAnsi="Arial"/>
                <w:sz w:val="14"/>
                <w:szCs w:val="14"/>
                <w:color w:val="55565A"/>
              </w:rPr>
              <w:t>354</w:t>
            </w: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color w:val="55565A"/>
              </w:rPr>
              <w:t>   Deferred commissions</w:t>
            </w:r>
          </w:p>
        </w:tc>
        <w:tc>
          <w:tcPr>
            <w:tcW w:w="352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102</w:t>
            </w:r>
          </w:p>
        </w:tc>
        <w:tc>
          <w:tcPr>
            <w:tcW w:w="192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108</w:t>
            </w:r>
          </w:p>
        </w:tc>
      </w:tr>
      <w:tr>
        <w:trPr>
          <w:trHeight w:val="194"/>
        </w:trPr>
        <w:tc>
          <w:tcPr>
            <w:tcW w:w="5480" w:type="dxa"/>
            <w:vAlign w:val="bottom"/>
            <w:gridSpan w:val="2"/>
          </w:tcPr>
          <w:p>
            <w:pPr>
              <w:spacing w:after="0" w:line="188" w:lineRule="exact"/>
              <w:rPr>
                <w:sz w:val="20"/>
                <w:szCs w:val="20"/>
                <w:color w:val="auto"/>
              </w:rPr>
            </w:pPr>
            <w:r>
              <w:rPr>
                <w:rFonts w:ascii="Arial" w:cs="Arial" w:eastAsia="Arial" w:hAnsi="Arial"/>
                <w:sz w:val="14"/>
                <w:szCs w:val="14"/>
                <w:color w:val="55565A"/>
              </w:rPr>
              <w:t>   Other non-current assets</w:t>
            </w:r>
            <w:r>
              <w:rPr>
                <w:rFonts w:ascii="Arial" w:cs="Arial" w:eastAsia="Arial" w:hAnsi="Arial"/>
                <w:sz w:val="21"/>
                <w:szCs w:val="21"/>
                <w:color w:val="55565A"/>
                <w:vertAlign w:val="superscript"/>
              </w:rPr>
              <w:t>(1)</w:t>
            </w:r>
          </w:p>
        </w:tc>
        <w:tc>
          <w:tcPr>
            <w:tcW w:w="3520" w:type="dxa"/>
            <w:vAlign w:val="bottom"/>
          </w:tcPr>
          <w:p>
            <w:pPr>
              <w:jc w:val="right"/>
              <w:ind w:right="329"/>
              <w:spacing w:after="0"/>
              <w:rPr>
                <w:sz w:val="20"/>
                <w:szCs w:val="20"/>
                <w:color w:val="auto"/>
              </w:rPr>
            </w:pPr>
            <w:r>
              <w:rPr>
                <w:rFonts w:ascii="Arial" w:cs="Arial" w:eastAsia="Arial" w:hAnsi="Arial"/>
                <w:sz w:val="14"/>
                <w:szCs w:val="14"/>
                <w:b w:val="1"/>
                <w:bCs w:val="1"/>
                <w:color w:val="55565A"/>
              </w:rPr>
              <w:t>119</w:t>
            </w:r>
          </w:p>
        </w:tc>
        <w:tc>
          <w:tcPr>
            <w:tcW w:w="1920" w:type="dxa"/>
            <w:vAlign w:val="bottom"/>
          </w:tcPr>
          <w:p>
            <w:pPr>
              <w:jc w:val="right"/>
              <w:ind w:right="409"/>
              <w:spacing w:after="0"/>
              <w:rPr>
                <w:sz w:val="20"/>
                <w:szCs w:val="20"/>
                <w:color w:val="auto"/>
              </w:rPr>
            </w:pPr>
            <w:r>
              <w:rPr>
                <w:rFonts w:ascii="Arial" w:cs="Arial" w:eastAsia="Arial" w:hAnsi="Arial"/>
                <w:sz w:val="14"/>
                <w:szCs w:val="14"/>
                <w:color w:val="55565A"/>
              </w:rPr>
              <w:t>111</w:t>
            </w:r>
          </w:p>
        </w:tc>
      </w:tr>
      <w:tr>
        <w:trPr>
          <w:trHeight w:val="160"/>
        </w:trPr>
        <w:tc>
          <w:tcPr>
            <w:tcW w:w="20" w:type="dxa"/>
            <w:vAlign w:val="bottom"/>
          </w:tcPr>
          <w:p>
            <w:pPr>
              <w:spacing w:after="0"/>
              <w:rPr>
                <w:sz w:val="13"/>
                <w:szCs w:val="13"/>
                <w:color w:val="auto"/>
              </w:rPr>
            </w:pPr>
          </w:p>
        </w:tc>
        <w:tc>
          <w:tcPr>
            <w:tcW w:w="5460" w:type="dxa"/>
            <w:vAlign w:val="bottom"/>
            <w:tcBorders>
              <w:top w:val="single" w:sz="8" w:color="88888B"/>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   Total other non-current assets</w:t>
            </w:r>
          </w:p>
        </w:tc>
        <w:tc>
          <w:tcPr>
            <w:tcW w:w="3520" w:type="dxa"/>
            <w:vAlign w:val="bottom"/>
            <w:tcBorders>
              <w:top w:val="single" w:sz="8" w:color="88888B"/>
              <w:bottom w:val="single" w:sz="8" w:color="88888B"/>
            </w:tcBorders>
            <w:shd w:val="clear" w:color="auto" w:fill="CCEEFF"/>
          </w:tcPr>
          <w:p>
            <w:pPr>
              <w:jc w:val="right"/>
              <w:ind w:right="329"/>
              <w:spacing w:after="0"/>
              <w:rPr>
                <w:sz w:val="20"/>
                <w:szCs w:val="20"/>
                <w:color w:val="auto"/>
              </w:rPr>
            </w:pPr>
            <w:r>
              <w:rPr>
                <w:rFonts w:ascii="Arial" w:cs="Arial" w:eastAsia="Arial" w:hAnsi="Arial"/>
                <w:sz w:val="14"/>
                <w:szCs w:val="14"/>
                <w:b w:val="1"/>
                <w:bCs w:val="1"/>
                <w:color w:val="55565A"/>
              </w:rPr>
              <w:t>629</w:t>
            </w:r>
          </w:p>
        </w:tc>
        <w:tc>
          <w:tcPr>
            <w:tcW w:w="1920" w:type="dxa"/>
            <w:vAlign w:val="bottom"/>
            <w:tcBorders>
              <w:top w:val="single" w:sz="8" w:color="88888B"/>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618</w:t>
            </w:r>
          </w:p>
        </w:tc>
      </w:tr>
    </w:tbl>
    <w:p>
      <w:pPr>
        <w:spacing w:after="0" w:line="102" w:lineRule="exact"/>
        <w:rPr>
          <w:sz w:val="20"/>
          <w:szCs w:val="20"/>
          <w:color w:val="auto"/>
        </w:rPr>
      </w:pPr>
    </w:p>
    <w:p>
      <w:pPr>
        <w:ind w:left="320" w:hanging="313"/>
        <w:spacing w:after="0"/>
        <w:tabs>
          <w:tab w:leader="none" w:pos="320" w:val="left"/>
        </w:tabs>
        <w:numPr>
          <w:ilvl w:val="0"/>
          <w:numId w:val="35"/>
        </w:numPr>
        <w:rPr>
          <w:rFonts w:ascii="Arial" w:cs="Arial" w:eastAsia="Arial" w:hAnsi="Arial"/>
          <w:sz w:val="12"/>
          <w:szCs w:val="12"/>
          <w:color w:val="55565A"/>
        </w:rPr>
      </w:pPr>
      <w:r>
        <w:rPr>
          <w:rFonts w:ascii="Arial" w:cs="Arial" w:eastAsia="Arial" w:hAnsi="Arial"/>
          <w:sz w:val="12"/>
          <w:szCs w:val="12"/>
          <w:color w:val="55565A"/>
        </w:rPr>
        <w:t>Includes a tax receivable from HM Revenue &amp; Customs (“HMRC”) of $90 million and $91 million as of March 31, 2024 and December 31, 2023, respectively (see note 18).</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13: Payables, Accruals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69297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060" w:type="dxa"/>
            <w:vAlign w:val="bottom"/>
          </w:tcPr>
          <w:p>
            <w:pPr>
              <w:jc w:val="right"/>
              <w:ind w:right="229"/>
              <w:spacing w:after="0"/>
              <w:rPr>
                <w:sz w:val="20"/>
                <w:szCs w:val="20"/>
                <w:color w:val="auto"/>
              </w:rPr>
            </w:pPr>
            <w:r>
              <w:rPr>
                <w:rFonts w:ascii="Arial" w:cs="Arial" w:eastAsia="Arial" w:hAnsi="Arial"/>
                <w:sz w:val="14"/>
                <w:szCs w:val="14"/>
                <w:b w:val="1"/>
                <w:bCs w:val="1"/>
                <w:color w:val="55565A"/>
              </w:rPr>
              <w:t>March 31,</w:t>
            </w:r>
          </w:p>
        </w:tc>
        <w:tc>
          <w:tcPr>
            <w:tcW w:w="1840" w:type="dxa"/>
            <w:vAlign w:val="bottom"/>
          </w:tcPr>
          <w:p>
            <w:pPr>
              <w:jc w:val="right"/>
              <w:ind w:right="469"/>
              <w:spacing w:after="0"/>
              <w:rPr>
                <w:sz w:val="20"/>
                <w:szCs w:val="20"/>
                <w:color w:val="auto"/>
              </w:rPr>
            </w:pPr>
            <w:r>
              <w:rPr>
                <w:rFonts w:ascii="Arial" w:cs="Arial" w:eastAsia="Arial" w:hAnsi="Arial"/>
                <w:sz w:val="14"/>
                <w:szCs w:val="14"/>
                <w:color w:val="55565A"/>
              </w:rPr>
              <w:t>December 31,</w:t>
            </w:r>
          </w:p>
        </w:tc>
      </w:t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060" w:type="dxa"/>
            <w:vAlign w:val="bottom"/>
          </w:tcPr>
          <w:p>
            <w:pPr>
              <w:jc w:val="right"/>
              <w:ind w:right="229"/>
              <w:spacing w:after="0"/>
              <w:rPr>
                <w:sz w:val="20"/>
                <w:szCs w:val="20"/>
                <w:color w:val="auto"/>
              </w:rPr>
            </w:pPr>
            <w:r>
              <w:rPr>
                <w:rFonts w:ascii="Arial" w:cs="Arial" w:eastAsia="Arial" w:hAnsi="Arial"/>
                <w:sz w:val="14"/>
                <w:szCs w:val="14"/>
                <w:b w:val="1"/>
                <w:bCs w:val="1"/>
                <w:color w:val="55565A"/>
              </w:rPr>
              <w:t>2024</w:t>
            </w:r>
          </w:p>
        </w:tc>
        <w:tc>
          <w:tcPr>
            <w:tcW w:w="1840" w:type="dxa"/>
            <w:vAlign w:val="bottom"/>
          </w:tcPr>
          <w:p>
            <w:pPr>
              <w:jc w:val="right"/>
              <w:ind w:right="329"/>
              <w:spacing w:after="0"/>
              <w:rPr>
                <w:sz w:val="20"/>
                <w:szCs w:val="20"/>
                <w:color w:val="auto"/>
              </w:rPr>
            </w:pPr>
            <w:r>
              <w:rPr>
                <w:rFonts w:ascii="Arial" w:cs="Arial" w:eastAsia="Arial" w:hAnsi="Arial"/>
                <w:sz w:val="14"/>
                <w:szCs w:val="14"/>
                <w:color w:val="55565A"/>
              </w:rPr>
              <w:t>2023</w:t>
            </w:r>
          </w:p>
        </w:tc>
      </w:tr>
      <w:tr>
        <w:trPr>
          <w:trHeight w:val="35"/>
        </w:trPr>
        <w:tc>
          <w:tcPr>
            <w:tcW w:w="20" w:type="dxa"/>
            <w:vAlign w:val="bottom"/>
          </w:tcPr>
          <w:p>
            <w:pPr>
              <w:spacing w:after="0"/>
              <w:rPr>
                <w:sz w:val="3"/>
                <w:szCs w:val="3"/>
                <w:color w:val="auto"/>
              </w:rPr>
            </w:pPr>
          </w:p>
        </w:tc>
        <w:tc>
          <w:tcPr>
            <w:tcW w:w="6000" w:type="dxa"/>
            <w:vAlign w:val="bottom"/>
            <w:tcBorders>
              <w:bottom w:val="single" w:sz="8" w:color="88888B"/>
            </w:tcBorders>
          </w:tcPr>
          <w:p>
            <w:pPr>
              <w:spacing w:after="0"/>
              <w:rPr>
                <w:sz w:val="3"/>
                <w:szCs w:val="3"/>
                <w:color w:val="auto"/>
              </w:rPr>
            </w:pPr>
          </w:p>
        </w:tc>
        <w:tc>
          <w:tcPr>
            <w:tcW w:w="3060" w:type="dxa"/>
            <w:vAlign w:val="bottom"/>
            <w:tcBorders>
              <w:bottom w:val="single" w:sz="8" w:color="88888B"/>
            </w:tcBorders>
          </w:tcPr>
          <w:p>
            <w:pPr>
              <w:spacing w:after="0"/>
              <w:rPr>
                <w:sz w:val="3"/>
                <w:szCs w:val="3"/>
                <w:color w:val="auto"/>
              </w:rPr>
            </w:pPr>
          </w:p>
        </w:tc>
        <w:tc>
          <w:tcPr>
            <w:tcW w:w="1840" w:type="dxa"/>
            <w:vAlign w:val="bottom"/>
            <w:tcBorders>
              <w:bottom w:val="single" w:sz="8" w:color="88888B"/>
            </w:tcBorders>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color w:val="55565A"/>
              </w:rPr>
              <w:t>   Trade payables</w:t>
            </w:r>
          </w:p>
        </w:tc>
        <w:tc>
          <w:tcPr>
            <w:tcW w:w="306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145</w:t>
            </w:r>
          </w:p>
        </w:tc>
        <w:tc>
          <w:tcPr>
            <w:tcW w:w="18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181</w:t>
            </w:r>
          </w:p>
        </w:tc>
      </w:tr>
      <w:tr>
        <w:trPr>
          <w:trHeight w:val="212"/>
        </w:trPr>
        <w:tc>
          <w:tcPr>
            <w:tcW w:w="6020" w:type="dxa"/>
            <w:vAlign w:val="bottom"/>
            <w:gridSpan w:val="2"/>
          </w:tcPr>
          <w:p>
            <w:pPr>
              <w:spacing w:after="0"/>
              <w:rPr>
                <w:sz w:val="20"/>
                <w:szCs w:val="20"/>
                <w:color w:val="auto"/>
              </w:rPr>
            </w:pPr>
            <w:r>
              <w:rPr>
                <w:rFonts w:ascii="Arial" w:cs="Arial" w:eastAsia="Arial" w:hAnsi="Arial"/>
                <w:sz w:val="14"/>
                <w:szCs w:val="14"/>
                <w:color w:val="55565A"/>
              </w:rPr>
              <w:t>   Accruals</w:t>
            </w:r>
          </w:p>
        </w:tc>
        <w:tc>
          <w:tcPr>
            <w:tcW w:w="3060" w:type="dxa"/>
            <w:vAlign w:val="bottom"/>
          </w:tcPr>
          <w:p>
            <w:pPr>
              <w:jc w:val="right"/>
              <w:ind w:right="229"/>
              <w:spacing w:after="0"/>
              <w:rPr>
                <w:sz w:val="20"/>
                <w:szCs w:val="20"/>
                <w:color w:val="auto"/>
              </w:rPr>
            </w:pPr>
            <w:r>
              <w:rPr>
                <w:rFonts w:ascii="Arial" w:cs="Arial" w:eastAsia="Arial" w:hAnsi="Arial"/>
                <w:sz w:val="14"/>
                <w:szCs w:val="14"/>
                <w:b w:val="1"/>
                <w:bCs w:val="1"/>
                <w:color w:val="55565A"/>
              </w:rPr>
              <w:t>627</w:t>
            </w:r>
          </w:p>
        </w:tc>
        <w:tc>
          <w:tcPr>
            <w:tcW w:w="1840" w:type="dxa"/>
            <w:vAlign w:val="bottom"/>
          </w:tcPr>
          <w:p>
            <w:pPr>
              <w:jc w:val="right"/>
              <w:ind w:right="329"/>
              <w:spacing w:after="0"/>
              <w:rPr>
                <w:sz w:val="20"/>
                <w:szCs w:val="20"/>
                <w:color w:val="auto"/>
              </w:rPr>
            </w:pPr>
            <w:r>
              <w:rPr>
                <w:rFonts w:ascii="Arial" w:cs="Arial" w:eastAsia="Arial" w:hAnsi="Arial"/>
                <w:sz w:val="14"/>
                <w:szCs w:val="14"/>
                <w:color w:val="55565A"/>
              </w:rPr>
              <w:t>798</w:t>
            </w: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color w:val="55565A"/>
              </w:rPr>
              <w:t>   Provisions</w:t>
            </w:r>
          </w:p>
        </w:tc>
        <w:tc>
          <w:tcPr>
            <w:tcW w:w="306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105</w:t>
            </w:r>
          </w:p>
        </w:tc>
        <w:tc>
          <w:tcPr>
            <w:tcW w:w="184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55565A"/>
              </w:rPr>
              <w:t>92</w:t>
            </w:r>
          </w:p>
        </w:tc>
      </w:tr>
      <w:tr>
        <w:trPr>
          <w:trHeight w:val="194"/>
        </w:trPr>
        <w:tc>
          <w:tcPr>
            <w:tcW w:w="6020" w:type="dxa"/>
            <w:vAlign w:val="bottom"/>
            <w:gridSpan w:val="2"/>
          </w:tcPr>
          <w:p>
            <w:pPr>
              <w:spacing w:after="0"/>
              <w:rPr>
                <w:sz w:val="20"/>
                <w:szCs w:val="20"/>
                <w:color w:val="auto"/>
              </w:rPr>
            </w:pPr>
            <w:r>
              <w:rPr>
                <w:rFonts w:ascii="Arial" w:cs="Arial" w:eastAsia="Arial" w:hAnsi="Arial"/>
                <w:sz w:val="14"/>
                <w:szCs w:val="14"/>
                <w:color w:val="55565A"/>
              </w:rPr>
              <w:t>   Other current liabilities</w:t>
            </w:r>
          </w:p>
        </w:tc>
        <w:tc>
          <w:tcPr>
            <w:tcW w:w="3060" w:type="dxa"/>
            <w:vAlign w:val="bottom"/>
          </w:tcPr>
          <w:p>
            <w:pPr>
              <w:jc w:val="right"/>
              <w:ind w:right="229"/>
              <w:spacing w:after="0"/>
              <w:rPr>
                <w:sz w:val="20"/>
                <w:szCs w:val="20"/>
                <w:color w:val="auto"/>
              </w:rPr>
            </w:pPr>
            <w:r>
              <w:rPr>
                <w:rFonts w:ascii="Arial" w:cs="Arial" w:eastAsia="Arial" w:hAnsi="Arial"/>
                <w:sz w:val="14"/>
                <w:szCs w:val="14"/>
                <w:b w:val="1"/>
                <w:bCs w:val="1"/>
                <w:color w:val="55565A"/>
              </w:rPr>
              <w:t>45</w:t>
            </w:r>
          </w:p>
        </w:tc>
        <w:tc>
          <w:tcPr>
            <w:tcW w:w="1840" w:type="dxa"/>
            <w:vAlign w:val="bottom"/>
          </w:tcPr>
          <w:p>
            <w:pPr>
              <w:jc w:val="right"/>
              <w:ind w:right="329"/>
              <w:spacing w:after="0"/>
              <w:rPr>
                <w:sz w:val="20"/>
                <w:szCs w:val="20"/>
                <w:color w:val="auto"/>
              </w:rPr>
            </w:pPr>
            <w:r>
              <w:rPr>
                <w:rFonts w:ascii="Arial" w:cs="Arial" w:eastAsia="Arial" w:hAnsi="Arial"/>
                <w:sz w:val="14"/>
                <w:szCs w:val="14"/>
                <w:color w:val="55565A"/>
              </w:rPr>
              <w:t>43</w:t>
            </w:r>
          </w:p>
        </w:tc>
      </w:tr>
      <w:tr>
        <w:trPr>
          <w:trHeight w:val="160"/>
        </w:trPr>
        <w:tc>
          <w:tcPr>
            <w:tcW w:w="20" w:type="dxa"/>
            <w:vAlign w:val="bottom"/>
          </w:tcPr>
          <w:p>
            <w:pPr>
              <w:spacing w:after="0"/>
              <w:rPr>
                <w:sz w:val="13"/>
                <w:szCs w:val="13"/>
                <w:color w:val="auto"/>
              </w:rPr>
            </w:pPr>
          </w:p>
        </w:tc>
        <w:tc>
          <w:tcPr>
            <w:tcW w:w="6000" w:type="dxa"/>
            <w:vAlign w:val="bottom"/>
            <w:tcBorders>
              <w:top w:val="single" w:sz="8" w:color="88888B"/>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   Total payables, accruals and provisions</w:t>
            </w:r>
          </w:p>
        </w:tc>
        <w:tc>
          <w:tcPr>
            <w:tcW w:w="3060" w:type="dxa"/>
            <w:vAlign w:val="bottom"/>
            <w:tcBorders>
              <w:top w:val="single" w:sz="8" w:color="88888B"/>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922</w:t>
            </w:r>
          </w:p>
        </w:tc>
        <w:tc>
          <w:tcPr>
            <w:tcW w:w="1840" w:type="dxa"/>
            <w:vAlign w:val="bottom"/>
            <w:tcBorders>
              <w:top w:val="single" w:sz="8" w:color="88888B"/>
              <w:bottom w:val="single" w:sz="8" w:color="88888B"/>
            </w:tcBorders>
            <w:shd w:val="clear" w:color="auto" w:fill="CCEEFF"/>
          </w:tcPr>
          <w:p>
            <w:pPr>
              <w:jc w:val="right"/>
              <w:ind w:right="329"/>
              <w:spacing w:after="0"/>
              <w:rPr>
                <w:sz w:val="20"/>
                <w:szCs w:val="20"/>
                <w:color w:val="auto"/>
              </w:rPr>
            </w:pPr>
            <w:r>
              <w:rPr>
                <w:rFonts w:ascii="Arial" w:cs="Arial" w:eastAsia="Arial" w:hAnsi="Arial"/>
                <w:sz w:val="14"/>
                <w:szCs w:val="14"/>
                <w:color w:val="55565A"/>
              </w:rPr>
              <w:t>1,114</w:t>
            </w:r>
          </w:p>
        </w:tc>
      </w:tr>
      <w:tr>
        <w:trPr>
          <w:trHeight w:val="307"/>
        </w:trPr>
        <w:tc>
          <w:tcPr>
            <w:tcW w:w="6020" w:type="dxa"/>
            <w:vAlign w:val="bottom"/>
            <w:gridSpan w:val="2"/>
          </w:tcPr>
          <w:p>
            <w:pPr>
              <w:spacing w:after="0"/>
              <w:rPr>
                <w:sz w:val="20"/>
                <w:szCs w:val="20"/>
                <w:color w:val="auto"/>
              </w:rPr>
            </w:pPr>
            <w:r>
              <w:rPr>
                <w:rFonts w:ascii="Arial" w:cs="Arial" w:eastAsia="Arial" w:hAnsi="Arial"/>
                <w:sz w:val="16"/>
                <w:szCs w:val="16"/>
                <w:b w:val="1"/>
                <w:bCs w:val="1"/>
                <w:i w:val="1"/>
                <w:iCs w:val="1"/>
                <w:color w:val="55565A"/>
              </w:rPr>
              <w:t>Note 14: Provisions and Other Non-Current Liabilities</w:t>
            </w:r>
          </w:p>
        </w:tc>
        <w:tc>
          <w:tcPr>
            <w:tcW w:w="30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00"/>
        </w:trPr>
        <w:tc>
          <w:tcPr>
            <w:tcW w:w="20" w:type="dxa"/>
            <w:vAlign w:val="bottom"/>
          </w:tcPr>
          <w:p>
            <w:pPr>
              <w:spacing w:after="0"/>
              <w:rPr>
                <w:sz w:val="8"/>
                <w:szCs w:val="8"/>
                <w:color w:val="auto"/>
              </w:rPr>
            </w:pPr>
          </w:p>
        </w:tc>
        <w:tc>
          <w:tcPr>
            <w:tcW w:w="6000" w:type="dxa"/>
            <w:vAlign w:val="bottom"/>
            <w:tcBorders>
              <w:bottom w:val="single" w:sz="8" w:color="88888B"/>
            </w:tcBorders>
          </w:tcPr>
          <w:p>
            <w:pPr>
              <w:spacing w:after="0"/>
              <w:rPr>
                <w:sz w:val="8"/>
                <w:szCs w:val="8"/>
                <w:color w:val="auto"/>
              </w:rPr>
            </w:pPr>
          </w:p>
        </w:tc>
        <w:tc>
          <w:tcPr>
            <w:tcW w:w="3060" w:type="dxa"/>
            <w:vAlign w:val="bottom"/>
            <w:tcBorders>
              <w:bottom w:val="single" w:sz="8" w:color="88888B"/>
            </w:tcBorders>
          </w:tcPr>
          <w:p>
            <w:pPr>
              <w:spacing w:after="0"/>
              <w:rPr>
                <w:sz w:val="8"/>
                <w:szCs w:val="8"/>
                <w:color w:val="auto"/>
              </w:rPr>
            </w:pPr>
          </w:p>
        </w:tc>
        <w:tc>
          <w:tcPr>
            <w:tcW w:w="1840" w:type="dxa"/>
            <w:vAlign w:val="bottom"/>
            <w:tcBorders>
              <w:bottom w:val="single" w:sz="8" w:color="88888B"/>
            </w:tcBorders>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060" w:type="dxa"/>
            <w:vAlign w:val="bottom"/>
          </w:tcPr>
          <w:p>
            <w:pPr>
              <w:jc w:val="right"/>
              <w:ind w:right="409"/>
              <w:spacing w:after="0"/>
              <w:rPr>
                <w:sz w:val="20"/>
                <w:szCs w:val="20"/>
                <w:color w:val="auto"/>
              </w:rPr>
            </w:pPr>
            <w:r>
              <w:rPr>
                <w:rFonts w:ascii="Arial" w:cs="Arial" w:eastAsia="Arial" w:hAnsi="Arial"/>
                <w:sz w:val="14"/>
                <w:szCs w:val="14"/>
                <w:b w:val="1"/>
                <w:bCs w:val="1"/>
                <w:color w:val="55565A"/>
              </w:rPr>
              <w:t>March 31,</w:t>
            </w:r>
          </w:p>
        </w:tc>
        <w:tc>
          <w:tcPr>
            <w:tcW w:w="1840" w:type="dxa"/>
            <w:vAlign w:val="bottom"/>
          </w:tcPr>
          <w:p>
            <w:pPr>
              <w:jc w:val="right"/>
              <w:ind w:right="549"/>
              <w:spacing w:after="0"/>
              <w:rPr>
                <w:sz w:val="20"/>
                <w:szCs w:val="20"/>
                <w:color w:val="auto"/>
              </w:rPr>
            </w:pPr>
            <w:r>
              <w:rPr>
                <w:rFonts w:ascii="Arial" w:cs="Arial" w:eastAsia="Arial" w:hAnsi="Arial"/>
                <w:sz w:val="14"/>
                <w:szCs w:val="14"/>
                <w:color w:val="55565A"/>
              </w:rPr>
              <w:t>December 31,</w:t>
            </w:r>
          </w:p>
        </w:tc>
      </w:t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060" w:type="dxa"/>
            <w:vAlign w:val="bottom"/>
          </w:tcPr>
          <w:p>
            <w:pPr>
              <w:jc w:val="right"/>
              <w:ind w:right="409"/>
              <w:spacing w:after="0"/>
              <w:rPr>
                <w:sz w:val="20"/>
                <w:szCs w:val="20"/>
                <w:color w:val="auto"/>
              </w:rPr>
            </w:pPr>
            <w:r>
              <w:rPr>
                <w:rFonts w:ascii="Arial" w:cs="Arial" w:eastAsia="Arial" w:hAnsi="Arial"/>
                <w:sz w:val="14"/>
                <w:szCs w:val="14"/>
                <w:b w:val="1"/>
                <w:bCs w:val="1"/>
                <w:color w:val="55565A"/>
              </w:rPr>
              <w:t>2024</w:t>
            </w:r>
          </w:p>
        </w:tc>
        <w:tc>
          <w:tcPr>
            <w:tcW w:w="1840" w:type="dxa"/>
            <w:vAlign w:val="bottom"/>
          </w:tcPr>
          <w:p>
            <w:pPr>
              <w:jc w:val="right"/>
              <w:ind w:right="409"/>
              <w:spacing w:after="0"/>
              <w:rPr>
                <w:sz w:val="20"/>
                <w:szCs w:val="20"/>
                <w:color w:val="auto"/>
              </w:rPr>
            </w:pPr>
            <w:r>
              <w:rPr>
                <w:rFonts w:ascii="Arial" w:cs="Arial" w:eastAsia="Arial" w:hAnsi="Arial"/>
                <w:sz w:val="14"/>
                <w:szCs w:val="14"/>
                <w:color w:val="55565A"/>
              </w:rPr>
              <w:t>2023</w:t>
            </w:r>
          </w:p>
        </w:tc>
      </w:tr>
      <w:tr>
        <w:trPr>
          <w:trHeight w:val="35"/>
        </w:trPr>
        <w:tc>
          <w:tcPr>
            <w:tcW w:w="20" w:type="dxa"/>
            <w:vAlign w:val="bottom"/>
          </w:tcPr>
          <w:p>
            <w:pPr>
              <w:spacing w:after="0"/>
              <w:rPr>
                <w:sz w:val="3"/>
                <w:szCs w:val="3"/>
                <w:color w:val="auto"/>
              </w:rPr>
            </w:pPr>
          </w:p>
        </w:tc>
        <w:tc>
          <w:tcPr>
            <w:tcW w:w="6000" w:type="dxa"/>
            <w:vAlign w:val="bottom"/>
            <w:tcBorders>
              <w:bottom w:val="single" w:sz="8" w:color="88888B"/>
            </w:tcBorders>
          </w:tcPr>
          <w:p>
            <w:pPr>
              <w:spacing w:after="0"/>
              <w:rPr>
                <w:sz w:val="3"/>
                <w:szCs w:val="3"/>
                <w:color w:val="auto"/>
              </w:rPr>
            </w:pPr>
          </w:p>
        </w:tc>
        <w:tc>
          <w:tcPr>
            <w:tcW w:w="3060" w:type="dxa"/>
            <w:vAlign w:val="bottom"/>
            <w:tcBorders>
              <w:bottom w:val="single" w:sz="8" w:color="88888B"/>
            </w:tcBorders>
          </w:tcPr>
          <w:p>
            <w:pPr>
              <w:spacing w:after="0"/>
              <w:rPr>
                <w:sz w:val="3"/>
                <w:szCs w:val="3"/>
                <w:color w:val="auto"/>
              </w:rPr>
            </w:pPr>
          </w:p>
        </w:tc>
        <w:tc>
          <w:tcPr>
            <w:tcW w:w="1840" w:type="dxa"/>
            <w:vAlign w:val="bottom"/>
            <w:tcBorders>
              <w:bottom w:val="single" w:sz="8" w:color="88888B"/>
            </w:tcBorders>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color w:val="55565A"/>
              </w:rPr>
              <w:t>   Net defined benefit plan obligations</w:t>
            </w:r>
          </w:p>
        </w:tc>
        <w:tc>
          <w:tcPr>
            <w:tcW w:w="3060" w:type="dxa"/>
            <w:vAlign w:val="bottom"/>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525</w:t>
            </w:r>
          </w:p>
        </w:tc>
        <w:tc>
          <w:tcPr>
            <w:tcW w:w="184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535</w:t>
            </w:r>
          </w:p>
        </w:tc>
      </w:tr>
      <w:tr>
        <w:trPr>
          <w:trHeight w:val="212"/>
        </w:trPr>
        <w:tc>
          <w:tcPr>
            <w:tcW w:w="6020" w:type="dxa"/>
            <w:vAlign w:val="bottom"/>
            <w:gridSpan w:val="2"/>
          </w:tcPr>
          <w:p>
            <w:pPr>
              <w:spacing w:after="0"/>
              <w:rPr>
                <w:sz w:val="20"/>
                <w:szCs w:val="20"/>
                <w:color w:val="auto"/>
              </w:rPr>
            </w:pPr>
            <w:r>
              <w:rPr>
                <w:rFonts w:ascii="Arial" w:cs="Arial" w:eastAsia="Arial" w:hAnsi="Arial"/>
                <w:sz w:val="14"/>
                <w:szCs w:val="14"/>
                <w:color w:val="55565A"/>
              </w:rPr>
              <w:t>   Deferred compensation and employee incentives</w:t>
            </w:r>
          </w:p>
        </w:tc>
        <w:tc>
          <w:tcPr>
            <w:tcW w:w="3060" w:type="dxa"/>
            <w:vAlign w:val="bottom"/>
          </w:tcPr>
          <w:p>
            <w:pPr>
              <w:jc w:val="right"/>
              <w:ind w:right="409"/>
              <w:spacing w:after="0"/>
              <w:rPr>
                <w:sz w:val="20"/>
                <w:szCs w:val="20"/>
                <w:color w:val="auto"/>
              </w:rPr>
            </w:pPr>
            <w:r>
              <w:rPr>
                <w:rFonts w:ascii="Arial" w:cs="Arial" w:eastAsia="Arial" w:hAnsi="Arial"/>
                <w:sz w:val="14"/>
                <w:szCs w:val="14"/>
                <w:b w:val="1"/>
                <w:bCs w:val="1"/>
                <w:color w:val="55565A"/>
              </w:rPr>
              <w:t>77</w:t>
            </w:r>
          </w:p>
        </w:tc>
        <w:tc>
          <w:tcPr>
            <w:tcW w:w="1840" w:type="dxa"/>
            <w:vAlign w:val="bottom"/>
          </w:tcPr>
          <w:p>
            <w:pPr>
              <w:jc w:val="right"/>
              <w:ind w:right="409"/>
              <w:spacing w:after="0"/>
              <w:rPr>
                <w:sz w:val="20"/>
                <w:szCs w:val="20"/>
                <w:color w:val="auto"/>
              </w:rPr>
            </w:pPr>
            <w:r>
              <w:rPr>
                <w:rFonts w:ascii="Arial" w:cs="Arial" w:eastAsia="Arial" w:hAnsi="Arial"/>
                <w:sz w:val="14"/>
                <w:szCs w:val="14"/>
                <w:color w:val="55565A"/>
              </w:rPr>
              <w:t>74</w:t>
            </w: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color w:val="55565A"/>
              </w:rPr>
              <w:t>   Provisions</w:t>
            </w:r>
          </w:p>
        </w:tc>
        <w:tc>
          <w:tcPr>
            <w:tcW w:w="3060" w:type="dxa"/>
            <w:vAlign w:val="bottom"/>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76</w:t>
            </w:r>
          </w:p>
        </w:tc>
        <w:tc>
          <w:tcPr>
            <w:tcW w:w="184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71</w:t>
            </w:r>
          </w:p>
        </w:tc>
      </w:tr>
      <w:tr>
        <w:trPr>
          <w:trHeight w:val="194"/>
        </w:trPr>
        <w:tc>
          <w:tcPr>
            <w:tcW w:w="6020" w:type="dxa"/>
            <w:vAlign w:val="bottom"/>
            <w:gridSpan w:val="2"/>
          </w:tcPr>
          <w:p>
            <w:pPr>
              <w:spacing w:after="0"/>
              <w:rPr>
                <w:sz w:val="20"/>
                <w:szCs w:val="20"/>
                <w:color w:val="auto"/>
              </w:rPr>
            </w:pPr>
            <w:r>
              <w:rPr>
                <w:rFonts w:ascii="Arial" w:cs="Arial" w:eastAsia="Arial" w:hAnsi="Arial"/>
                <w:sz w:val="14"/>
                <w:szCs w:val="14"/>
                <w:color w:val="55565A"/>
              </w:rPr>
              <w:t>   Other non-current liabilities</w:t>
            </w:r>
          </w:p>
        </w:tc>
        <w:tc>
          <w:tcPr>
            <w:tcW w:w="3060" w:type="dxa"/>
            <w:vAlign w:val="bottom"/>
          </w:tcPr>
          <w:p>
            <w:pPr>
              <w:jc w:val="right"/>
              <w:ind w:right="409"/>
              <w:spacing w:after="0"/>
              <w:rPr>
                <w:sz w:val="20"/>
                <w:szCs w:val="20"/>
                <w:color w:val="auto"/>
              </w:rPr>
            </w:pPr>
            <w:r>
              <w:rPr>
                <w:rFonts w:ascii="Arial" w:cs="Arial" w:eastAsia="Arial" w:hAnsi="Arial"/>
                <w:sz w:val="14"/>
                <w:szCs w:val="14"/>
                <w:b w:val="1"/>
                <w:bCs w:val="1"/>
                <w:color w:val="55565A"/>
              </w:rPr>
              <w:t>11</w:t>
            </w:r>
          </w:p>
        </w:tc>
        <w:tc>
          <w:tcPr>
            <w:tcW w:w="1840" w:type="dxa"/>
            <w:vAlign w:val="bottom"/>
          </w:tcPr>
          <w:p>
            <w:pPr>
              <w:jc w:val="right"/>
              <w:ind w:right="409"/>
              <w:spacing w:after="0"/>
              <w:rPr>
                <w:sz w:val="20"/>
                <w:szCs w:val="20"/>
                <w:color w:val="auto"/>
              </w:rPr>
            </w:pPr>
            <w:r>
              <w:rPr>
                <w:rFonts w:ascii="Arial" w:cs="Arial" w:eastAsia="Arial" w:hAnsi="Arial"/>
                <w:sz w:val="14"/>
                <w:szCs w:val="14"/>
                <w:color w:val="55565A"/>
              </w:rPr>
              <w:t>12</w:t>
            </w:r>
          </w:p>
        </w:tc>
      </w:tr>
      <w:tr>
        <w:trPr>
          <w:trHeight w:val="160"/>
        </w:trPr>
        <w:tc>
          <w:tcPr>
            <w:tcW w:w="20" w:type="dxa"/>
            <w:vAlign w:val="bottom"/>
          </w:tcPr>
          <w:p>
            <w:pPr>
              <w:spacing w:after="0"/>
              <w:rPr>
                <w:sz w:val="13"/>
                <w:szCs w:val="13"/>
                <w:color w:val="auto"/>
              </w:rPr>
            </w:pPr>
          </w:p>
        </w:tc>
        <w:tc>
          <w:tcPr>
            <w:tcW w:w="6000" w:type="dxa"/>
            <w:vAlign w:val="bottom"/>
            <w:tcBorders>
              <w:top w:val="single" w:sz="8" w:color="88888B"/>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   Total provisions and other non-current liabilities</w:t>
            </w:r>
          </w:p>
        </w:tc>
        <w:tc>
          <w:tcPr>
            <w:tcW w:w="3060" w:type="dxa"/>
            <w:vAlign w:val="bottom"/>
            <w:tcBorders>
              <w:top w:val="single" w:sz="8" w:color="88888B"/>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689</w:t>
            </w:r>
          </w:p>
        </w:tc>
        <w:tc>
          <w:tcPr>
            <w:tcW w:w="1840" w:type="dxa"/>
            <w:vAlign w:val="bottom"/>
            <w:tcBorders>
              <w:top w:val="single" w:sz="8" w:color="88888B"/>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692</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15: Capital</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Share repurchases – Normal Course Issuer Bid (“NCIB”)</w:t>
      </w:r>
    </w:p>
    <w:p>
      <w:pPr>
        <w:spacing w:after="0" w:line="11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55565A"/>
        </w:rPr>
        <w:t>The Company buys back shares (and subsequently cancels them) from time to time as part of its capital strategy. On November 1, 2023, the Company announced that it plans to repurchase up to $1.0 billion of its common shares. Share repurchases are typically executed under a NCIB. Shares are repurchased for the buyback program under a renewed NCIB, which was approved by the TSX and effective on November 1, 2023. Under the renewed NCIB, up to 10 million common shares may be repurchased between November 3, 2023 and November 2, 2024. The Company may repurchase common shares in open market transactions on the TSX, the NYSE and/or other exchanges and alternative trading systems, if eligible, or by such other means as may be permitted by the TSX and/or NYSE or under applicable law, including private agreement purchases or share purchase program agreement purchases if the Company receives, if applicable, an issuer bid exemption order in the future from applicable securities regulatory authorities in Canada for such purchases. The price that the Company will pay for common shares in open market transactions will be the market price at the time of purchase or such other price as may be permitted by the TSX.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6929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55565A"/>
        </w:rPr>
        <w:t>Page 54</w:t>
      </w:r>
    </w:p>
    <w:p>
      <w:pPr>
        <w:sectPr>
          <w:pgSz w:w="11900" w:h="16838" w:orient="portrait"/>
          <w:cols w:equalWidth="0" w:num="1">
            <w:col w:w="10920"/>
          </w:cols>
          <w:pgMar w:left="480" w:top="1440" w:right="499" w:bottom="1440" w:gutter="0" w:footer="0" w:header="0"/>
          <w:type w:val="continuous"/>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55565A"/>
        </w:rPr>
        <w:t>Details of share repurchases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920" w:type="dxa"/>
            <w:vAlign w:val="bottom"/>
            <w:tcBorders>
              <w:top w:val="single" w:sz="8" w:color="88888B"/>
            </w:tcBorders>
          </w:tcPr>
          <w:p>
            <w:pPr>
              <w:spacing w:after="0"/>
              <w:rPr>
                <w:sz w:val="18"/>
                <w:szCs w:val="18"/>
                <w:color w:val="auto"/>
              </w:rPr>
            </w:pPr>
          </w:p>
        </w:tc>
        <w:tc>
          <w:tcPr>
            <w:tcW w:w="2240" w:type="dxa"/>
            <w:vAlign w:val="bottom"/>
            <w:tcBorders>
              <w:top w:val="single" w:sz="8" w:color="88888B"/>
            </w:tcBorders>
          </w:tcPr>
          <w:p>
            <w:pPr>
              <w:spacing w:after="0"/>
              <w:rPr>
                <w:sz w:val="18"/>
                <w:szCs w:val="18"/>
                <w:color w:val="auto"/>
              </w:rPr>
            </w:pPr>
          </w:p>
        </w:tc>
        <w:tc>
          <w:tcPr>
            <w:tcW w:w="2740" w:type="dxa"/>
            <w:vAlign w:val="bottom"/>
            <w:tcBorders>
              <w:top w:val="single" w:sz="8" w:color="88888B"/>
            </w:tcBorders>
            <w:gridSpan w:val="3"/>
          </w:tcPr>
          <w:p>
            <w:pPr>
              <w:jc w:val="right"/>
              <w:ind w:right="489"/>
              <w:spacing w:after="0"/>
              <w:rPr>
                <w:sz w:val="20"/>
                <w:szCs w:val="20"/>
                <w:color w:val="auto"/>
              </w:rPr>
            </w:pPr>
            <w:r>
              <w:rPr>
                <w:rFonts w:ascii="Arial" w:cs="Arial" w:eastAsia="Arial" w:hAnsi="Arial"/>
                <w:sz w:val="14"/>
                <w:szCs w:val="14"/>
                <w:b w:val="1"/>
                <w:bCs w:val="1"/>
                <w:color w:val="55565A"/>
              </w:rPr>
              <w:t>Three months ended March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20" w:type="dxa"/>
            <w:vAlign w:val="bottom"/>
          </w:tcPr>
          <w:p>
            <w:pPr>
              <w:jc w:val="right"/>
              <w:ind w:right="349"/>
              <w:spacing w:after="0"/>
              <w:rPr>
                <w:sz w:val="20"/>
                <w:szCs w:val="20"/>
                <w:color w:val="auto"/>
              </w:rPr>
            </w:pPr>
            <w:r>
              <w:rPr>
                <w:rFonts w:ascii="Arial" w:cs="Arial" w:eastAsia="Arial" w:hAnsi="Arial"/>
                <w:sz w:val="14"/>
                <w:szCs w:val="14"/>
                <w:b w:val="1"/>
                <w:bCs w:val="1"/>
                <w:color w:val="55565A"/>
              </w:rPr>
              <w:t>   2024</w:t>
            </w:r>
          </w:p>
        </w:tc>
        <w:tc>
          <w:tcPr>
            <w:tcW w:w="680" w:type="dxa"/>
            <w:vAlign w:val="bottom"/>
          </w:tcPr>
          <w:p>
            <w:pPr>
              <w:spacing w:after="0"/>
              <w:rPr>
                <w:sz w:val="17"/>
                <w:szCs w:val="17"/>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55565A"/>
              </w:rPr>
              <w:t>   2023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20" w:type="dxa"/>
            <w:vAlign w:val="bottom"/>
            <w:tcBorders>
              <w:bottom w:val="single" w:sz="8" w:color="88888B"/>
            </w:tcBorders>
          </w:tcPr>
          <w:p>
            <w:pPr>
              <w:spacing w:after="0"/>
              <w:rPr>
                <w:sz w:val="2"/>
                <w:szCs w:val="2"/>
                <w:color w:val="auto"/>
              </w:rPr>
            </w:pPr>
          </w:p>
        </w:tc>
        <w:tc>
          <w:tcPr>
            <w:tcW w:w="2240" w:type="dxa"/>
            <w:vAlign w:val="bottom"/>
            <w:tcBorders>
              <w:bottom w:val="single" w:sz="8" w:color="88888B"/>
            </w:tcBorders>
          </w:tcPr>
          <w:p>
            <w:pPr>
              <w:spacing w:after="0"/>
              <w:rPr>
                <w:sz w:val="2"/>
                <w:szCs w:val="2"/>
                <w:color w:val="auto"/>
              </w:rPr>
            </w:pPr>
          </w:p>
        </w:tc>
        <w:tc>
          <w:tcPr>
            <w:tcW w:w="1120" w:type="dxa"/>
            <w:vAlign w:val="bottom"/>
            <w:tcBorders>
              <w:bottom w:val="single" w:sz="8" w:color="88888B"/>
            </w:tcBorders>
          </w:tcPr>
          <w:p>
            <w:pPr>
              <w:spacing w:after="0"/>
              <w:rPr>
                <w:sz w:val="2"/>
                <w:szCs w:val="2"/>
                <w:color w:val="auto"/>
              </w:rPr>
            </w:pPr>
          </w:p>
        </w:tc>
        <w:tc>
          <w:tcPr>
            <w:tcW w:w="680" w:type="dxa"/>
            <w:vAlign w:val="bottom"/>
            <w:tcBorders>
              <w:bottom w:val="single" w:sz="8" w:color="88888B"/>
            </w:tcBorders>
          </w:tcPr>
          <w:p>
            <w:pPr>
              <w:spacing w:after="0"/>
              <w:rPr>
                <w:sz w:val="2"/>
                <w:szCs w:val="2"/>
                <w:color w:val="auto"/>
              </w:rPr>
            </w:pPr>
          </w:p>
        </w:tc>
        <w:tc>
          <w:tcPr>
            <w:tcW w:w="94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4"/>
                <w:szCs w:val="14"/>
                <w:color w:val="55565A"/>
              </w:rPr>
              <w:t>   Share repurchases (millions of U.S. dollars)</w:t>
            </w:r>
          </w:p>
        </w:tc>
        <w:tc>
          <w:tcPr>
            <w:tcW w:w="2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352</w:t>
            </w:r>
          </w:p>
        </w:tc>
        <w:tc>
          <w:tcPr>
            <w:tcW w:w="6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5565A"/>
              </w:rPr>
              <w:t>718</w:t>
            </w:r>
          </w:p>
        </w:tc>
        <w:tc>
          <w:tcPr>
            <w:tcW w:w="0" w:type="dxa"/>
            <w:vAlign w:val="bottom"/>
          </w:tcPr>
          <w:p>
            <w:pPr>
              <w:spacing w:after="0"/>
              <w:rPr>
                <w:sz w:val="1"/>
                <w:szCs w:val="1"/>
                <w:color w:val="auto"/>
              </w:rPr>
            </w:pPr>
          </w:p>
        </w:tc>
      </w:tr>
      <w:tr>
        <w:trPr>
          <w:trHeight w:val="239"/>
        </w:trPr>
        <w:tc>
          <w:tcPr>
            <w:tcW w:w="5940" w:type="dxa"/>
            <w:vAlign w:val="bottom"/>
            <w:gridSpan w:val="2"/>
          </w:tcPr>
          <w:p>
            <w:pPr>
              <w:spacing w:after="0"/>
              <w:rPr>
                <w:sz w:val="20"/>
                <w:szCs w:val="20"/>
                <w:color w:val="auto"/>
              </w:rPr>
            </w:pPr>
            <w:r>
              <w:rPr>
                <w:rFonts w:ascii="Arial" w:cs="Arial" w:eastAsia="Arial" w:hAnsi="Arial"/>
                <w:sz w:val="14"/>
                <w:szCs w:val="14"/>
                <w:color w:val="55565A"/>
              </w:rPr>
              <w:t>   Shares repurchased (number in millions)</w:t>
            </w:r>
          </w:p>
        </w:tc>
        <w:tc>
          <w:tcPr>
            <w:tcW w:w="2240" w:type="dxa"/>
            <w:vAlign w:val="bottom"/>
          </w:tcPr>
          <w:p>
            <w:pPr>
              <w:spacing w:after="0"/>
              <w:rPr>
                <w:sz w:val="20"/>
                <w:szCs w:val="20"/>
                <w:color w:val="auto"/>
              </w:rPr>
            </w:pPr>
          </w:p>
        </w:tc>
        <w:tc>
          <w:tcPr>
            <w:tcW w:w="1120" w:type="dxa"/>
            <w:vAlign w:val="bottom"/>
          </w:tcPr>
          <w:p>
            <w:pPr>
              <w:jc w:val="right"/>
              <w:ind w:right="349"/>
              <w:spacing w:after="0"/>
              <w:rPr>
                <w:sz w:val="20"/>
                <w:szCs w:val="20"/>
                <w:color w:val="auto"/>
              </w:rPr>
            </w:pPr>
            <w:r>
              <w:rPr>
                <w:rFonts w:ascii="Arial" w:cs="Arial" w:eastAsia="Arial" w:hAnsi="Arial"/>
                <w:sz w:val="14"/>
                <w:szCs w:val="14"/>
                <w:b w:val="1"/>
                <w:bCs w:val="1"/>
                <w:color w:val="55565A"/>
              </w:rPr>
              <w:t>2.3</w:t>
            </w:r>
          </w:p>
        </w:tc>
        <w:tc>
          <w:tcPr>
            <w:tcW w:w="680" w:type="dxa"/>
            <w:vAlign w:val="bottom"/>
          </w:tcPr>
          <w:p>
            <w:pPr>
              <w:spacing w:after="0"/>
              <w:rPr>
                <w:sz w:val="20"/>
                <w:szCs w:val="20"/>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55565A"/>
              </w:rPr>
              <w:t>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92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   Share repurchases - average price per share in U.S. dollars</w:t>
            </w:r>
          </w:p>
        </w:tc>
        <w:tc>
          <w:tcPr>
            <w:tcW w:w="2240" w:type="dxa"/>
            <w:vAlign w:val="bottom"/>
            <w:tcBorders>
              <w:bottom w:val="single" w:sz="8" w:color="88888B"/>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5565A"/>
              </w:rPr>
              <w:t>$</w:t>
            </w:r>
          </w:p>
        </w:tc>
        <w:tc>
          <w:tcPr>
            <w:tcW w:w="1120" w:type="dxa"/>
            <w:vAlign w:val="bottom"/>
            <w:tcBorders>
              <w:bottom w:val="single" w:sz="8" w:color="88888B"/>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153.50</w:t>
            </w:r>
          </w:p>
        </w:tc>
        <w:tc>
          <w:tcPr>
            <w:tcW w:w="680" w:type="dxa"/>
            <w:vAlign w:val="bottom"/>
            <w:tcBorders>
              <w:bottom w:val="single" w:sz="8" w:color="88888B"/>
            </w:tcBorders>
            <w:shd w:val="clear" w:color="auto" w:fill="CCEEFF"/>
          </w:tcPr>
          <w:p>
            <w:pPr>
              <w:jc w:val="right"/>
              <w:ind w:right="109"/>
              <w:spacing w:after="0"/>
              <w:rPr>
                <w:sz w:val="20"/>
                <w:szCs w:val="20"/>
                <w:color w:val="auto"/>
              </w:rPr>
            </w:pPr>
            <w:r>
              <w:rPr>
                <w:rFonts w:ascii="Arial" w:cs="Arial" w:eastAsia="Arial" w:hAnsi="Arial"/>
                <w:sz w:val="14"/>
                <w:szCs w:val="14"/>
                <w:color w:val="55565A"/>
              </w:rPr>
              <w:t>$</w:t>
            </w:r>
          </w:p>
        </w:tc>
        <w:tc>
          <w:tcPr>
            <w:tcW w:w="94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color w:val="55565A"/>
              </w:rPr>
              <w:t>120.10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55565A"/>
        </w:rPr>
        <w:t>Decisions regarding any future repurchases will depend on certain factors, such as market conditions, share price, and other opportunities to invest capital for growth. The Company may elect to suspend or discontinue share repurchases at any time, in accordance with applicable laws. From time to time when the Company does not possess material nonpublic information about itself or its securities, it may enter into a pre-defined plan with its broker to allow for the repurchase of shares at times when the Company ordinarily would not be active in the market due to its own internal trading blackout periods, insider trading rules or otherwise. Any such plans entered into with the Company’s broker will be adopted in accordance with applicable Canadian securities laws and the requirements of Rule 10b5-1 under the U.S. Securities Exchange Act of 1934, as amended. The Company entered into such a plan with its broker on March 26, 2024. As a result, the Company recorded a $270 million liability in “Other financial liabilities” within current liabilities as of March 31, 2024 with a corresponding amount recorded in equity in the consolidated statement of financial position (December 31, 2023 – $400 million, of which $352 million was used to repurchase shares in the three months ended March 31, 2024).</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Dividends</w:t>
      </w:r>
    </w:p>
    <w:p>
      <w:pPr>
        <w:spacing w:after="0" w:line="110"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55565A"/>
        </w:rPr>
        <w:t>Dividends on common shares are declared in U.S. dollars. In the consolidated statement of cash flow, dividends paid on common shares are shown net of amounts reinvested in the Company under its dividend reinvestment plan. Details of dividends declared per common share and dividends paid on common shares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060" w:type="dxa"/>
            <w:vAlign w:val="bottom"/>
            <w:tcBorders>
              <w:top w:val="single" w:sz="8" w:color="88888B"/>
            </w:tcBorders>
          </w:tcPr>
          <w:p>
            <w:pPr>
              <w:spacing w:after="0"/>
              <w:rPr>
                <w:sz w:val="18"/>
                <w:szCs w:val="18"/>
                <w:color w:val="auto"/>
              </w:rPr>
            </w:pPr>
          </w:p>
        </w:tc>
        <w:tc>
          <w:tcPr>
            <w:tcW w:w="5040" w:type="dxa"/>
            <w:vAlign w:val="bottom"/>
            <w:tcBorders>
              <w:top w:val="single" w:sz="8" w:color="88888B"/>
            </w:tcBorders>
            <w:gridSpan w:val="3"/>
          </w:tcPr>
          <w:p>
            <w:pPr>
              <w:jc w:val="right"/>
              <w:spacing w:after="0"/>
              <w:rPr>
                <w:sz w:val="20"/>
                <w:szCs w:val="20"/>
                <w:color w:val="auto"/>
              </w:rPr>
            </w:pPr>
            <w:r>
              <w:rPr>
                <w:rFonts w:ascii="Arial" w:cs="Arial" w:eastAsia="Arial" w:hAnsi="Arial"/>
                <w:sz w:val="14"/>
                <w:szCs w:val="14"/>
                <w:b w:val="1"/>
                <w:bCs w:val="1"/>
                <w:color w:val="55565A"/>
              </w:rPr>
              <w:t>Three months ended March 31,</w:t>
            </w:r>
          </w:p>
        </w:tc>
        <w:tc>
          <w:tcPr>
            <w:tcW w:w="800" w:type="dxa"/>
            <w:vAlign w:val="bottom"/>
            <w:tcBorders>
              <w:top w:val="single" w:sz="8" w:color="88888B"/>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180" w:type="dxa"/>
            <w:vAlign w:val="bottom"/>
          </w:tcPr>
          <w:p>
            <w:pPr>
              <w:jc w:val="right"/>
              <w:spacing w:after="0"/>
              <w:rPr>
                <w:sz w:val="20"/>
                <w:szCs w:val="20"/>
                <w:color w:val="auto"/>
              </w:rPr>
            </w:pPr>
            <w:r>
              <w:rPr>
                <w:rFonts w:ascii="Arial" w:cs="Arial" w:eastAsia="Arial" w:hAnsi="Arial"/>
                <w:sz w:val="14"/>
                <w:szCs w:val="14"/>
                <w:b w:val="1"/>
                <w:bCs w:val="1"/>
                <w:color w:val="55565A"/>
              </w:rPr>
              <w:t> </w:t>
            </w:r>
          </w:p>
        </w:tc>
        <w:tc>
          <w:tcPr>
            <w:tcW w:w="800" w:type="dxa"/>
            <w:vAlign w:val="bottom"/>
          </w:tcPr>
          <w:p>
            <w:pPr>
              <w:jc w:val="right"/>
              <w:ind w:right="369"/>
              <w:spacing w:after="0"/>
              <w:rPr>
                <w:sz w:val="20"/>
                <w:szCs w:val="20"/>
                <w:color w:val="auto"/>
              </w:rPr>
            </w:pPr>
            <w:r>
              <w:rPr>
                <w:rFonts w:ascii="Arial" w:cs="Arial" w:eastAsia="Arial" w:hAnsi="Arial"/>
                <w:sz w:val="14"/>
                <w:szCs w:val="14"/>
                <w:b w:val="1"/>
                <w:bCs w:val="1"/>
                <w:color w:val="55565A"/>
              </w:rPr>
              <w:t>2024</w:t>
            </w:r>
          </w:p>
        </w:tc>
        <w:tc>
          <w:tcPr>
            <w:tcW w:w="1060" w:type="dxa"/>
            <w:vAlign w:val="bottom"/>
          </w:tcPr>
          <w:p>
            <w:pPr>
              <w:jc w:val="right"/>
              <w:ind w:right="29"/>
              <w:spacing w:after="0"/>
              <w:rPr>
                <w:sz w:val="20"/>
                <w:szCs w:val="20"/>
                <w:color w:val="auto"/>
              </w:rPr>
            </w:pPr>
            <w:r>
              <w:rPr>
                <w:rFonts w:ascii="Arial" w:cs="Arial" w:eastAsia="Arial" w:hAnsi="Arial"/>
                <w:sz w:val="14"/>
                <w:szCs w:val="14"/>
                <w:color w:val="55565A"/>
              </w:rPr>
              <w:t> </w:t>
            </w:r>
          </w:p>
        </w:tc>
        <w:tc>
          <w:tcPr>
            <w:tcW w:w="800" w:type="dxa"/>
            <w:vAlign w:val="bottom"/>
          </w:tcPr>
          <w:p>
            <w:pPr>
              <w:jc w:val="right"/>
              <w:ind w:right="409"/>
              <w:spacing w:after="0"/>
              <w:rPr>
                <w:sz w:val="20"/>
                <w:szCs w:val="20"/>
                <w:color w:val="auto"/>
              </w:rPr>
            </w:pPr>
            <w:r>
              <w:rPr>
                <w:rFonts w:ascii="Arial" w:cs="Arial" w:eastAsia="Arial" w:hAnsi="Arial"/>
                <w:sz w:val="14"/>
                <w:szCs w:val="14"/>
                <w:color w:val="55565A"/>
                <w:w w:val="96"/>
              </w:rPr>
              <w:t>2023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060" w:type="dxa"/>
            <w:vAlign w:val="bottom"/>
            <w:tcBorders>
              <w:bottom w:val="single" w:sz="8" w:color="88888B"/>
            </w:tcBorders>
          </w:tcPr>
          <w:p>
            <w:pPr>
              <w:spacing w:after="0"/>
              <w:rPr>
                <w:sz w:val="2"/>
                <w:szCs w:val="2"/>
                <w:color w:val="auto"/>
              </w:rPr>
            </w:pPr>
          </w:p>
        </w:tc>
        <w:tc>
          <w:tcPr>
            <w:tcW w:w="3180" w:type="dxa"/>
            <w:vAlign w:val="bottom"/>
            <w:tcBorders>
              <w:bottom w:val="single" w:sz="8" w:color="88888B"/>
            </w:tcBorders>
          </w:tcPr>
          <w:p>
            <w:pPr>
              <w:spacing w:after="0"/>
              <w:rPr>
                <w:sz w:val="2"/>
                <w:szCs w:val="2"/>
                <w:color w:val="auto"/>
              </w:rPr>
            </w:pPr>
          </w:p>
        </w:tc>
        <w:tc>
          <w:tcPr>
            <w:tcW w:w="800" w:type="dxa"/>
            <w:vAlign w:val="bottom"/>
            <w:tcBorders>
              <w:bottom w:val="single" w:sz="8" w:color="88888B"/>
            </w:tcBorders>
          </w:tcPr>
          <w:p>
            <w:pPr>
              <w:spacing w:after="0"/>
              <w:rPr>
                <w:sz w:val="2"/>
                <w:szCs w:val="2"/>
                <w:color w:val="auto"/>
              </w:rPr>
            </w:pPr>
          </w:p>
        </w:tc>
        <w:tc>
          <w:tcPr>
            <w:tcW w:w="1060" w:type="dxa"/>
            <w:vAlign w:val="bottom"/>
            <w:tcBorders>
              <w:bottom w:val="single" w:sz="8" w:color="88888B"/>
            </w:tcBorders>
          </w:tcPr>
          <w:p>
            <w:pPr>
              <w:spacing w:after="0"/>
              <w:rPr>
                <w:sz w:val="2"/>
                <w:szCs w:val="2"/>
                <w:color w:val="auto"/>
              </w:rPr>
            </w:pPr>
          </w:p>
        </w:tc>
        <w:tc>
          <w:tcPr>
            <w:tcW w:w="80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0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06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Dividends declared per common share</w:t>
            </w:r>
          </w:p>
        </w:tc>
        <w:tc>
          <w:tcPr>
            <w:tcW w:w="318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b w:val="1"/>
                <w:bCs w:val="1"/>
                <w:color w:val="55565A"/>
              </w:rPr>
              <w:t>$</w:t>
            </w:r>
          </w:p>
        </w:tc>
        <w:tc>
          <w:tcPr>
            <w:tcW w:w="800" w:type="dxa"/>
            <w:vAlign w:val="bottom"/>
            <w:tcBorders>
              <w:bottom w:val="single" w:sz="8" w:color="88888B"/>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5565A"/>
              </w:rPr>
              <w:t>0.54</w:t>
            </w:r>
          </w:p>
        </w:tc>
        <w:tc>
          <w:tcPr>
            <w:tcW w:w="1060" w:type="dxa"/>
            <w:vAlign w:val="bottom"/>
            <w:tcBorders>
              <w:bottom w:val="single" w:sz="8" w:color="88888B"/>
            </w:tcBorders>
            <w:shd w:val="clear" w:color="auto" w:fill="CCEEFF"/>
          </w:tcPr>
          <w:p>
            <w:pPr>
              <w:jc w:val="right"/>
              <w:ind w:right="469"/>
              <w:spacing w:after="0"/>
              <w:rPr>
                <w:sz w:val="20"/>
                <w:szCs w:val="20"/>
                <w:color w:val="auto"/>
              </w:rPr>
            </w:pPr>
            <w:r>
              <w:rPr>
                <w:rFonts w:ascii="Arial" w:cs="Arial" w:eastAsia="Arial" w:hAnsi="Arial"/>
                <w:sz w:val="14"/>
                <w:szCs w:val="14"/>
                <w:color w:val="55565A"/>
              </w:rPr>
              <w:t>$</w:t>
            </w:r>
          </w:p>
        </w:tc>
        <w:tc>
          <w:tcPr>
            <w:tcW w:w="80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0.49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4"/>
                <w:szCs w:val="14"/>
                <w:color w:val="55565A"/>
              </w:rPr>
              <w:t>Dividends declared</w:t>
            </w:r>
          </w:p>
        </w:tc>
        <w:tc>
          <w:tcPr>
            <w:tcW w:w="3180" w:type="dxa"/>
            <w:vAlign w:val="bottom"/>
          </w:tcPr>
          <w:p>
            <w:pPr>
              <w:spacing w:after="0"/>
              <w:rPr>
                <w:sz w:val="16"/>
                <w:szCs w:val="16"/>
                <w:color w:val="auto"/>
              </w:rPr>
            </w:pPr>
          </w:p>
        </w:tc>
        <w:tc>
          <w:tcPr>
            <w:tcW w:w="800" w:type="dxa"/>
            <w:vAlign w:val="bottom"/>
          </w:tcPr>
          <w:p>
            <w:pPr>
              <w:jc w:val="right"/>
              <w:ind w:right="369"/>
              <w:spacing w:after="0"/>
              <w:rPr>
                <w:sz w:val="20"/>
                <w:szCs w:val="20"/>
                <w:color w:val="auto"/>
              </w:rPr>
            </w:pPr>
            <w:r>
              <w:rPr>
                <w:rFonts w:ascii="Arial" w:cs="Arial" w:eastAsia="Arial" w:hAnsi="Arial"/>
                <w:sz w:val="14"/>
                <w:szCs w:val="14"/>
                <w:b w:val="1"/>
                <w:bCs w:val="1"/>
                <w:color w:val="55565A"/>
              </w:rPr>
              <w:t>244</w:t>
            </w:r>
          </w:p>
        </w:tc>
        <w:tc>
          <w:tcPr>
            <w:tcW w:w="1060" w:type="dxa"/>
            <w:vAlign w:val="bottom"/>
          </w:tcPr>
          <w:p>
            <w:pPr>
              <w:spacing w:after="0"/>
              <w:rPr>
                <w:sz w:val="16"/>
                <w:szCs w:val="16"/>
                <w:color w:val="auto"/>
              </w:rPr>
            </w:pPr>
          </w:p>
        </w:tc>
        <w:tc>
          <w:tcPr>
            <w:tcW w:w="800" w:type="dxa"/>
            <w:vAlign w:val="bottom"/>
          </w:tcPr>
          <w:p>
            <w:pPr>
              <w:jc w:val="right"/>
              <w:ind w:right="409"/>
              <w:spacing w:after="0"/>
              <w:rPr>
                <w:sz w:val="20"/>
                <w:szCs w:val="20"/>
                <w:color w:val="auto"/>
              </w:rPr>
            </w:pPr>
            <w:r>
              <w:rPr>
                <w:rFonts w:ascii="Arial" w:cs="Arial" w:eastAsia="Arial" w:hAnsi="Arial"/>
                <w:sz w:val="14"/>
                <w:szCs w:val="14"/>
                <w:color w:val="55565A"/>
              </w:rPr>
              <w:t>232</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06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Dividends reinvested</w:t>
            </w:r>
          </w:p>
        </w:tc>
        <w:tc>
          <w:tcPr>
            <w:tcW w:w="3180" w:type="dxa"/>
            <w:vAlign w:val="bottom"/>
            <w:tcBorders>
              <w:bottom w:val="single" w:sz="8" w:color="88888B"/>
            </w:tcBorders>
            <w:shd w:val="clear" w:color="auto" w:fill="CCEEFF"/>
          </w:tcPr>
          <w:p>
            <w:pPr>
              <w:spacing w:after="0"/>
              <w:rPr>
                <w:sz w:val="18"/>
                <w:szCs w:val="18"/>
                <w:color w:val="auto"/>
              </w:rPr>
            </w:pPr>
          </w:p>
        </w:tc>
        <w:tc>
          <w:tcPr>
            <w:tcW w:w="800" w:type="dxa"/>
            <w:vAlign w:val="bottom"/>
            <w:tcBorders>
              <w:bottom w:val="single" w:sz="8" w:color="88888B"/>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5565A"/>
              </w:rPr>
              <w:t>(7)</w:t>
            </w:r>
          </w:p>
        </w:tc>
        <w:tc>
          <w:tcPr>
            <w:tcW w:w="1060" w:type="dxa"/>
            <w:vAlign w:val="bottom"/>
            <w:tcBorders>
              <w:bottom w:val="single" w:sz="8" w:color="88888B"/>
            </w:tcBorders>
            <w:shd w:val="clear" w:color="auto" w:fill="CCEEFF"/>
          </w:tcPr>
          <w:p>
            <w:pPr>
              <w:spacing w:after="0"/>
              <w:rPr>
                <w:sz w:val="18"/>
                <w:szCs w:val="18"/>
                <w:color w:val="auto"/>
              </w:rPr>
            </w:pPr>
          </w:p>
        </w:tc>
        <w:tc>
          <w:tcPr>
            <w:tcW w:w="80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(8)</w:t>
            </w:r>
          </w:p>
        </w:tc>
        <w:tc>
          <w:tcPr>
            <w:tcW w:w="0" w:type="dxa"/>
            <w:vAlign w:val="bottom"/>
          </w:tcPr>
          <w:p>
            <w:pPr>
              <w:spacing w:after="0"/>
              <w:rPr>
                <w:sz w:val="1"/>
                <w:szCs w:val="1"/>
                <w:color w:val="auto"/>
              </w:rPr>
            </w:pPr>
          </w:p>
        </w:tc>
      </w:tr>
      <w:tr>
        <w:trPr>
          <w:trHeight w:val="239"/>
        </w:trPr>
        <w:tc>
          <w:tcPr>
            <w:tcW w:w="5080" w:type="dxa"/>
            <w:vAlign w:val="bottom"/>
            <w:gridSpan w:val="2"/>
          </w:tcPr>
          <w:p>
            <w:pPr>
              <w:spacing w:after="0"/>
              <w:rPr>
                <w:sz w:val="20"/>
                <w:szCs w:val="20"/>
                <w:color w:val="auto"/>
              </w:rPr>
            </w:pPr>
            <w:r>
              <w:rPr>
                <w:rFonts w:ascii="Arial" w:cs="Arial" w:eastAsia="Arial" w:hAnsi="Arial"/>
                <w:sz w:val="14"/>
                <w:szCs w:val="14"/>
                <w:color w:val="55565A"/>
              </w:rPr>
              <w:t>Dividends paid</w:t>
            </w:r>
          </w:p>
        </w:tc>
        <w:tc>
          <w:tcPr>
            <w:tcW w:w="3180" w:type="dxa"/>
            <w:vAlign w:val="bottom"/>
          </w:tcPr>
          <w:p>
            <w:pPr>
              <w:spacing w:after="0"/>
              <w:rPr>
                <w:sz w:val="20"/>
                <w:szCs w:val="20"/>
                <w:color w:val="auto"/>
              </w:rPr>
            </w:pPr>
          </w:p>
        </w:tc>
        <w:tc>
          <w:tcPr>
            <w:tcW w:w="800" w:type="dxa"/>
            <w:vAlign w:val="bottom"/>
          </w:tcPr>
          <w:p>
            <w:pPr>
              <w:jc w:val="right"/>
              <w:ind w:right="369"/>
              <w:spacing w:after="0"/>
              <w:rPr>
                <w:sz w:val="20"/>
                <w:szCs w:val="20"/>
                <w:color w:val="auto"/>
              </w:rPr>
            </w:pPr>
            <w:r>
              <w:rPr>
                <w:rFonts w:ascii="Arial" w:cs="Arial" w:eastAsia="Arial" w:hAnsi="Arial"/>
                <w:sz w:val="14"/>
                <w:szCs w:val="14"/>
                <w:b w:val="1"/>
                <w:bCs w:val="1"/>
                <w:color w:val="55565A"/>
              </w:rPr>
              <w:t>237</w:t>
            </w:r>
          </w:p>
        </w:tc>
        <w:tc>
          <w:tcPr>
            <w:tcW w:w="1060" w:type="dxa"/>
            <w:vAlign w:val="bottom"/>
          </w:tcPr>
          <w:p>
            <w:pPr>
              <w:spacing w:after="0"/>
              <w:rPr>
                <w:sz w:val="20"/>
                <w:szCs w:val="20"/>
                <w:color w:val="auto"/>
              </w:rPr>
            </w:pPr>
          </w:p>
        </w:tc>
        <w:tc>
          <w:tcPr>
            <w:tcW w:w="800" w:type="dxa"/>
            <w:vAlign w:val="bottom"/>
          </w:tcPr>
          <w:p>
            <w:pPr>
              <w:jc w:val="right"/>
              <w:ind w:right="409"/>
              <w:spacing w:after="0"/>
              <w:rPr>
                <w:sz w:val="20"/>
                <w:szCs w:val="20"/>
                <w:color w:val="auto"/>
              </w:rPr>
            </w:pPr>
            <w:r>
              <w:rPr>
                <w:rFonts w:ascii="Arial" w:cs="Arial" w:eastAsia="Arial" w:hAnsi="Arial"/>
                <w:sz w:val="14"/>
                <w:szCs w:val="14"/>
                <w:color w:val="55565A"/>
              </w:rPr>
              <w:t>224</w:t>
            </w:r>
          </w:p>
        </w:tc>
        <w:tc>
          <w:tcPr>
            <w:tcW w:w="0" w:type="dxa"/>
            <w:vAlign w:val="bottom"/>
          </w:tcPr>
          <w:p>
            <w:pPr>
              <w:spacing w:after="0"/>
              <w:rPr>
                <w:sz w:val="1"/>
                <w:szCs w:val="1"/>
                <w:color w:val="auto"/>
              </w:rPr>
            </w:pPr>
          </w:p>
        </w:tc>
      </w:tr>
      <w:tr>
        <w:trPr>
          <w:trHeight w:val="28"/>
        </w:trPr>
        <w:tc>
          <w:tcPr>
            <w:tcW w:w="20" w:type="dxa"/>
            <w:vAlign w:val="bottom"/>
            <w:tcBorders>
              <w:bottom w:val="single" w:sz="8" w:color="88888B"/>
            </w:tcBorders>
          </w:tcPr>
          <w:p>
            <w:pPr>
              <w:spacing w:after="0"/>
              <w:rPr>
                <w:sz w:val="2"/>
                <w:szCs w:val="2"/>
                <w:color w:val="auto"/>
              </w:rPr>
            </w:pPr>
          </w:p>
        </w:tc>
        <w:tc>
          <w:tcPr>
            <w:tcW w:w="5060" w:type="dxa"/>
            <w:vAlign w:val="bottom"/>
            <w:tcBorders>
              <w:bottom w:val="single" w:sz="8" w:color="88888B"/>
            </w:tcBorders>
          </w:tcPr>
          <w:p>
            <w:pPr>
              <w:spacing w:after="0"/>
              <w:rPr>
                <w:sz w:val="2"/>
                <w:szCs w:val="2"/>
                <w:color w:val="auto"/>
              </w:rPr>
            </w:pPr>
          </w:p>
        </w:tc>
        <w:tc>
          <w:tcPr>
            <w:tcW w:w="3180" w:type="dxa"/>
            <w:vAlign w:val="bottom"/>
            <w:tcBorders>
              <w:bottom w:val="single" w:sz="8" w:color="88888B"/>
            </w:tcBorders>
          </w:tcPr>
          <w:p>
            <w:pPr>
              <w:spacing w:after="0"/>
              <w:rPr>
                <w:sz w:val="2"/>
                <w:szCs w:val="2"/>
                <w:color w:val="auto"/>
              </w:rPr>
            </w:pPr>
          </w:p>
        </w:tc>
        <w:tc>
          <w:tcPr>
            <w:tcW w:w="800" w:type="dxa"/>
            <w:vAlign w:val="bottom"/>
            <w:tcBorders>
              <w:bottom w:val="single" w:sz="8" w:color="88888B"/>
            </w:tcBorders>
          </w:tcPr>
          <w:p>
            <w:pPr>
              <w:spacing w:after="0"/>
              <w:rPr>
                <w:sz w:val="2"/>
                <w:szCs w:val="2"/>
                <w:color w:val="auto"/>
              </w:rPr>
            </w:pPr>
          </w:p>
        </w:tc>
        <w:tc>
          <w:tcPr>
            <w:tcW w:w="1060" w:type="dxa"/>
            <w:vAlign w:val="bottom"/>
            <w:tcBorders>
              <w:bottom w:val="single" w:sz="8" w:color="88888B"/>
            </w:tcBorders>
          </w:tcPr>
          <w:p>
            <w:pPr>
              <w:spacing w:after="0"/>
              <w:rPr>
                <w:sz w:val="2"/>
                <w:szCs w:val="2"/>
                <w:color w:val="auto"/>
              </w:rPr>
            </w:pPr>
          </w:p>
        </w:tc>
        <w:tc>
          <w:tcPr>
            <w:tcW w:w="80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16: Supplemental Cash Flow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5565A"/>
        </w:rPr>
        <w:t>Details of “Other” in the consolidated statement of cash flow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9297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2"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55565A"/>
        </w:rPr>
        <w:t>Three months ended March 31,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ind w:left="8160"/>
              <w:spacing w:after="0"/>
              <w:rPr>
                <w:sz w:val="20"/>
                <w:szCs w:val="20"/>
                <w:color w:val="auto"/>
              </w:rPr>
            </w:pPr>
            <w:r>
              <w:rPr>
                <w:rFonts w:ascii="Arial" w:cs="Arial" w:eastAsia="Arial" w:hAnsi="Arial"/>
                <w:sz w:val="11"/>
                <w:szCs w:val="11"/>
                <w:b w:val="1"/>
                <w:bCs w:val="1"/>
                <w:color w:val="55565A"/>
                <w:w w:val="72"/>
              </w:rPr>
              <w:t> </w:t>
            </w:r>
          </w:p>
        </w:tc>
        <w:tc>
          <w:tcPr>
            <w:tcW w:w="1040" w:type="dxa"/>
            <w:vAlign w:val="bottom"/>
          </w:tcPr>
          <w:p>
            <w:pPr>
              <w:jc w:val="right"/>
              <w:ind w:right="609"/>
              <w:spacing w:after="0"/>
              <w:rPr>
                <w:sz w:val="20"/>
                <w:szCs w:val="20"/>
                <w:color w:val="auto"/>
              </w:rPr>
            </w:pPr>
            <w:r>
              <w:rPr>
                <w:rFonts w:ascii="Arial" w:cs="Arial" w:eastAsia="Arial" w:hAnsi="Arial"/>
                <w:sz w:val="14"/>
                <w:szCs w:val="14"/>
                <w:b w:val="1"/>
                <w:bCs w:val="1"/>
                <w:color w:val="55565A"/>
              </w:rPr>
              <w:t>2024</w:t>
            </w:r>
          </w:p>
        </w:tc>
        <w:tc>
          <w:tcPr>
            <w:tcW w:w="1620" w:type="dxa"/>
            <w:vAlign w:val="bottom"/>
          </w:tcPr>
          <w:p>
            <w:pPr>
              <w:jc w:val="right"/>
              <w:ind w:right="409"/>
              <w:spacing w:after="0"/>
              <w:rPr>
                <w:sz w:val="20"/>
                <w:szCs w:val="20"/>
                <w:color w:val="auto"/>
              </w:rPr>
            </w:pPr>
            <w:r>
              <w:rPr>
                <w:rFonts w:ascii="Arial" w:cs="Arial" w:eastAsia="Arial" w:hAnsi="Arial"/>
                <w:sz w:val="14"/>
                <w:szCs w:val="14"/>
                <w:color w:val="55565A"/>
              </w:rPr>
              <w:t>   2023</w:t>
            </w:r>
          </w:p>
        </w:tc>
      </w:tr>
      <w:tr>
        <w:trPr>
          <w:trHeight w:val="28"/>
        </w:trPr>
        <w:tc>
          <w:tcPr>
            <w:tcW w:w="8260" w:type="dxa"/>
            <w:vAlign w:val="bottom"/>
            <w:tcBorders>
              <w:bottom w:val="single" w:sz="8" w:color="88888B"/>
            </w:tcBorders>
          </w:tcPr>
          <w:p>
            <w:pPr>
              <w:spacing w:after="0"/>
              <w:rPr>
                <w:sz w:val="2"/>
                <w:szCs w:val="2"/>
                <w:color w:val="auto"/>
              </w:rPr>
            </w:pPr>
          </w:p>
        </w:tc>
        <w:tc>
          <w:tcPr>
            <w:tcW w:w="1040" w:type="dxa"/>
            <w:vAlign w:val="bottom"/>
            <w:tcBorders>
              <w:bottom w:val="single" w:sz="8" w:color="88888B"/>
            </w:tcBorders>
          </w:tcPr>
          <w:p>
            <w:pPr>
              <w:spacing w:after="0"/>
              <w:rPr>
                <w:sz w:val="2"/>
                <w:szCs w:val="2"/>
                <w:color w:val="auto"/>
              </w:rPr>
            </w:pPr>
          </w:p>
        </w:tc>
        <w:tc>
          <w:tcPr>
            <w:tcW w:w="1620" w:type="dxa"/>
            <w:vAlign w:val="bottom"/>
            <w:tcBorders>
              <w:bottom w:val="single" w:sz="8" w:color="88888B"/>
            </w:tcBorders>
          </w:tcPr>
          <w:p>
            <w:pPr>
              <w:spacing w:after="0"/>
              <w:rPr>
                <w:sz w:val="2"/>
                <w:szCs w:val="2"/>
                <w:color w:val="auto"/>
              </w:rPr>
            </w:pPr>
          </w:p>
        </w:tc>
      </w:tr>
      <w:tr>
        <w:trPr>
          <w:trHeight w:val="154"/>
        </w:trPr>
        <w:tc>
          <w:tcPr>
            <w:tcW w:w="826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Non-cash employee benefit charges</w:t>
            </w:r>
          </w:p>
        </w:tc>
        <w:tc>
          <w:tcPr>
            <w:tcW w:w="1040" w:type="dxa"/>
            <w:vAlign w:val="bottom"/>
            <w:shd w:val="clear" w:color="auto" w:fill="CCEEFF"/>
          </w:tcPr>
          <w:p>
            <w:pPr>
              <w:jc w:val="right"/>
              <w:ind w:right="609"/>
              <w:spacing w:after="0" w:line="154" w:lineRule="exact"/>
              <w:rPr>
                <w:sz w:val="20"/>
                <w:szCs w:val="20"/>
                <w:color w:val="auto"/>
              </w:rPr>
            </w:pPr>
            <w:r>
              <w:rPr>
                <w:rFonts w:ascii="Arial" w:cs="Arial" w:eastAsia="Arial" w:hAnsi="Arial"/>
                <w:sz w:val="14"/>
                <w:szCs w:val="14"/>
                <w:b w:val="1"/>
                <w:bCs w:val="1"/>
                <w:color w:val="55565A"/>
              </w:rPr>
              <w:t>34</w:t>
            </w:r>
          </w:p>
        </w:tc>
        <w:tc>
          <w:tcPr>
            <w:tcW w:w="1620" w:type="dxa"/>
            <w:vAlign w:val="bottom"/>
            <w:shd w:val="clear" w:color="auto" w:fill="CCEEFF"/>
          </w:tcPr>
          <w:p>
            <w:pPr>
              <w:jc w:val="right"/>
              <w:ind w:right="409"/>
              <w:spacing w:after="0" w:line="154" w:lineRule="exact"/>
              <w:rPr>
                <w:sz w:val="20"/>
                <w:szCs w:val="20"/>
                <w:color w:val="auto"/>
              </w:rPr>
            </w:pPr>
            <w:r>
              <w:rPr>
                <w:rFonts w:ascii="Arial" w:cs="Arial" w:eastAsia="Arial" w:hAnsi="Arial"/>
                <w:sz w:val="14"/>
                <w:szCs w:val="14"/>
                <w:color w:val="55565A"/>
              </w:rPr>
              <w:t>38</w:t>
            </w:r>
          </w:p>
        </w:tc>
      </w:tr>
      <w:tr>
        <w:trPr>
          <w:trHeight w:val="160"/>
        </w:trPr>
        <w:tc>
          <w:tcPr>
            <w:tcW w:w="8260" w:type="dxa"/>
            <w:vAlign w:val="bottom"/>
          </w:tcPr>
          <w:p>
            <w:pPr>
              <w:spacing w:after="0"/>
              <w:rPr>
                <w:sz w:val="20"/>
                <w:szCs w:val="20"/>
                <w:color w:val="auto"/>
              </w:rPr>
            </w:pPr>
            <w:r>
              <w:rPr>
                <w:rFonts w:ascii="Arial" w:cs="Arial" w:eastAsia="Arial" w:hAnsi="Arial"/>
                <w:sz w:val="14"/>
                <w:szCs w:val="14"/>
                <w:color w:val="55565A"/>
              </w:rPr>
              <w:t>Net (gains) losses on foreign exchange and derivative financial instruments</w:t>
            </w:r>
          </w:p>
        </w:tc>
        <w:tc>
          <w:tcPr>
            <w:tcW w:w="1040" w:type="dxa"/>
            <w:vAlign w:val="bottom"/>
          </w:tcPr>
          <w:p>
            <w:pPr>
              <w:jc w:val="right"/>
              <w:ind w:right="609"/>
              <w:spacing w:after="0"/>
              <w:rPr>
                <w:sz w:val="20"/>
                <w:szCs w:val="20"/>
                <w:color w:val="auto"/>
              </w:rPr>
            </w:pPr>
            <w:r>
              <w:rPr>
                <w:rFonts w:ascii="Arial" w:cs="Arial" w:eastAsia="Arial" w:hAnsi="Arial"/>
                <w:sz w:val="14"/>
                <w:szCs w:val="14"/>
                <w:b w:val="1"/>
                <w:bCs w:val="1"/>
                <w:color w:val="55565A"/>
              </w:rPr>
              <w:t>(23)</w:t>
            </w:r>
          </w:p>
        </w:tc>
        <w:tc>
          <w:tcPr>
            <w:tcW w:w="1620" w:type="dxa"/>
            <w:vAlign w:val="bottom"/>
          </w:tcPr>
          <w:p>
            <w:pPr>
              <w:jc w:val="right"/>
              <w:ind w:right="409"/>
              <w:spacing w:after="0"/>
              <w:rPr>
                <w:sz w:val="20"/>
                <w:szCs w:val="20"/>
                <w:color w:val="auto"/>
              </w:rPr>
            </w:pPr>
            <w:r>
              <w:rPr>
                <w:rFonts w:ascii="Arial" w:cs="Arial" w:eastAsia="Arial" w:hAnsi="Arial"/>
                <w:sz w:val="14"/>
                <w:szCs w:val="14"/>
                <w:color w:val="55565A"/>
              </w:rPr>
              <w:t>91</w:t>
            </w:r>
          </w:p>
        </w:tc>
      </w:tr>
      <w:tr>
        <w:trPr>
          <w:trHeight w:val="160"/>
        </w:trPr>
        <w:tc>
          <w:tcPr>
            <w:tcW w:w="8260" w:type="dxa"/>
            <w:vAlign w:val="bottom"/>
            <w:shd w:val="clear" w:color="auto" w:fill="CCEEFF"/>
          </w:tcPr>
          <w:p>
            <w:pPr>
              <w:spacing w:after="0"/>
              <w:rPr>
                <w:sz w:val="20"/>
                <w:szCs w:val="20"/>
                <w:color w:val="auto"/>
              </w:rPr>
            </w:pPr>
            <w:r>
              <w:rPr>
                <w:rFonts w:ascii="Arial" w:cs="Arial" w:eastAsia="Arial" w:hAnsi="Arial"/>
                <w:sz w:val="14"/>
                <w:szCs w:val="14"/>
                <w:color w:val="55565A"/>
              </w:rPr>
              <w:t>Fair value adjustments (see note 5)</w:t>
            </w:r>
          </w:p>
        </w:tc>
        <w:tc>
          <w:tcPr>
            <w:tcW w:w="1040" w:type="dxa"/>
            <w:vAlign w:val="bottom"/>
            <w:shd w:val="clear" w:color="auto" w:fill="CCEEFF"/>
          </w:tcPr>
          <w:p>
            <w:pPr>
              <w:jc w:val="right"/>
              <w:ind w:right="609"/>
              <w:spacing w:after="0"/>
              <w:rPr>
                <w:sz w:val="20"/>
                <w:szCs w:val="20"/>
                <w:color w:val="auto"/>
              </w:rPr>
            </w:pPr>
            <w:r>
              <w:rPr>
                <w:rFonts w:ascii="Arial" w:cs="Arial" w:eastAsia="Arial" w:hAnsi="Arial"/>
                <w:sz w:val="14"/>
                <w:szCs w:val="14"/>
                <w:b w:val="1"/>
                <w:bCs w:val="1"/>
                <w:color w:val="55565A"/>
              </w:rPr>
              <w:t>(2)</w:t>
            </w:r>
          </w:p>
        </w:tc>
        <w:tc>
          <w:tcPr>
            <w:tcW w:w="162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4</w:t>
            </w:r>
          </w:p>
        </w:tc>
      </w:tr>
      <w:tr>
        <w:trPr>
          <w:trHeight w:val="253"/>
        </w:trPr>
        <w:tc>
          <w:tcPr>
            <w:tcW w:w="8260" w:type="dxa"/>
            <w:vAlign w:val="bottom"/>
          </w:tcPr>
          <w:p>
            <w:pPr>
              <w:spacing w:after="0"/>
              <w:rPr>
                <w:sz w:val="20"/>
                <w:szCs w:val="20"/>
                <w:color w:val="auto"/>
              </w:rPr>
            </w:pPr>
            <w:r>
              <w:rPr>
                <w:rFonts w:ascii="Arial" w:cs="Arial" w:eastAsia="Arial" w:hAnsi="Arial"/>
                <w:sz w:val="14"/>
                <w:szCs w:val="14"/>
                <w:color w:val="55565A"/>
              </w:rPr>
              <w:t>Other</w:t>
            </w:r>
          </w:p>
        </w:tc>
        <w:tc>
          <w:tcPr>
            <w:tcW w:w="1040" w:type="dxa"/>
            <w:vAlign w:val="bottom"/>
          </w:tcPr>
          <w:p>
            <w:pPr>
              <w:jc w:val="right"/>
              <w:ind w:right="609"/>
              <w:spacing w:after="0"/>
              <w:rPr>
                <w:sz w:val="20"/>
                <w:szCs w:val="20"/>
                <w:color w:val="auto"/>
              </w:rPr>
            </w:pPr>
            <w:r>
              <w:rPr>
                <w:rFonts w:ascii="Arial" w:cs="Arial" w:eastAsia="Arial" w:hAnsi="Arial"/>
                <w:sz w:val="14"/>
                <w:szCs w:val="14"/>
                <w:b w:val="1"/>
                <w:bCs w:val="1"/>
                <w:color w:val="55565A"/>
              </w:rPr>
              <w:t>39</w:t>
            </w:r>
          </w:p>
        </w:tc>
        <w:tc>
          <w:tcPr>
            <w:tcW w:w="1620" w:type="dxa"/>
            <w:vAlign w:val="bottom"/>
          </w:tcPr>
          <w:p>
            <w:pPr>
              <w:jc w:val="right"/>
              <w:ind w:right="409"/>
              <w:spacing w:after="0"/>
              <w:rPr>
                <w:sz w:val="20"/>
                <w:szCs w:val="20"/>
                <w:color w:val="auto"/>
              </w:rPr>
            </w:pPr>
            <w:r>
              <w:rPr>
                <w:rFonts w:ascii="Arial" w:cs="Arial" w:eastAsia="Arial" w:hAnsi="Arial"/>
                <w:sz w:val="14"/>
                <w:szCs w:val="14"/>
                <w:color w:val="55565A"/>
              </w:rPr>
              <w:t>(1)</w:t>
            </w:r>
          </w:p>
        </w:tc>
      </w:tr>
      <w:tr>
        <w:trPr>
          <w:trHeight w:val="28"/>
        </w:trPr>
        <w:tc>
          <w:tcPr>
            <w:tcW w:w="8260" w:type="dxa"/>
            <w:vAlign w:val="bottom"/>
            <w:tcBorders>
              <w:bottom w:val="single" w:sz="8" w:color="88888B"/>
            </w:tcBorders>
          </w:tcPr>
          <w:p>
            <w:pPr>
              <w:spacing w:after="0"/>
              <w:rPr>
                <w:sz w:val="2"/>
                <w:szCs w:val="2"/>
                <w:color w:val="auto"/>
              </w:rPr>
            </w:pPr>
          </w:p>
        </w:tc>
        <w:tc>
          <w:tcPr>
            <w:tcW w:w="1040" w:type="dxa"/>
            <w:vAlign w:val="bottom"/>
            <w:tcBorders>
              <w:bottom w:val="single" w:sz="8" w:color="88888B"/>
            </w:tcBorders>
          </w:tcPr>
          <w:p>
            <w:pPr>
              <w:spacing w:after="0"/>
              <w:rPr>
                <w:sz w:val="2"/>
                <w:szCs w:val="2"/>
                <w:color w:val="auto"/>
              </w:rPr>
            </w:pPr>
          </w:p>
        </w:tc>
        <w:tc>
          <w:tcPr>
            <w:tcW w:w="1620" w:type="dxa"/>
            <w:vAlign w:val="bottom"/>
            <w:tcBorders>
              <w:bottom w:val="single" w:sz="8" w:color="88888B"/>
            </w:tcBorders>
          </w:tcPr>
          <w:p>
            <w:pPr>
              <w:spacing w:after="0"/>
              <w:rPr>
                <w:sz w:val="2"/>
                <w:szCs w:val="2"/>
                <w:color w:val="auto"/>
              </w:rPr>
            </w:pPr>
          </w:p>
        </w:tc>
      </w:tr>
      <w:tr>
        <w:trPr>
          <w:trHeight w:val="47"/>
        </w:trPr>
        <w:tc>
          <w:tcPr>
            <w:tcW w:w="8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07"/>
        </w:trPr>
        <w:tc>
          <w:tcPr>
            <w:tcW w:w="8260" w:type="dxa"/>
            <w:vAlign w:val="bottom"/>
            <w:tcBorders>
              <w:bottom w:val="single" w:sz="8" w:color="88888B"/>
            </w:tcBorders>
            <w:shd w:val="clear" w:color="auto" w:fill="CCEEFF"/>
          </w:tcPr>
          <w:p>
            <w:pPr>
              <w:spacing w:after="0"/>
              <w:rPr>
                <w:sz w:val="18"/>
                <w:szCs w:val="18"/>
                <w:color w:val="auto"/>
              </w:rPr>
            </w:pPr>
          </w:p>
        </w:tc>
        <w:tc>
          <w:tcPr>
            <w:tcW w:w="1040" w:type="dxa"/>
            <w:vAlign w:val="bottom"/>
            <w:tcBorders>
              <w:bottom w:val="single" w:sz="8" w:color="88888B"/>
            </w:tcBorders>
            <w:shd w:val="clear" w:color="auto" w:fill="CCEEFF"/>
          </w:tcPr>
          <w:p>
            <w:pPr>
              <w:jc w:val="right"/>
              <w:ind w:right="609"/>
              <w:spacing w:after="0"/>
              <w:rPr>
                <w:sz w:val="20"/>
                <w:szCs w:val="20"/>
                <w:color w:val="auto"/>
              </w:rPr>
            </w:pPr>
            <w:r>
              <w:rPr>
                <w:rFonts w:ascii="Arial" w:cs="Arial" w:eastAsia="Arial" w:hAnsi="Arial"/>
                <w:sz w:val="14"/>
                <w:szCs w:val="14"/>
                <w:b w:val="1"/>
                <w:bCs w:val="1"/>
                <w:color w:val="55565A"/>
              </w:rPr>
              <w:t>48</w:t>
            </w:r>
          </w:p>
        </w:tc>
        <w:tc>
          <w:tcPr>
            <w:tcW w:w="162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132</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55565A"/>
        </w:rPr>
        <w:t>Details of “Changes in working capital and other items”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9297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2"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55565A"/>
        </w:rPr>
        <w:t>Three months ended March 31,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ind w:left="8240"/>
              <w:spacing w:after="0"/>
              <w:rPr>
                <w:sz w:val="20"/>
                <w:szCs w:val="20"/>
                <w:color w:val="auto"/>
              </w:rPr>
            </w:pPr>
            <w:r>
              <w:rPr>
                <w:rFonts w:ascii="Arial" w:cs="Arial" w:eastAsia="Arial" w:hAnsi="Arial"/>
                <w:sz w:val="8"/>
                <w:szCs w:val="8"/>
                <w:b w:val="1"/>
                <w:bCs w:val="1"/>
                <w:color w:val="55565A"/>
                <w:w w:val="74"/>
              </w:rPr>
              <w:t> </w:t>
            </w:r>
          </w:p>
        </w:tc>
        <w:tc>
          <w:tcPr>
            <w:tcW w:w="1020" w:type="dxa"/>
            <w:vAlign w:val="bottom"/>
          </w:tcPr>
          <w:p>
            <w:pPr>
              <w:jc w:val="right"/>
              <w:ind w:right="569"/>
              <w:spacing w:after="0"/>
              <w:rPr>
                <w:sz w:val="20"/>
                <w:szCs w:val="20"/>
                <w:color w:val="auto"/>
              </w:rPr>
            </w:pPr>
            <w:r>
              <w:rPr>
                <w:rFonts w:ascii="Arial" w:cs="Arial" w:eastAsia="Arial" w:hAnsi="Arial"/>
                <w:sz w:val="14"/>
                <w:szCs w:val="14"/>
                <w:b w:val="1"/>
                <w:bCs w:val="1"/>
                <w:color w:val="55565A"/>
              </w:rPr>
              <w:t>2024</w:t>
            </w:r>
          </w:p>
        </w:tc>
        <w:tc>
          <w:tcPr>
            <w:tcW w:w="1580" w:type="dxa"/>
            <w:vAlign w:val="bottom"/>
          </w:tcPr>
          <w:p>
            <w:pPr>
              <w:jc w:val="right"/>
              <w:ind w:right="409"/>
              <w:spacing w:after="0"/>
              <w:rPr>
                <w:sz w:val="20"/>
                <w:szCs w:val="20"/>
                <w:color w:val="auto"/>
              </w:rPr>
            </w:pPr>
            <w:r>
              <w:rPr>
                <w:rFonts w:ascii="Arial" w:cs="Arial" w:eastAsia="Arial" w:hAnsi="Arial"/>
                <w:sz w:val="14"/>
                <w:szCs w:val="14"/>
                <w:color w:val="55565A"/>
              </w:rPr>
              <w:t>   2023</w:t>
            </w:r>
          </w:p>
        </w:tc>
      </w:tr>
      <w:tr>
        <w:trPr>
          <w:trHeight w:val="28"/>
        </w:trPr>
        <w:tc>
          <w:tcPr>
            <w:tcW w:w="8320" w:type="dxa"/>
            <w:vAlign w:val="bottom"/>
            <w:tcBorders>
              <w:bottom w:val="single" w:sz="8" w:color="88888B"/>
            </w:tcBorders>
          </w:tcPr>
          <w:p>
            <w:pPr>
              <w:spacing w:after="0"/>
              <w:rPr>
                <w:sz w:val="2"/>
                <w:szCs w:val="2"/>
                <w:color w:val="auto"/>
              </w:rPr>
            </w:pPr>
          </w:p>
        </w:tc>
        <w:tc>
          <w:tcPr>
            <w:tcW w:w="1020" w:type="dxa"/>
            <w:vAlign w:val="bottom"/>
            <w:tcBorders>
              <w:bottom w:val="single" w:sz="8" w:color="88888B"/>
            </w:tcBorders>
          </w:tcPr>
          <w:p>
            <w:pPr>
              <w:spacing w:after="0"/>
              <w:rPr>
                <w:sz w:val="2"/>
                <w:szCs w:val="2"/>
                <w:color w:val="auto"/>
              </w:rPr>
            </w:pPr>
          </w:p>
        </w:tc>
        <w:tc>
          <w:tcPr>
            <w:tcW w:w="1580" w:type="dxa"/>
            <w:vAlign w:val="bottom"/>
            <w:tcBorders>
              <w:bottom w:val="single" w:sz="8" w:color="88888B"/>
            </w:tcBorders>
          </w:tcPr>
          <w:p>
            <w:pPr>
              <w:spacing w:after="0"/>
              <w:rPr>
                <w:sz w:val="2"/>
                <w:szCs w:val="2"/>
                <w:color w:val="auto"/>
              </w:rPr>
            </w:pPr>
          </w:p>
        </w:tc>
      </w:tr>
      <w:tr>
        <w:trPr>
          <w:trHeight w:val="154"/>
        </w:trPr>
        <w:tc>
          <w:tcPr>
            <w:tcW w:w="832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Trade and other receivables</w:t>
            </w:r>
          </w:p>
        </w:tc>
        <w:tc>
          <w:tcPr>
            <w:tcW w:w="1020" w:type="dxa"/>
            <w:vAlign w:val="bottom"/>
            <w:shd w:val="clear" w:color="auto" w:fill="CCEEFF"/>
          </w:tcPr>
          <w:p>
            <w:pPr>
              <w:jc w:val="right"/>
              <w:ind w:right="569"/>
              <w:spacing w:after="0" w:line="154" w:lineRule="exact"/>
              <w:rPr>
                <w:sz w:val="20"/>
                <w:szCs w:val="20"/>
                <w:color w:val="auto"/>
              </w:rPr>
            </w:pPr>
            <w:r>
              <w:rPr>
                <w:rFonts w:ascii="Arial" w:cs="Arial" w:eastAsia="Arial" w:hAnsi="Arial"/>
                <w:sz w:val="14"/>
                <w:szCs w:val="14"/>
                <w:b w:val="1"/>
                <w:bCs w:val="1"/>
                <w:color w:val="55565A"/>
              </w:rPr>
              <w:t>101</w:t>
            </w:r>
          </w:p>
        </w:tc>
        <w:tc>
          <w:tcPr>
            <w:tcW w:w="1580" w:type="dxa"/>
            <w:vAlign w:val="bottom"/>
            <w:shd w:val="clear" w:color="auto" w:fill="CCEEFF"/>
          </w:tcPr>
          <w:p>
            <w:pPr>
              <w:jc w:val="right"/>
              <w:ind w:right="409"/>
              <w:spacing w:after="0" w:line="154" w:lineRule="exact"/>
              <w:rPr>
                <w:sz w:val="20"/>
                <w:szCs w:val="20"/>
                <w:color w:val="auto"/>
              </w:rPr>
            </w:pPr>
            <w:r>
              <w:rPr>
                <w:rFonts w:ascii="Arial" w:cs="Arial" w:eastAsia="Arial" w:hAnsi="Arial"/>
                <w:sz w:val="14"/>
                <w:szCs w:val="14"/>
                <w:color w:val="55565A"/>
              </w:rPr>
              <w:t>90</w:t>
            </w:r>
          </w:p>
        </w:tc>
      </w:tr>
      <w:tr>
        <w:trPr>
          <w:trHeight w:val="160"/>
        </w:trPr>
        <w:tc>
          <w:tcPr>
            <w:tcW w:w="8320" w:type="dxa"/>
            <w:vAlign w:val="bottom"/>
          </w:tcPr>
          <w:p>
            <w:pPr>
              <w:spacing w:after="0"/>
              <w:rPr>
                <w:sz w:val="20"/>
                <w:szCs w:val="20"/>
                <w:color w:val="auto"/>
              </w:rPr>
            </w:pPr>
            <w:r>
              <w:rPr>
                <w:rFonts w:ascii="Arial" w:cs="Arial" w:eastAsia="Arial" w:hAnsi="Arial"/>
                <w:sz w:val="14"/>
                <w:szCs w:val="14"/>
                <w:color w:val="55565A"/>
              </w:rPr>
              <w:t>Prepaid expenses and other current assets</w:t>
            </w:r>
          </w:p>
        </w:tc>
        <w:tc>
          <w:tcPr>
            <w:tcW w:w="1020" w:type="dxa"/>
            <w:vAlign w:val="bottom"/>
          </w:tcPr>
          <w:p>
            <w:pPr>
              <w:jc w:val="right"/>
              <w:ind w:right="569"/>
              <w:spacing w:after="0"/>
              <w:rPr>
                <w:sz w:val="20"/>
                <w:szCs w:val="20"/>
                <w:color w:val="auto"/>
              </w:rPr>
            </w:pPr>
            <w:r>
              <w:rPr>
                <w:rFonts w:ascii="Arial" w:cs="Arial" w:eastAsia="Arial" w:hAnsi="Arial"/>
                <w:sz w:val="14"/>
                <w:szCs w:val="14"/>
                <w:b w:val="1"/>
                <w:bCs w:val="1"/>
                <w:color w:val="55565A"/>
              </w:rPr>
              <w:t>3</w:t>
            </w:r>
          </w:p>
        </w:tc>
        <w:tc>
          <w:tcPr>
            <w:tcW w:w="1580" w:type="dxa"/>
            <w:vAlign w:val="bottom"/>
          </w:tcPr>
          <w:p>
            <w:pPr>
              <w:jc w:val="right"/>
              <w:ind w:right="409"/>
              <w:spacing w:after="0"/>
              <w:rPr>
                <w:sz w:val="20"/>
                <w:szCs w:val="20"/>
                <w:color w:val="auto"/>
              </w:rPr>
            </w:pPr>
            <w:r>
              <w:rPr>
                <w:rFonts w:ascii="Arial" w:cs="Arial" w:eastAsia="Arial" w:hAnsi="Arial"/>
                <w:sz w:val="14"/>
                <w:szCs w:val="14"/>
                <w:color w:val="55565A"/>
              </w:rPr>
              <w:t>24</w:t>
            </w:r>
          </w:p>
        </w:tc>
      </w:tr>
      <w:tr>
        <w:trPr>
          <w:trHeight w:val="160"/>
        </w:trPr>
        <w:tc>
          <w:tcPr>
            <w:tcW w:w="8320" w:type="dxa"/>
            <w:vAlign w:val="bottom"/>
            <w:shd w:val="clear" w:color="auto" w:fill="CCEEFF"/>
          </w:tcPr>
          <w:p>
            <w:pPr>
              <w:spacing w:after="0"/>
              <w:rPr>
                <w:sz w:val="20"/>
                <w:szCs w:val="20"/>
                <w:color w:val="auto"/>
              </w:rPr>
            </w:pPr>
            <w:r>
              <w:rPr>
                <w:rFonts w:ascii="Arial" w:cs="Arial" w:eastAsia="Arial" w:hAnsi="Arial"/>
                <w:sz w:val="14"/>
                <w:szCs w:val="14"/>
                <w:color w:val="55565A"/>
              </w:rPr>
              <w:t>Payables, accruals and provisions</w:t>
            </w:r>
          </w:p>
        </w:tc>
        <w:tc>
          <w:tcPr>
            <w:tcW w:w="102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(274)</w:t>
            </w:r>
          </w:p>
        </w:tc>
        <w:tc>
          <w:tcPr>
            <w:tcW w:w="1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(370)</w:t>
            </w:r>
          </w:p>
        </w:tc>
      </w:tr>
      <w:tr>
        <w:trPr>
          <w:trHeight w:val="160"/>
        </w:trPr>
        <w:tc>
          <w:tcPr>
            <w:tcW w:w="8320" w:type="dxa"/>
            <w:vAlign w:val="bottom"/>
          </w:tcPr>
          <w:p>
            <w:pPr>
              <w:spacing w:after="0"/>
              <w:rPr>
                <w:sz w:val="20"/>
                <w:szCs w:val="20"/>
                <w:color w:val="auto"/>
              </w:rPr>
            </w:pPr>
            <w:r>
              <w:rPr>
                <w:rFonts w:ascii="Arial" w:cs="Arial" w:eastAsia="Arial" w:hAnsi="Arial"/>
                <w:sz w:val="14"/>
                <w:szCs w:val="14"/>
                <w:color w:val="55565A"/>
              </w:rPr>
              <w:t>Deferred revenue</w:t>
            </w:r>
          </w:p>
        </w:tc>
        <w:tc>
          <w:tcPr>
            <w:tcW w:w="1020" w:type="dxa"/>
            <w:vAlign w:val="bottom"/>
          </w:tcPr>
          <w:p>
            <w:pPr>
              <w:jc w:val="right"/>
              <w:ind w:right="569"/>
              <w:spacing w:after="0"/>
              <w:rPr>
                <w:sz w:val="20"/>
                <w:szCs w:val="20"/>
                <w:color w:val="auto"/>
              </w:rPr>
            </w:pPr>
            <w:r>
              <w:rPr>
                <w:rFonts w:ascii="Arial" w:cs="Arial" w:eastAsia="Arial" w:hAnsi="Arial"/>
                <w:sz w:val="14"/>
                <w:szCs w:val="14"/>
                <w:b w:val="1"/>
                <w:bCs w:val="1"/>
                <w:color w:val="55565A"/>
              </w:rPr>
              <w:t>(76)</w:t>
            </w:r>
          </w:p>
        </w:tc>
        <w:tc>
          <w:tcPr>
            <w:tcW w:w="1580" w:type="dxa"/>
            <w:vAlign w:val="bottom"/>
          </w:tcPr>
          <w:p>
            <w:pPr>
              <w:jc w:val="right"/>
              <w:ind w:right="409"/>
              <w:spacing w:after="0"/>
              <w:rPr>
                <w:sz w:val="20"/>
                <w:szCs w:val="20"/>
                <w:color w:val="auto"/>
              </w:rPr>
            </w:pPr>
            <w:r>
              <w:rPr>
                <w:rFonts w:ascii="Arial" w:cs="Arial" w:eastAsia="Arial" w:hAnsi="Arial"/>
                <w:sz w:val="14"/>
                <w:szCs w:val="14"/>
                <w:color w:val="55565A"/>
              </w:rPr>
              <w:t>(47)</w:t>
            </w:r>
          </w:p>
        </w:tc>
      </w:tr>
      <w:tr>
        <w:trPr>
          <w:trHeight w:val="160"/>
        </w:trPr>
        <w:tc>
          <w:tcPr>
            <w:tcW w:w="8320" w:type="dxa"/>
            <w:vAlign w:val="bottom"/>
            <w:shd w:val="clear" w:color="auto" w:fill="CCEEFF"/>
          </w:tcPr>
          <w:p>
            <w:pPr>
              <w:spacing w:after="0" w:line="161" w:lineRule="exact"/>
              <w:rPr>
                <w:sz w:val="20"/>
                <w:szCs w:val="20"/>
                <w:color w:val="auto"/>
              </w:rPr>
            </w:pPr>
            <w:r>
              <w:rPr>
                <w:rFonts w:ascii="Arial" w:cs="Arial" w:eastAsia="Arial" w:hAnsi="Arial"/>
                <w:sz w:val="12"/>
                <w:szCs w:val="12"/>
                <w:color w:val="55565A"/>
              </w:rPr>
              <w:t>Income taxes</w:t>
            </w:r>
            <w:r>
              <w:rPr>
                <w:rFonts w:ascii="Arial" w:cs="Arial" w:eastAsia="Arial" w:hAnsi="Arial"/>
                <w:sz w:val="18"/>
                <w:szCs w:val="18"/>
                <w:color w:val="55565A"/>
                <w:vertAlign w:val="superscript"/>
              </w:rPr>
              <w:t>(1)</w:t>
            </w:r>
          </w:p>
        </w:tc>
        <w:tc>
          <w:tcPr>
            <w:tcW w:w="102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120</w:t>
            </w:r>
          </w:p>
        </w:tc>
        <w:tc>
          <w:tcPr>
            <w:tcW w:w="1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55565A"/>
              </w:rPr>
              <w:t>241</w:t>
            </w:r>
          </w:p>
        </w:tc>
      </w:tr>
      <w:tr>
        <w:trPr>
          <w:trHeight w:val="253"/>
        </w:trPr>
        <w:tc>
          <w:tcPr>
            <w:tcW w:w="8320" w:type="dxa"/>
            <w:vAlign w:val="bottom"/>
          </w:tcPr>
          <w:p>
            <w:pPr>
              <w:spacing w:after="0"/>
              <w:rPr>
                <w:sz w:val="20"/>
                <w:szCs w:val="20"/>
                <w:color w:val="auto"/>
              </w:rPr>
            </w:pPr>
            <w:r>
              <w:rPr>
                <w:rFonts w:ascii="Arial" w:cs="Arial" w:eastAsia="Arial" w:hAnsi="Arial"/>
                <w:sz w:val="14"/>
                <w:szCs w:val="14"/>
                <w:color w:val="55565A"/>
              </w:rPr>
              <w:t>Other</w:t>
            </w:r>
          </w:p>
        </w:tc>
        <w:tc>
          <w:tcPr>
            <w:tcW w:w="1020" w:type="dxa"/>
            <w:vAlign w:val="bottom"/>
          </w:tcPr>
          <w:p>
            <w:pPr>
              <w:jc w:val="right"/>
              <w:ind w:right="569"/>
              <w:spacing w:after="0"/>
              <w:rPr>
                <w:sz w:val="20"/>
                <w:szCs w:val="20"/>
                <w:color w:val="auto"/>
              </w:rPr>
            </w:pPr>
            <w:r>
              <w:rPr>
                <w:rFonts w:ascii="Arial" w:cs="Arial" w:eastAsia="Arial" w:hAnsi="Arial"/>
                <w:sz w:val="14"/>
                <w:szCs w:val="14"/>
                <w:b w:val="1"/>
                <w:bCs w:val="1"/>
                <w:color w:val="55565A"/>
              </w:rPr>
              <w:t>(17)</w:t>
            </w:r>
          </w:p>
        </w:tc>
        <w:tc>
          <w:tcPr>
            <w:tcW w:w="1580" w:type="dxa"/>
            <w:vAlign w:val="bottom"/>
          </w:tcPr>
          <w:p>
            <w:pPr>
              <w:jc w:val="right"/>
              <w:ind w:right="409"/>
              <w:spacing w:after="0"/>
              <w:rPr>
                <w:sz w:val="20"/>
                <w:szCs w:val="20"/>
                <w:color w:val="auto"/>
              </w:rPr>
            </w:pPr>
            <w:r>
              <w:rPr>
                <w:rFonts w:ascii="Arial" w:cs="Arial" w:eastAsia="Arial" w:hAnsi="Arial"/>
                <w:sz w:val="14"/>
                <w:szCs w:val="14"/>
                <w:color w:val="55565A"/>
              </w:rPr>
              <w:t>(18)</w:t>
            </w:r>
          </w:p>
        </w:tc>
      </w:tr>
      <w:tr>
        <w:trPr>
          <w:trHeight w:val="28"/>
        </w:trPr>
        <w:tc>
          <w:tcPr>
            <w:tcW w:w="8320" w:type="dxa"/>
            <w:vAlign w:val="bottom"/>
            <w:tcBorders>
              <w:bottom w:val="single" w:sz="8" w:color="88888B"/>
            </w:tcBorders>
          </w:tcPr>
          <w:p>
            <w:pPr>
              <w:spacing w:after="0"/>
              <w:rPr>
                <w:sz w:val="2"/>
                <w:szCs w:val="2"/>
                <w:color w:val="auto"/>
              </w:rPr>
            </w:pPr>
          </w:p>
        </w:tc>
        <w:tc>
          <w:tcPr>
            <w:tcW w:w="1020" w:type="dxa"/>
            <w:vAlign w:val="bottom"/>
            <w:tcBorders>
              <w:bottom w:val="single" w:sz="8" w:color="88888B"/>
            </w:tcBorders>
          </w:tcPr>
          <w:p>
            <w:pPr>
              <w:spacing w:after="0"/>
              <w:rPr>
                <w:sz w:val="2"/>
                <w:szCs w:val="2"/>
                <w:color w:val="auto"/>
              </w:rPr>
            </w:pPr>
          </w:p>
        </w:tc>
        <w:tc>
          <w:tcPr>
            <w:tcW w:w="1580" w:type="dxa"/>
            <w:vAlign w:val="bottom"/>
            <w:tcBorders>
              <w:bottom w:val="single" w:sz="8" w:color="88888B"/>
            </w:tcBorders>
          </w:tcPr>
          <w:p>
            <w:pPr>
              <w:spacing w:after="0"/>
              <w:rPr>
                <w:sz w:val="2"/>
                <w:szCs w:val="2"/>
                <w:color w:val="auto"/>
              </w:rPr>
            </w:pPr>
          </w:p>
        </w:tc>
      </w:tr>
      <w:tr>
        <w:trPr>
          <w:trHeight w:val="47"/>
        </w:trPr>
        <w:tc>
          <w:tcPr>
            <w:tcW w:w="8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07"/>
        </w:trPr>
        <w:tc>
          <w:tcPr>
            <w:tcW w:w="8320" w:type="dxa"/>
            <w:vAlign w:val="bottom"/>
            <w:tcBorders>
              <w:bottom w:val="single" w:sz="8" w:color="88888B"/>
            </w:tcBorders>
            <w:shd w:val="clear" w:color="auto" w:fill="CCEEFF"/>
          </w:tcPr>
          <w:p>
            <w:pPr>
              <w:spacing w:after="0"/>
              <w:rPr>
                <w:sz w:val="18"/>
                <w:szCs w:val="18"/>
                <w:color w:val="auto"/>
              </w:rPr>
            </w:pPr>
          </w:p>
        </w:tc>
        <w:tc>
          <w:tcPr>
            <w:tcW w:w="1020" w:type="dxa"/>
            <w:vAlign w:val="bottom"/>
            <w:tcBorders>
              <w:bottom w:val="single" w:sz="8" w:color="88888B"/>
            </w:tcBorders>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(143)</w:t>
            </w:r>
          </w:p>
        </w:tc>
        <w:tc>
          <w:tcPr>
            <w:tcW w:w="1580" w:type="dxa"/>
            <w:vAlign w:val="bottom"/>
            <w:tcBorders>
              <w:bottom w:val="single" w:sz="8" w:color="88888B"/>
            </w:tcBorders>
            <w:shd w:val="clear" w:color="auto" w:fill="CCEEFF"/>
          </w:tcPr>
          <w:p>
            <w:pPr>
              <w:jc w:val="right"/>
              <w:ind w:right="409"/>
              <w:spacing w:after="0"/>
              <w:rPr>
                <w:sz w:val="20"/>
                <w:szCs w:val="20"/>
                <w:color w:val="auto"/>
              </w:rPr>
            </w:pPr>
            <w:r>
              <w:rPr>
                <w:rFonts w:ascii="Arial" w:cs="Arial" w:eastAsia="Arial" w:hAnsi="Arial"/>
                <w:sz w:val="14"/>
                <w:szCs w:val="14"/>
                <w:color w:val="55565A"/>
              </w:rPr>
              <w:t>(80)</w:t>
            </w:r>
          </w:p>
        </w:tc>
      </w:tr>
    </w:tbl>
    <w:p>
      <w:pPr>
        <w:spacing w:after="0" w:line="102" w:lineRule="exact"/>
        <w:rPr>
          <w:sz w:val="20"/>
          <w:szCs w:val="20"/>
          <w:color w:val="auto"/>
        </w:rPr>
      </w:pPr>
    </w:p>
    <w:p>
      <w:pPr>
        <w:ind w:left="320" w:hanging="313"/>
        <w:spacing w:after="0"/>
        <w:tabs>
          <w:tab w:leader="none" w:pos="320" w:val="left"/>
        </w:tabs>
        <w:numPr>
          <w:ilvl w:val="0"/>
          <w:numId w:val="36"/>
        </w:numPr>
        <w:rPr>
          <w:rFonts w:ascii="Arial" w:cs="Arial" w:eastAsia="Arial" w:hAnsi="Arial"/>
          <w:sz w:val="12"/>
          <w:szCs w:val="12"/>
          <w:color w:val="55565A"/>
        </w:rPr>
      </w:pPr>
      <w:r>
        <w:rPr>
          <w:rFonts w:ascii="Arial" w:cs="Arial" w:eastAsia="Arial" w:hAnsi="Arial"/>
          <w:sz w:val="12"/>
          <w:szCs w:val="12"/>
          <w:color w:val="55565A"/>
        </w:rPr>
        <w:t>Both periods include current tax liabilities that were recorded on the sale of LSEG shares (see note 8), for which the tax payments are included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55</w:t>
      </w:r>
    </w:p>
    <w:p>
      <w:pPr>
        <w:sectPr>
          <w:pgSz w:w="11900" w:h="16838" w:orient="portrait"/>
          <w:cols w:equalWidth="0" w:num="1">
            <w:col w:w="10920"/>
          </w:cols>
          <w:pgMar w:left="480" w:top="1440" w:right="49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55565A"/>
        </w:rPr>
        <w:t>Details of income taxes paid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9297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2"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55565A"/>
        </w:rPr>
        <w:t>Three months ended March 31,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300" w:type="dxa"/>
            <w:vAlign w:val="bottom"/>
          </w:tcPr>
          <w:p>
            <w:pPr>
              <w:ind w:left="8200"/>
              <w:spacing w:after="0"/>
              <w:rPr>
                <w:sz w:val="20"/>
                <w:szCs w:val="20"/>
                <w:color w:val="auto"/>
              </w:rPr>
            </w:pPr>
            <w:r>
              <w:rPr>
                <w:rFonts w:ascii="Arial" w:cs="Arial" w:eastAsia="Arial" w:hAnsi="Arial"/>
                <w:sz w:val="11"/>
                <w:szCs w:val="11"/>
                <w:b w:val="1"/>
                <w:bCs w:val="1"/>
                <w:color w:val="55565A"/>
                <w:w w:val="72"/>
              </w:rPr>
              <w:t> </w:t>
            </w:r>
          </w:p>
        </w:tc>
        <w:tc>
          <w:tcPr>
            <w:tcW w:w="1000" w:type="dxa"/>
            <w:vAlign w:val="bottom"/>
          </w:tcPr>
          <w:p>
            <w:pPr>
              <w:jc w:val="right"/>
              <w:ind w:right="569"/>
              <w:spacing w:after="0"/>
              <w:rPr>
                <w:sz w:val="20"/>
                <w:szCs w:val="20"/>
                <w:color w:val="auto"/>
              </w:rPr>
            </w:pPr>
            <w:r>
              <w:rPr>
                <w:rFonts w:ascii="Arial" w:cs="Arial" w:eastAsia="Arial" w:hAnsi="Arial"/>
                <w:sz w:val="14"/>
                <w:szCs w:val="14"/>
                <w:b w:val="1"/>
                <w:bCs w:val="1"/>
                <w:color w:val="55565A"/>
              </w:rPr>
              <w:t>2024</w:t>
            </w:r>
          </w:p>
        </w:tc>
        <w:tc>
          <w:tcPr>
            <w:tcW w:w="1600" w:type="dxa"/>
            <w:vAlign w:val="bottom"/>
          </w:tcPr>
          <w:p>
            <w:pPr>
              <w:jc w:val="right"/>
              <w:ind w:right="429"/>
              <w:spacing w:after="0"/>
              <w:rPr>
                <w:sz w:val="20"/>
                <w:szCs w:val="20"/>
                <w:color w:val="auto"/>
              </w:rPr>
            </w:pPr>
            <w:r>
              <w:rPr>
                <w:rFonts w:ascii="Arial" w:cs="Arial" w:eastAsia="Arial" w:hAnsi="Arial"/>
                <w:sz w:val="14"/>
                <w:szCs w:val="14"/>
                <w:color w:val="55565A"/>
              </w:rPr>
              <w:t>   2023</w:t>
            </w:r>
          </w:p>
        </w:tc>
        <w:tc>
          <w:tcPr>
            <w:tcW w:w="0" w:type="dxa"/>
            <w:vAlign w:val="bottom"/>
          </w:tcPr>
          <w:p>
            <w:pPr>
              <w:spacing w:after="0"/>
              <w:rPr>
                <w:sz w:val="1"/>
                <w:szCs w:val="1"/>
                <w:color w:val="auto"/>
              </w:rPr>
            </w:pPr>
          </w:p>
        </w:tc>
      </w:tr>
      <w:tr>
        <w:trPr>
          <w:trHeight w:val="28"/>
        </w:trPr>
        <w:tc>
          <w:tcPr>
            <w:tcW w:w="83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300" w:type="dxa"/>
            <w:vAlign w:val="bottom"/>
            <w:tcBorders>
              <w:top w:val="single" w:sz="8" w:color="88888B"/>
            </w:tcBorders>
            <w:shd w:val="clear" w:color="auto" w:fill="CCEEFF"/>
          </w:tcPr>
          <w:p>
            <w:pPr>
              <w:spacing w:after="0" w:line="154" w:lineRule="exact"/>
              <w:rPr>
                <w:sz w:val="20"/>
                <w:szCs w:val="20"/>
                <w:color w:val="auto"/>
              </w:rPr>
            </w:pPr>
            <w:r>
              <w:rPr>
                <w:rFonts w:ascii="Arial" w:cs="Arial" w:eastAsia="Arial" w:hAnsi="Arial"/>
                <w:sz w:val="14"/>
                <w:szCs w:val="14"/>
                <w:color w:val="55565A"/>
              </w:rPr>
              <w:t>Operating activities - continuing operations</w:t>
            </w:r>
          </w:p>
        </w:tc>
        <w:tc>
          <w:tcPr>
            <w:tcW w:w="1000" w:type="dxa"/>
            <w:vAlign w:val="bottom"/>
            <w:tcBorders>
              <w:top w:val="single" w:sz="8" w:color="88888B"/>
            </w:tcBorders>
            <w:shd w:val="clear" w:color="auto" w:fill="CCEEFF"/>
          </w:tcPr>
          <w:p>
            <w:pPr>
              <w:jc w:val="right"/>
              <w:ind w:right="569"/>
              <w:spacing w:after="0" w:line="154" w:lineRule="exact"/>
              <w:rPr>
                <w:sz w:val="20"/>
                <w:szCs w:val="20"/>
                <w:color w:val="auto"/>
              </w:rPr>
            </w:pPr>
            <w:r>
              <w:rPr>
                <w:rFonts w:ascii="Arial" w:cs="Arial" w:eastAsia="Arial" w:hAnsi="Arial"/>
                <w:sz w:val="14"/>
                <w:szCs w:val="14"/>
                <w:b w:val="1"/>
                <w:bCs w:val="1"/>
                <w:color w:val="55565A"/>
              </w:rPr>
              <w:t>(97)</w:t>
            </w:r>
          </w:p>
        </w:tc>
        <w:tc>
          <w:tcPr>
            <w:tcW w:w="1600" w:type="dxa"/>
            <w:vAlign w:val="bottom"/>
            <w:tcBorders>
              <w:top w:val="single" w:sz="8" w:color="88888B"/>
            </w:tcBorders>
            <w:shd w:val="clear" w:color="auto" w:fill="CCEEFF"/>
          </w:tcPr>
          <w:p>
            <w:pPr>
              <w:jc w:val="right"/>
              <w:ind w:right="429"/>
              <w:spacing w:after="0" w:line="154" w:lineRule="exact"/>
              <w:rPr>
                <w:sz w:val="20"/>
                <w:szCs w:val="20"/>
                <w:color w:val="auto"/>
              </w:rPr>
            </w:pPr>
            <w:r>
              <w:rPr>
                <w:rFonts w:ascii="Arial" w:cs="Arial" w:eastAsia="Arial" w:hAnsi="Arial"/>
                <w:sz w:val="14"/>
                <w:szCs w:val="14"/>
                <w:color w:val="55565A"/>
              </w:rPr>
              <w:t>(82)</w:t>
            </w:r>
          </w:p>
        </w:tc>
        <w:tc>
          <w:tcPr>
            <w:tcW w:w="0" w:type="dxa"/>
            <w:vAlign w:val="bottom"/>
          </w:tcPr>
          <w:p>
            <w:pPr>
              <w:spacing w:after="0"/>
              <w:rPr>
                <w:sz w:val="1"/>
                <w:szCs w:val="1"/>
                <w:color w:val="auto"/>
              </w:rPr>
            </w:pPr>
          </w:p>
        </w:tc>
      </w:tr>
      <w:tr>
        <w:trPr>
          <w:trHeight w:val="253"/>
        </w:trPr>
        <w:tc>
          <w:tcPr>
            <w:tcW w:w="8320" w:type="dxa"/>
            <w:vAlign w:val="bottom"/>
            <w:gridSpan w:val="2"/>
          </w:tcPr>
          <w:p>
            <w:pPr>
              <w:spacing w:after="0"/>
              <w:rPr>
                <w:sz w:val="20"/>
                <w:szCs w:val="20"/>
                <w:color w:val="auto"/>
              </w:rPr>
            </w:pPr>
            <w:r>
              <w:rPr>
                <w:rFonts w:ascii="Arial" w:cs="Arial" w:eastAsia="Arial" w:hAnsi="Arial"/>
                <w:sz w:val="14"/>
                <w:szCs w:val="14"/>
                <w:color w:val="55565A"/>
              </w:rPr>
              <w:t>Investing activities - continuing operations</w:t>
            </w:r>
          </w:p>
        </w:tc>
        <w:tc>
          <w:tcPr>
            <w:tcW w:w="1000" w:type="dxa"/>
            <w:vAlign w:val="bottom"/>
          </w:tcPr>
          <w:p>
            <w:pPr>
              <w:jc w:val="right"/>
              <w:ind w:right="569"/>
              <w:spacing w:after="0"/>
              <w:rPr>
                <w:sz w:val="20"/>
                <w:szCs w:val="20"/>
                <w:color w:val="auto"/>
              </w:rPr>
            </w:pPr>
            <w:r>
              <w:rPr>
                <w:rFonts w:ascii="Arial" w:cs="Arial" w:eastAsia="Arial" w:hAnsi="Arial"/>
                <w:sz w:val="14"/>
                <w:szCs w:val="14"/>
                <w:b w:val="1"/>
                <w:bCs w:val="1"/>
                <w:color w:val="55565A"/>
              </w:rPr>
              <w:t>(16)</w:t>
            </w:r>
          </w:p>
        </w:tc>
        <w:tc>
          <w:tcPr>
            <w:tcW w:w="1600" w:type="dxa"/>
            <w:vAlign w:val="bottom"/>
          </w:tcPr>
          <w:p>
            <w:pPr>
              <w:jc w:val="right"/>
              <w:ind w:right="429"/>
              <w:spacing w:after="0"/>
              <w:rPr>
                <w:sz w:val="20"/>
                <w:szCs w:val="20"/>
                <w:color w:val="auto"/>
              </w:rPr>
            </w:pPr>
            <w:r>
              <w:rPr>
                <w:rFonts w:ascii="Arial" w:cs="Arial" w:eastAsia="Arial" w:hAnsi="Arial"/>
                <w:sz w:val="14"/>
                <w:szCs w:val="14"/>
                <w:color w:val="55565A"/>
              </w:rPr>
              <w:t>(18)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300" w:type="dxa"/>
            <w:vAlign w:val="bottom"/>
            <w:tcBorders>
              <w:bottom w:val="single" w:sz="8" w:color="88888B"/>
            </w:tcBorders>
          </w:tcPr>
          <w:p>
            <w:pPr>
              <w:spacing w:after="0"/>
              <w:rPr>
                <w:sz w:val="2"/>
                <w:szCs w:val="2"/>
                <w:color w:val="auto"/>
              </w:rPr>
            </w:pPr>
          </w:p>
        </w:tc>
        <w:tc>
          <w:tcPr>
            <w:tcW w:w="1000" w:type="dxa"/>
            <w:vAlign w:val="bottom"/>
            <w:tcBorders>
              <w:bottom w:val="single" w:sz="8" w:color="88888B"/>
            </w:tcBorders>
          </w:tcPr>
          <w:p>
            <w:pPr>
              <w:spacing w:after="0"/>
              <w:rPr>
                <w:sz w:val="2"/>
                <w:szCs w:val="2"/>
                <w:color w:val="auto"/>
              </w:rPr>
            </w:pPr>
          </w:p>
        </w:tc>
        <w:tc>
          <w:tcPr>
            <w:tcW w:w="160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830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Total income taxes paid</w:t>
            </w:r>
          </w:p>
        </w:tc>
        <w:tc>
          <w:tcPr>
            <w:tcW w:w="1000" w:type="dxa"/>
            <w:vAlign w:val="bottom"/>
            <w:tcBorders>
              <w:bottom w:val="single" w:sz="8" w:color="88888B"/>
            </w:tcBorders>
            <w:shd w:val="clear" w:color="auto" w:fill="CCEEFF"/>
          </w:tcPr>
          <w:p>
            <w:pPr>
              <w:jc w:val="right"/>
              <w:ind w:right="569"/>
              <w:spacing w:after="0"/>
              <w:rPr>
                <w:sz w:val="20"/>
                <w:szCs w:val="20"/>
                <w:color w:val="auto"/>
              </w:rPr>
            </w:pPr>
            <w:r>
              <w:rPr>
                <w:rFonts w:ascii="Arial" w:cs="Arial" w:eastAsia="Arial" w:hAnsi="Arial"/>
                <w:sz w:val="14"/>
                <w:szCs w:val="14"/>
                <w:b w:val="1"/>
                <w:bCs w:val="1"/>
                <w:color w:val="55565A"/>
              </w:rPr>
              <w:t>(113)</w:t>
            </w:r>
          </w:p>
        </w:tc>
        <w:tc>
          <w:tcPr>
            <w:tcW w:w="1600" w:type="dxa"/>
            <w:vAlign w:val="bottom"/>
            <w:tcBorders>
              <w:bottom w:val="single" w:sz="8" w:color="88888B"/>
            </w:tcBorders>
            <w:shd w:val="clear" w:color="auto" w:fill="CCEEFF"/>
          </w:tcPr>
          <w:p>
            <w:pPr>
              <w:jc w:val="right"/>
              <w:ind w:right="429"/>
              <w:spacing w:after="0"/>
              <w:rPr>
                <w:sz w:val="20"/>
                <w:szCs w:val="20"/>
                <w:color w:val="auto"/>
              </w:rPr>
            </w:pPr>
            <w:r>
              <w:rPr>
                <w:rFonts w:ascii="Arial" w:cs="Arial" w:eastAsia="Arial" w:hAnsi="Arial"/>
                <w:sz w:val="14"/>
                <w:szCs w:val="14"/>
                <w:color w:val="55565A"/>
              </w:rPr>
              <w:t>(100)</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17: Acquisitions</w:t>
      </w:r>
    </w:p>
    <w:p>
      <w:pPr>
        <w:spacing w:after="0" w:line="10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55565A"/>
        </w:rPr>
        <w:t>In 2024, acquisitions of businesses included the purchase of a controlling equity interest in Pagero. All other acquisition activity in both years comprised the purchase of all the equity interests of the businesses acquired. Acquisitions are integrated into existing operations of the Company to broaden its offerings to customers as well as its presence in global markets. The results of acquired businesses are included in the consolidated financial statements from the date of acquisition. Acquisitions also include investments in businesses in which the Company does not have a controlling interest.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Acquisition activity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5565A"/>
        </w:rPr>
        <w:t>The number of acquisitions completed, and the related consideration for the three months ended March 31, 2024 and 2023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Borders>
              <w:top w:val="single" w:sz="8" w:color="88888B"/>
            </w:tcBorders>
          </w:tcPr>
          <w:p>
            <w:pPr>
              <w:spacing w:after="0"/>
              <w:rPr>
                <w:sz w:val="18"/>
                <w:szCs w:val="18"/>
                <w:color w:val="auto"/>
              </w:rPr>
            </w:pPr>
          </w:p>
        </w:tc>
        <w:tc>
          <w:tcPr>
            <w:tcW w:w="2220" w:type="dxa"/>
            <w:vAlign w:val="bottom"/>
            <w:tcBorders>
              <w:top w:val="single" w:sz="8" w:color="88888B"/>
            </w:tcBorders>
          </w:tcPr>
          <w:p>
            <w:pPr>
              <w:spacing w:after="0"/>
              <w:rPr>
                <w:sz w:val="18"/>
                <w:szCs w:val="18"/>
                <w:color w:val="auto"/>
              </w:rPr>
            </w:pPr>
          </w:p>
        </w:tc>
        <w:tc>
          <w:tcPr>
            <w:tcW w:w="2900" w:type="dxa"/>
            <w:vAlign w:val="bottom"/>
            <w:tcBorders>
              <w:top w:val="single" w:sz="8" w:color="88888B"/>
            </w:tcBorders>
            <w:gridSpan w:val="2"/>
          </w:tcPr>
          <w:p>
            <w:pPr>
              <w:jc w:val="right"/>
              <w:ind w:right="329"/>
              <w:spacing w:after="0"/>
              <w:rPr>
                <w:sz w:val="20"/>
                <w:szCs w:val="20"/>
                <w:color w:val="auto"/>
              </w:rPr>
            </w:pPr>
            <w:r>
              <w:rPr>
                <w:rFonts w:ascii="Arial" w:cs="Arial" w:eastAsia="Arial" w:hAnsi="Arial"/>
                <w:sz w:val="14"/>
                <w:szCs w:val="14"/>
                <w:b w:val="1"/>
                <w:bCs w:val="1"/>
                <w:color w:val="55565A"/>
              </w:rPr>
              <w:t>Three months ended March 31,</w:t>
            </w:r>
          </w:p>
        </w:tc>
        <w:tc>
          <w:tcPr>
            <w:tcW w:w="2060" w:type="dxa"/>
            <w:vAlign w:val="bottom"/>
            <w:tcBorders>
              <w:top w:val="single" w:sz="8" w:color="88888B"/>
            </w:tcBorders>
          </w:tcPr>
          <w:p>
            <w:pPr>
              <w:spacing w:after="0"/>
              <w:rPr>
                <w:sz w:val="18"/>
                <w:szCs w:val="18"/>
                <w:color w:val="auto"/>
              </w:rPr>
            </w:pPr>
          </w:p>
        </w:tc>
      </w:tr>
      <w:tr>
        <w:trPr>
          <w:trHeight w:val="214"/>
        </w:trPr>
        <w:tc>
          <w:tcPr>
            <w:tcW w:w="3740" w:type="dxa"/>
            <w:vAlign w:val="bottom"/>
          </w:tcPr>
          <w:p>
            <w:pPr>
              <w:spacing w:after="0"/>
              <w:rPr>
                <w:sz w:val="18"/>
                <w:szCs w:val="18"/>
                <w:color w:val="auto"/>
              </w:rPr>
            </w:pPr>
          </w:p>
        </w:tc>
        <w:tc>
          <w:tcPr>
            <w:tcW w:w="2220" w:type="dxa"/>
            <w:vAlign w:val="bottom"/>
          </w:tcPr>
          <w:p>
            <w:pPr>
              <w:jc w:val="right"/>
              <w:ind w:right="29"/>
              <w:spacing w:after="0"/>
              <w:rPr>
                <w:sz w:val="20"/>
                <w:szCs w:val="20"/>
                <w:color w:val="auto"/>
              </w:rPr>
            </w:pPr>
            <w:r>
              <w:rPr>
                <w:rFonts w:ascii="Arial" w:cs="Arial" w:eastAsia="Arial" w:hAnsi="Arial"/>
                <w:sz w:val="14"/>
                <w:szCs w:val="14"/>
                <w:b w:val="1"/>
                <w:bCs w:val="1"/>
                <w:color w:val="55565A"/>
              </w:rPr>
              <w:t>2024</w:t>
            </w: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60" w:type="dxa"/>
            <w:vAlign w:val="bottom"/>
          </w:tcPr>
          <w:p>
            <w:pPr>
              <w:jc w:val="right"/>
              <w:ind w:right="1529"/>
              <w:spacing w:after="0"/>
              <w:rPr>
                <w:sz w:val="20"/>
                <w:szCs w:val="20"/>
                <w:color w:val="auto"/>
              </w:rPr>
            </w:pPr>
            <w:r>
              <w:rPr>
                <w:rFonts w:ascii="Arial" w:cs="Arial" w:eastAsia="Arial" w:hAnsi="Arial"/>
                <w:sz w:val="14"/>
                <w:szCs w:val="14"/>
                <w:b w:val="1"/>
                <w:bCs w:val="1"/>
                <w:color w:val="55565A"/>
              </w:rPr>
              <w:t>2023</w:t>
            </w:r>
          </w:p>
        </w:tc>
      </w:tr>
      <w:tr>
        <w:trPr>
          <w:trHeight w:val="28"/>
        </w:trPr>
        <w:tc>
          <w:tcPr>
            <w:tcW w:w="3740" w:type="dxa"/>
            <w:vAlign w:val="bottom"/>
            <w:tcBorders>
              <w:bottom w:val="single" w:sz="8" w:color="88888B"/>
            </w:tcBorders>
          </w:tcPr>
          <w:p>
            <w:pPr>
              <w:spacing w:after="0"/>
              <w:rPr>
                <w:sz w:val="2"/>
                <w:szCs w:val="2"/>
                <w:color w:val="auto"/>
              </w:rPr>
            </w:pPr>
          </w:p>
        </w:tc>
        <w:tc>
          <w:tcPr>
            <w:tcW w:w="2220" w:type="dxa"/>
            <w:vAlign w:val="bottom"/>
            <w:tcBorders>
              <w:bottom w:val="single" w:sz="8" w:color="88888B"/>
            </w:tcBorders>
          </w:tcPr>
          <w:p>
            <w:pPr>
              <w:spacing w:after="0"/>
              <w:rPr>
                <w:sz w:val="2"/>
                <w:szCs w:val="2"/>
                <w:color w:val="auto"/>
              </w:rPr>
            </w:pPr>
          </w:p>
        </w:tc>
        <w:tc>
          <w:tcPr>
            <w:tcW w:w="1500" w:type="dxa"/>
            <w:vAlign w:val="bottom"/>
            <w:tcBorders>
              <w:bottom w:val="single" w:sz="8" w:color="88888B"/>
            </w:tcBorders>
          </w:tcPr>
          <w:p>
            <w:pPr>
              <w:spacing w:after="0"/>
              <w:rPr>
                <w:sz w:val="2"/>
                <w:szCs w:val="2"/>
                <w:color w:val="auto"/>
              </w:rPr>
            </w:pPr>
          </w:p>
        </w:tc>
        <w:tc>
          <w:tcPr>
            <w:tcW w:w="1400" w:type="dxa"/>
            <w:vAlign w:val="bottom"/>
            <w:tcBorders>
              <w:bottom w:val="single" w:sz="8" w:color="88888B"/>
            </w:tcBorders>
          </w:tcPr>
          <w:p>
            <w:pPr>
              <w:spacing w:after="0"/>
              <w:rPr>
                <w:sz w:val="2"/>
                <w:szCs w:val="2"/>
                <w:color w:val="auto"/>
              </w:rPr>
            </w:pPr>
          </w:p>
        </w:tc>
        <w:tc>
          <w:tcPr>
            <w:tcW w:w="2060" w:type="dxa"/>
            <w:vAlign w:val="bottom"/>
            <w:tcBorders>
              <w:bottom w:val="single" w:sz="8" w:color="88888B"/>
            </w:tcBorders>
          </w:tcPr>
          <w:p>
            <w:pPr>
              <w:spacing w:after="0"/>
              <w:rPr>
                <w:sz w:val="2"/>
                <w:szCs w:val="2"/>
                <w:color w:val="auto"/>
              </w:rPr>
            </w:pPr>
          </w:p>
        </w:tc>
      </w:tr>
      <w:tr>
        <w:trPr>
          <w:trHeight w:val="145"/>
        </w:trPr>
        <w:tc>
          <w:tcPr>
            <w:tcW w:w="3740" w:type="dxa"/>
            <w:vAlign w:val="bottom"/>
          </w:tcPr>
          <w:p>
            <w:pPr>
              <w:spacing w:after="0"/>
              <w:rPr>
                <w:sz w:val="12"/>
                <w:szCs w:val="12"/>
                <w:color w:val="auto"/>
              </w:rPr>
            </w:pPr>
          </w:p>
        </w:tc>
        <w:tc>
          <w:tcPr>
            <w:tcW w:w="2220" w:type="dxa"/>
            <w:vAlign w:val="bottom"/>
          </w:tcPr>
          <w:p>
            <w:pPr>
              <w:jc w:val="right"/>
              <w:ind w:right="709"/>
              <w:spacing w:after="0" w:line="145" w:lineRule="exact"/>
              <w:rPr>
                <w:sz w:val="20"/>
                <w:szCs w:val="20"/>
                <w:color w:val="auto"/>
              </w:rPr>
            </w:pPr>
            <w:r>
              <w:rPr>
                <w:rFonts w:ascii="Arial" w:cs="Arial" w:eastAsia="Arial" w:hAnsi="Arial"/>
                <w:sz w:val="14"/>
                <w:szCs w:val="14"/>
                <w:b w:val="1"/>
                <w:bCs w:val="1"/>
                <w:color w:val="55565A"/>
              </w:rPr>
              <w:t>Number of</w:t>
            </w:r>
          </w:p>
        </w:tc>
        <w:tc>
          <w:tcPr>
            <w:tcW w:w="1500" w:type="dxa"/>
            <w:vAlign w:val="bottom"/>
          </w:tcPr>
          <w:p>
            <w:pPr>
              <w:jc w:val="right"/>
              <w:ind w:right="689"/>
              <w:spacing w:after="0" w:line="145" w:lineRule="exact"/>
              <w:rPr>
                <w:sz w:val="20"/>
                <w:szCs w:val="20"/>
                <w:color w:val="auto"/>
              </w:rPr>
            </w:pPr>
            <w:r>
              <w:rPr>
                <w:rFonts w:ascii="Arial" w:cs="Arial" w:eastAsia="Arial" w:hAnsi="Arial"/>
                <w:sz w:val="14"/>
                <w:szCs w:val="14"/>
                <w:b w:val="1"/>
                <w:bCs w:val="1"/>
                <w:color w:val="55565A"/>
              </w:rPr>
              <w:t>Cash</w:t>
            </w:r>
          </w:p>
        </w:tc>
        <w:tc>
          <w:tcPr>
            <w:tcW w:w="1400" w:type="dxa"/>
            <w:vAlign w:val="bottom"/>
          </w:tcPr>
          <w:p>
            <w:pPr>
              <w:jc w:val="right"/>
              <w:ind w:right="169"/>
              <w:spacing w:after="0" w:line="145" w:lineRule="exact"/>
              <w:rPr>
                <w:sz w:val="20"/>
                <w:szCs w:val="20"/>
                <w:color w:val="auto"/>
              </w:rPr>
            </w:pPr>
            <w:r>
              <w:rPr>
                <w:rFonts w:ascii="Arial" w:cs="Arial" w:eastAsia="Arial" w:hAnsi="Arial"/>
                <w:sz w:val="14"/>
                <w:szCs w:val="14"/>
                <w:color w:val="55565A"/>
              </w:rPr>
              <w:t>Number of</w:t>
            </w:r>
          </w:p>
        </w:tc>
        <w:tc>
          <w:tcPr>
            <w:tcW w:w="2060" w:type="dxa"/>
            <w:vAlign w:val="bottom"/>
          </w:tcPr>
          <w:p>
            <w:pPr>
              <w:jc w:val="right"/>
              <w:ind w:right="669"/>
              <w:spacing w:after="0" w:line="145" w:lineRule="exact"/>
              <w:rPr>
                <w:sz w:val="20"/>
                <w:szCs w:val="20"/>
                <w:color w:val="auto"/>
              </w:rPr>
            </w:pPr>
            <w:r>
              <w:rPr>
                <w:rFonts w:ascii="Arial" w:cs="Arial" w:eastAsia="Arial" w:hAnsi="Arial"/>
                <w:sz w:val="14"/>
                <w:szCs w:val="14"/>
                <w:color w:val="55565A"/>
              </w:rPr>
              <w:t>Cash</w:t>
            </w:r>
          </w:p>
        </w:tc>
      </w:tr>
      <w:tr>
        <w:trPr>
          <w:trHeight w:val="195"/>
        </w:trPr>
        <w:tc>
          <w:tcPr>
            <w:tcW w:w="3740" w:type="dxa"/>
            <w:vAlign w:val="bottom"/>
          </w:tcPr>
          <w:p>
            <w:pPr>
              <w:spacing w:after="0"/>
              <w:rPr>
                <w:sz w:val="16"/>
                <w:szCs w:val="16"/>
                <w:color w:val="auto"/>
              </w:rPr>
            </w:pPr>
          </w:p>
        </w:tc>
        <w:tc>
          <w:tcPr>
            <w:tcW w:w="2220" w:type="dxa"/>
            <w:vAlign w:val="bottom"/>
          </w:tcPr>
          <w:p>
            <w:pPr>
              <w:jc w:val="right"/>
              <w:ind w:right="629"/>
              <w:spacing w:after="0"/>
              <w:rPr>
                <w:sz w:val="20"/>
                <w:szCs w:val="20"/>
                <w:color w:val="auto"/>
              </w:rPr>
            </w:pPr>
            <w:r>
              <w:rPr>
                <w:rFonts w:ascii="Arial" w:cs="Arial" w:eastAsia="Arial" w:hAnsi="Arial"/>
                <w:sz w:val="14"/>
                <w:szCs w:val="14"/>
                <w:b w:val="1"/>
                <w:bCs w:val="1"/>
                <w:color w:val="55565A"/>
              </w:rPr>
              <w:t>Transactions</w:t>
            </w:r>
          </w:p>
        </w:tc>
        <w:tc>
          <w:tcPr>
            <w:tcW w:w="1500" w:type="dxa"/>
            <w:vAlign w:val="bottom"/>
          </w:tcPr>
          <w:p>
            <w:pPr>
              <w:jc w:val="right"/>
              <w:ind w:right="369"/>
              <w:spacing w:after="0"/>
              <w:rPr>
                <w:sz w:val="20"/>
                <w:szCs w:val="20"/>
                <w:color w:val="auto"/>
              </w:rPr>
            </w:pPr>
            <w:r>
              <w:rPr>
                <w:rFonts w:ascii="Arial" w:cs="Arial" w:eastAsia="Arial" w:hAnsi="Arial"/>
                <w:sz w:val="14"/>
                <w:szCs w:val="14"/>
                <w:b w:val="1"/>
                <w:bCs w:val="1"/>
                <w:color w:val="55565A"/>
              </w:rPr>
              <w:t>Consideration</w:t>
            </w:r>
          </w:p>
        </w:tc>
        <w:tc>
          <w:tcPr>
            <w:tcW w:w="1400" w:type="dxa"/>
            <w:vAlign w:val="bottom"/>
          </w:tcPr>
          <w:p>
            <w:pPr>
              <w:jc w:val="right"/>
              <w:ind w:right="89"/>
              <w:spacing w:after="0"/>
              <w:rPr>
                <w:sz w:val="20"/>
                <w:szCs w:val="20"/>
                <w:color w:val="auto"/>
              </w:rPr>
            </w:pPr>
            <w:r>
              <w:rPr>
                <w:rFonts w:ascii="Arial" w:cs="Arial" w:eastAsia="Arial" w:hAnsi="Arial"/>
                <w:sz w:val="14"/>
                <w:szCs w:val="14"/>
                <w:color w:val="55565A"/>
              </w:rPr>
              <w:t>Transactions</w:t>
            </w:r>
          </w:p>
        </w:tc>
        <w:tc>
          <w:tcPr>
            <w:tcW w:w="2060" w:type="dxa"/>
            <w:vAlign w:val="bottom"/>
          </w:tcPr>
          <w:p>
            <w:pPr>
              <w:jc w:val="right"/>
              <w:ind w:right="389"/>
              <w:spacing w:after="0"/>
              <w:rPr>
                <w:sz w:val="20"/>
                <w:szCs w:val="20"/>
                <w:color w:val="auto"/>
              </w:rPr>
            </w:pPr>
            <w:r>
              <w:rPr>
                <w:rFonts w:ascii="Arial" w:cs="Arial" w:eastAsia="Arial" w:hAnsi="Arial"/>
                <w:sz w:val="14"/>
                <w:szCs w:val="14"/>
                <w:color w:val="55565A"/>
              </w:rPr>
              <w:t>Consideration</w:t>
            </w:r>
          </w:p>
        </w:tc>
      </w:tr>
      <w:tr>
        <w:trPr>
          <w:trHeight w:val="28"/>
        </w:trPr>
        <w:tc>
          <w:tcPr>
            <w:tcW w:w="3740" w:type="dxa"/>
            <w:vAlign w:val="bottom"/>
            <w:tcBorders>
              <w:bottom w:val="single" w:sz="8" w:color="88888B"/>
            </w:tcBorders>
          </w:tcPr>
          <w:p>
            <w:pPr>
              <w:spacing w:after="0"/>
              <w:rPr>
                <w:sz w:val="2"/>
                <w:szCs w:val="2"/>
                <w:color w:val="auto"/>
              </w:rPr>
            </w:pPr>
          </w:p>
        </w:tc>
        <w:tc>
          <w:tcPr>
            <w:tcW w:w="2220" w:type="dxa"/>
            <w:vAlign w:val="bottom"/>
            <w:tcBorders>
              <w:bottom w:val="single" w:sz="8" w:color="88888B"/>
            </w:tcBorders>
          </w:tcPr>
          <w:p>
            <w:pPr>
              <w:spacing w:after="0"/>
              <w:rPr>
                <w:sz w:val="2"/>
                <w:szCs w:val="2"/>
                <w:color w:val="auto"/>
              </w:rPr>
            </w:pPr>
          </w:p>
        </w:tc>
        <w:tc>
          <w:tcPr>
            <w:tcW w:w="1500" w:type="dxa"/>
            <w:vAlign w:val="bottom"/>
            <w:tcBorders>
              <w:bottom w:val="single" w:sz="8" w:color="88888B"/>
            </w:tcBorders>
          </w:tcPr>
          <w:p>
            <w:pPr>
              <w:spacing w:after="0"/>
              <w:rPr>
                <w:sz w:val="2"/>
                <w:szCs w:val="2"/>
                <w:color w:val="auto"/>
              </w:rPr>
            </w:pPr>
          </w:p>
        </w:tc>
        <w:tc>
          <w:tcPr>
            <w:tcW w:w="1400" w:type="dxa"/>
            <w:vAlign w:val="bottom"/>
            <w:tcBorders>
              <w:bottom w:val="single" w:sz="8" w:color="88888B"/>
            </w:tcBorders>
          </w:tcPr>
          <w:p>
            <w:pPr>
              <w:spacing w:after="0"/>
              <w:rPr>
                <w:sz w:val="2"/>
                <w:szCs w:val="2"/>
                <w:color w:val="auto"/>
              </w:rPr>
            </w:pPr>
          </w:p>
        </w:tc>
        <w:tc>
          <w:tcPr>
            <w:tcW w:w="2060" w:type="dxa"/>
            <w:vAlign w:val="bottom"/>
            <w:tcBorders>
              <w:bottom w:val="single" w:sz="8" w:color="88888B"/>
            </w:tcBorders>
          </w:tcPr>
          <w:p>
            <w:pPr>
              <w:spacing w:after="0"/>
              <w:rPr>
                <w:sz w:val="2"/>
                <w:szCs w:val="2"/>
                <w:color w:val="auto"/>
              </w:rPr>
            </w:pPr>
          </w:p>
        </w:tc>
      </w:tr>
      <w:tr>
        <w:trPr>
          <w:trHeight w:val="154"/>
        </w:trPr>
        <w:tc>
          <w:tcPr>
            <w:tcW w:w="374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Business acquired</w:t>
            </w:r>
          </w:p>
        </w:tc>
        <w:tc>
          <w:tcPr>
            <w:tcW w:w="2220" w:type="dxa"/>
            <w:vAlign w:val="bottom"/>
            <w:shd w:val="clear" w:color="auto" w:fill="CCEEFF"/>
          </w:tcPr>
          <w:p>
            <w:pPr>
              <w:jc w:val="right"/>
              <w:ind w:right="629"/>
              <w:spacing w:after="0" w:line="154" w:lineRule="exact"/>
              <w:rPr>
                <w:sz w:val="20"/>
                <w:szCs w:val="20"/>
                <w:color w:val="auto"/>
              </w:rPr>
            </w:pPr>
            <w:r>
              <w:rPr>
                <w:rFonts w:ascii="Arial" w:cs="Arial" w:eastAsia="Arial" w:hAnsi="Arial"/>
                <w:sz w:val="14"/>
                <w:szCs w:val="14"/>
                <w:b w:val="1"/>
                <w:bCs w:val="1"/>
                <w:color w:val="55565A"/>
              </w:rPr>
              <w:t>2</w:t>
            </w:r>
          </w:p>
        </w:tc>
        <w:tc>
          <w:tcPr>
            <w:tcW w:w="1500" w:type="dxa"/>
            <w:vAlign w:val="bottom"/>
            <w:shd w:val="clear" w:color="auto" w:fill="CCEEFF"/>
          </w:tcPr>
          <w:p>
            <w:pPr>
              <w:jc w:val="right"/>
              <w:ind w:right="369"/>
              <w:spacing w:after="0" w:line="154" w:lineRule="exact"/>
              <w:rPr>
                <w:sz w:val="20"/>
                <w:szCs w:val="20"/>
                <w:color w:val="auto"/>
              </w:rPr>
            </w:pPr>
            <w:r>
              <w:rPr>
                <w:rFonts w:ascii="Arial" w:cs="Arial" w:eastAsia="Arial" w:hAnsi="Arial"/>
                <w:sz w:val="14"/>
                <w:szCs w:val="14"/>
                <w:b w:val="1"/>
                <w:bCs w:val="1"/>
                <w:color w:val="55565A"/>
              </w:rPr>
              <w:t>450</w:t>
            </w:r>
          </w:p>
        </w:tc>
        <w:tc>
          <w:tcPr>
            <w:tcW w:w="1400" w:type="dxa"/>
            <w:vAlign w:val="bottom"/>
            <w:shd w:val="clear" w:color="auto" w:fill="CCEEFF"/>
          </w:tcPr>
          <w:p>
            <w:pPr>
              <w:jc w:val="right"/>
              <w:ind w:right="89"/>
              <w:spacing w:after="0" w:line="154" w:lineRule="exact"/>
              <w:rPr>
                <w:sz w:val="20"/>
                <w:szCs w:val="20"/>
                <w:color w:val="auto"/>
              </w:rPr>
            </w:pPr>
            <w:r>
              <w:rPr>
                <w:rFonts w:ascii="Arial" w:cs="Arial" w:eastAsia="Arial" w:hAnsi="Arial"/>
                <w:sz w:val="14"/>
                <w:szCs w:val="14"/>
                <w:b w:val="1"/>
                <w:bCs w:val="1"/>
                <w:color w:val="55565A"/>
              </w:rPr>
              <w:t>1</w:t>
            </w:r>
          </w:p>
        </w:tc>
        <w:tc>
          <w:tcPr>
            <w:tcW w:w="2060" w:type="dxa"/>
            <w:vAlign w:val="bottom"/>
            <w:shd w:val="clear" w:color="auto" w:fill="CCEEFF"/>
          </w:tcPr>
          <w:p>
            <w:pPr>
              <w:jc w:val="right"/>
              <w:ind w:right="389"/>
              <w:spacing w:after="0" w:line="154" w:lineRule="exact"/>
              <w:rPr>
                <w:sz w:val="20"/>
                <w:szCs w:val="20"/>
                <w:color w:val="auto"/>
              </w:rPr>
            </w:pPr>
            <w:r>
              <w:rPr>
                <w:rFonts w:ascii="Arial" w:cs="Arial" w:eastAsia="Arial" w:hAnsi="Arial"/>
                <w:sz w:val="14"/>
                <w:szCs w:val="14"/>
                <w:color w:val="55565A"/>
              </w:rPr>
              <w:t>513</w:t>
            </w:r>
          </w:p>
        </w:tc>
      </w:tr>
      <w:tr>
        <w:trPr>
          <w:trHeight w:val="253"/>
        </w:trPr>
        <w:tc>
          <w:tcPr>
            <w:tcW w:w="3740" w:type="dxa"/>
            <w:vAlign w:val="bottom"/>
          </w:tcPr>
          <w:p>
            <w:pPr>
              <w:spacing w:after="0"/>
              <w:rPr>
                <w:sz w:val="20"/>
                <w:szCs w:val="20"/>
                <w:color w:val="auto"/>
              </w:rPr>
            </w:pPr>
            <w:r>
              <w:rPr>
                <w:rFonts w:ascii="Arial" w:cs="Arial" w:eastAsia="Arial" w:hAnsi="Arial"/>
                <w:sz w:val="14"/>
                <w:szCs w:val="14"/>
                <w:color w:val="55565A"/>
              </w:rPr>
              <w:t>Less: Cash acquired</w:t>
            </w:r>
          </w:p>
        </w:tc>
        <w:tc>
          <w:tcPr>
            <w:tcW w:w="2220" w:type="dxa"/>
            <w:vAlign w:val="bottom"/>
          </w:tcPr>
          <w:p>
            <w:pPr>
              <w:spacing w:after="0"/>
              <w:rPr>
                <w:sz w:val="21"/>
                <w:szCs w:val="21"/>
                <w:color w:val="auto"/>
              </w:rPr>
            </w:pPr>
          </w:p>
        </w:tc>
        <w:tc>
          <w:tcPr>
            <w:tcW w:w="1500" w:type="dxa"/>
            <w:vAlign w:val="bottom"/>
          </w:tcPr>
          <w:p>
            <w:pPr>
              <w:jc w:val="right"/>
              <w:ind w:right="369"/>
              <w:spacing w:after="0"/>
              <w:rPr>
                <w:sz w:val="20"/>
                <w:szCs w:val="20"/>
                <w:color w:val="auto"/>
              </w:rPr>
            </w:pPr>
            <w:r>
              <w:rPr>
                <w:rFonts w:ascii="Arial" w:cs="Arial" w:eastAsia="Arial" w:hAnsi="Arial"/>
                <w:sz w:val="14"/>
                <w:szCs w:val="14"/>
                <w:b w:val="1"/>
                <w:bCs w:val="1"/>
                <w:color w:val="55565A"/>
              </w:rPr>
              <w:t>(24)</w:t>
            </w:r>
          </w:p>
        </w:tc>
        <w:tc>
          <w:tcPr>
            <w:tcW w:w="1400" w:type="dxa"/>
            <w:vAlign w:val="bottom"/>
          </w:tcPr>
          <w:p>
            <w:pPr>
              <w:spacing w:after="0"/>
              <w:rPr>
                <w:sz w:val="21"/>
                <w:szCs w:val="21"/>
                <w:color w:val="auto"/>
              </w:rPr>
            </w:pPr>
          </w:p>
        </w:tc>
        <w:tc>
          <w:tcPr>
            <w:tcW w:w="2060" w:type="dxa"/>
            <w:vAlign w:val="bottom"/>
          </w:tcPr>
          <w:p>
            <w:pPr>
              <w:jc w:val="right"/>
              <w:ind w:right="389"/>
              <w:spacing w:after="0"/>
              <w:rPr>
                <w:sz w:val="20"/>
                <w:szCs w:val="20"/>
                <w:color w:val="auto"/>
              </w:rPr>
            </w:pPr>
            <w:r>
              <w:rPr>
                <w:rFonts w:ascii="Arial" w:cs="Arial" w:eastAsia="Arial" w:hAnsi="Arial"/>
                <w:sz w:val="14"/>
                <w:szCs w:val="14"/>
                <w:color w:val="55565A"/>
              </w:rPr>
              <w:t>(25)</w:t>
            </w:r>
          </w:p>
        </w:tc>
      </w:tr>
      <w:tr>
        <w:trPr>
          <w:trHeight w:val="28"/>
        </w:trPr>
        <w:tc>
          <w:tcPr>
            <w:tcW w:w="3740" w:type="dxa"/>
            <w:vAlign w:val="bottom"/>
            <w:tcBorders>
              <w:bottom w:val="single" w:sz="8" w:color="88888B"/>
            </w:tcBorders>
          </w:tcPr>
          <w:p>
            <w:pPr>
              <w:spacing w:after="0"/>
              <w:rPr>
                <w:sz w:val="2"/>
                <w:szCs w:val="2"/>
                <w:color w:val="auto"/>
              </w:rPr>
            </w:pPr>
          </w:p>
        </w:tc>
        <w:tc>
          <w:tcPr>
            <w:tcW w:w="2220" w:type="dxa"/>
            <w:vAlign w:val="bottom"/>
            <w:tcBorders>
              <w:bottom w:val="single" w:sz="8" w:color="88888B"/>
            </w:tcBorders>
          </w:tcPr>
          <w:p>
            <w:pPr>
              <w:spacing w:after="0"/>
              <w:rPr>
                <w:sz w:val="2"/>
                <w:szCs w:val="2"/>
                <w:color w:val="auto"/>
              </w:rPr>
            </w:pPr>
          </w:p>
        </w:tc>
        <w:tc>
          <w:tcPr>
            <w:tcW w:w="1500" w:type="dxa"/>
            <w:vAlign w:val="bottom"/>
            <w:tcBorders>
              <w:bottom w:val="single" w:sz="8" w:color="88888B"/>
            </w:tcBorders>
          </w:tcPr>
          <w:p>
            <w:pPr>
              <w:spacing w:after="0"/>
              <w:rPr>
                <w:sz w:val="2"/>
                <w:szCs w:val="2"/>
                <w:color w:val="auto"/>
              </w:rPr>
            </w:pPr>
          </w:p>
        </w:tc>
        <w:tc>
          <w:tcPr>
            <w:tcW w:w="1400" w:type="dxa"/>
            <w:vAlign w:val="bottom"/>
            <w:tcBorders>
              <w:bottom w:val="single" w:sz="8" w:color="88888B"/>
            </w:tcBorders>
          </w:tcPr>
          <w:p>
            <w:pPr>
              <w:spacing w:after="0"/>
              <w:rPr>
                <w:sz w:val="2"/>
                <w:szCs w:val="2"/>
                <w:color w:val="auto"/>
              </w:rPr>
            </w:pPr>
          </w:p>
        </w:tc>
        <w:tc>
          <w:tcPr>
            <w:tcW w:w="2060" w:type="dxa"/>
            <w:vAlign w:val="bottom"/>
            <w:tcBorders>
              <w:bottom w:val="single" w:sz="8" w:color="88888B"/>
            </w:tcBorders>
          </w:tcPr>
          <w:p>
            <w:pPr>
              <w:spacing w:after="0"/>
              <w:rPr>
                <w:sz w:val="2"/>
                <w:szCs w:val="2"/>
                <w:color w:val="auto"/>
              </w:rPr>
            </w:pPr>
          </w:p>
        </w:tc>
      </w:tr>
      <w:tr>
        <w:trPr>
          <w:trHeight w:val="154"/>
        </w:trPr>
        <w:tc>
          <w:tcPr>
            <w:tcW w:w="3740" w:type="dxa"/>
            <w:vAlign w:val="bottom"/>
            <w:shd w:val="clear" w:color="auto" w:fill="CCEEFF"/>
          </w:tcPr>
          <w:p>
            <w:pPr>
              <w:spacing w:after="0" w:line="154" w:lineRule="exact"/>
              <w:rPr>
                <w:sz w:val="20"/>
                <w:szCs w:val="20"/>
                <w:color w:val="auto"/>
              </w:rPr>
            </w:pPr>
            <w:r>
              <w:rPr>
                <w:rFonts w:ascii="Arial" w:cs="Arial" w:eastAsia="Arial" w:hAnsi="Arial"/>
                <w:sz w:val="14"/>
                <w:szCs w:val="14"/>
                <w:color w:val="55565A"/>
              </w:rPr>
              <w:t>Business acquired, net of cash</w:t>
            </w:r>
          </w:p>
        </w:tc>
        <w:tc>
          <w:tcPr>
            <w:tcW w:w="2220" w:type="dxa"/>
            <w:vAlign w:val="bottom"/>
            <w:shd w:val="clear" w:color="auto" w:fill="CCEEFF"/>
          </w:tcPr>
          <w:p>
            <w:pPr>
              <w:jc w:val="right"/>
              <w:ind w:right="629"/>
              <w:spacing w:after="0" w:line="154" w:lineRule="exact"/>
              <w:rPr>
                <w:sz w:val="20"/>
                <w:szCs w:val="20"/>
                <w:color w:val="auto"/>
              </w:rPr>
            </w:pPr>
            <w:r>
              <w:rPr>
                <w:rFonts w:ascii="Arial" w:cs="Arial" w:eastAsia="Arial" w:hAnsi="Arial"/>
                <w:sz w:val="14"/>
                <w:szCs w:val="14"/>
                <w:b w:val="1"/>
                <w:bCs w:val="1"/>
                <w:color w:val="55565A"/>
              </w:rPr>
              <w:t>2</w:t>
            </w:r>
          </w:p>
        </w:tc>
        <w:tc>
          <w:tcPr>
            <w:tcW w:w="1500" w:type="dxa"/>
            <w:vAlign w:val="bottom"/>
            <w:shd w:val="clear" w:color="auto" w:fill="CCEEFF"/>
          </w:tcPr>
          <w:p>
            <w:pPr>
              <w:jc w:val="right"/>
              <w:ind w:right="369"/>
              <w:spacing w:after="0" w:line="154" w:lineRule="exact"/>
              <w:rPr>
                <w:sz w:val="20"/>
                <w:szCs w:val="20"/>
                <w:color w:val="auto"/>
              </w:rPr>
            </w:pPr>
            <w:r>
              <w:rPr>
                <w:rFonts w:ascii="Arial" w:cs="Arial" w:eastAsia="Arial" w:hAnsi="Arial"/>
                <w:sz w:val="14"/>
                <w:szCs w:val="14"/>
                <w:b w:val="1"/>
                <w:bCs w:val="1"/>
                <w:color w:val="55565A"/>
              </w:rPr>
              <w:t>426</w:t>
            </w:r>
          </w:p>
        </w:tc>
        <w:tc>
          <w:tcPr>
            <w:tcW w:w="1400" w:type="dxa"/>
            <w:vAlign w:val="bottom"/>
            <w:shd w:val="clear" w:color="auto" w:fill="CCEEFF"/>
          </w:tcPr>
          <w:p>
            <w:pPr>
              <w:jc w:val="right"/>
              <w:ind w:right="89"/>
              <w:spacing w:after="0" w:line="154" w:lineRule="exact"/>
              <w:rPr>
                <w:sz w:val="20"/>
                <w:szCs w:val="20"/>
                <w:color w:val="auto"/>
              </w:rPr>
            </w:pPr>
            <w:r>
              <w:rPr>
                <w:rFonts w:ascii="Arial" w:cs="Arial" w:eastAsia="Arial" w:hAnsi="Arial"/>
                <w:sz w:val="14"/>
                <w:szCs w:val="14"/>
                <w:b w:val="1"/>
                <w:bCs w:val="1"/>
                <w:color w:val="55565A"/>
              </w:rPr>
              <w:t>1</w:t>
            </w:r>
          </w:p>
        </w:tc>
        <w:tc>
          <w:tcPr>
            <w:tcW w:w="2060" w:type="dxa"/>
            <w:vAlign w:val="bottom"/>
            <w:shd w:val="clear" w:color="auto" w:fill="CCEEFF"/>
          </w:tcPr>
          <w:p>
            <w:pPr>
              <w:jc w:val="right"/>
              <w:ind w:right="389"/>
              <w:spacing w:after="0" w:line="154" w:lineRule="exact"/>
              <w:rPr>
                <w:sz w:val="20"/>
                <w:szCs w:val="20"/>
                <w:color w:val="auto"/>
              </w:rPr>
            </w:pPr>
            <w:r>
              <w:rPr>
                <w:rFonts w:ascii="Arial" w:cs="Arial" w:eastAsia="Arial" w:hAnsi="Arial"/>
                <w:sz w:val="14"/>
                <w:szCs w:val="14"/>
                <w:color w:val="55565A"/>
              </w:rPr>
              <w:t>488</w:t>
            </w:r>
          </w:p>
        </w:tc>
      </w:tr>
      <w:tr>
        <w:trPr>
          <w:trHeight w:val="160"/>
        </w:trPr>
        <w:tc>
          <w:tcPr>
            <w:tcW w:w="3740" w:type="dxa"/>
            <w:vAlign w:val="bottom"/>
          </w:tcPr>
          <w:p>
            <w:pPr>
              <w:spacing w:after="0"/>
              <w:rPr>
                <w:sz w:val="20"/>
                <w:szCs w:val="20"/>
                <w:color w:val="auto"/>
              </w:rPr>
            </w:pPr>
            <w:r>
              <w:rPr>
                <w:rFonts w:ascii="Arial" w:cs="Arial" w:eastAsia="Arial" w:hAnsi="Arial"/>
                <w:sz w:val="14"/>
                <w:szCs w:val="14"/>
                <w:color w:val="55565A"/>
              </w:rPr>
              <w:t>Investments in businesses</w:t>
            </w:r>
          </w:p>
        </w:tc>
        <w:tc>
          <w:tcPr>
            <w:tcW w:w="2220" w:type="dxa"/>
            <w:vAlign w:val="bottom"/>
          </w:tcPr>
          <w:p>
            <w:pPr>
              <w:jc w:val="right"/>
              <w:ind w:right="629"/>
              <w:spacing w:after="0"/>
              <w:rPr>
                <w:sz w:val="20"/>
                <w:szCs w:val="20"/>
                <w:color w:val="auto"/>
              </w:rPr>
            </w:pPr>
            <w:r>
              <w:rPr>
                <w:rFonts w:ascii="Arial" w:cs="Arial" w:eastAsia="Arial" w:hAnsi="Arial"/>
                <w:sz w:val="14"/>
                <w:szCs w:val="14"/>
                <w:b w:val="1"/>
                <w:bCs w:val="1"/>
                <w:color w:val="55565A"/>
              </w:rPr>
              <w:t>2</w:t>
            </w:r>
          </w:p>
        </w:tc>
        <w:tc>
          <w:tcPr>
            <w:tcW w:w="1500" w:type="dxa"/>
            <w:vAlign w:val="bottom"/>
          </w:tcPr>
          <w:p>
            <w:pPr>
              <w:jc w:val="right"/>
              <w:ind w:right="369"/>
              <w:spacing w:after="0"/>
              <w:rPr>
                <w:sz w:val="20"/>
                <w:szCs w:val="20"/>
                <w:color w:val="auto"/>
              </w:rPr>
            </w:pPr>
            <w:r>
              <w:rPr>
                <w:rFonts w:ascii="Arial" w:cs="Arial" w:eastAsia="Arial" w:hAnsi="Arial"/>
                <w:sz w:val="14"/>
                <w:szCs w:val="14"/>
                <w:b w:val="1"/>
                <w:bCs w:val="1"/>
                <w:color w:val="55565A"/>
              </w:rPr>
              <w:t>6</w:t>
            </w:r>
          </w:p>
        </w:tc>
        <w:tc>
          <w:tcPr>
            <w:tcW w:w="1400" w:type="dxa"/>
            <w:vAlign w:val="bottom"/>
          </w:tcPr>
          <w:p>
            <w:pPr>
              <w:jc w:val="right"/>
              <w:ind w:right="89"/>
              <w:spacing w:after="0"/>
              <w:rPr>
                <w:sz w:val="20"/>
                <w:szCs w:val="20"/>
                <w:color w:val="auto"/>
              </w:rPr>
            </w:pPr>
            <w:r>
              <w:rPr>
                <w:rFonts w:ascii="Arial" w:cs="Arial" w:eastAsia="Arial" w:hAnsi="Arial"/>
                <w:sz w:val="14"/>
                <w:szCs w:val="14"/>
                <w:b w:val="1"/>
                <w:bCs w:val="1"/>
                <w:color w:val="55565A"/>
              </w:rPr>
              <w:t>1</w:t>
            </w:r>
          </w:p>
        </w:tc>
        <w:tc>
          <w:tcPr>
            <w:tcW w:w="2060" w:type="dxa"/>
            <w:vAlign w:val="bottom"/>
          </w:tcPr>
          <w:p>
            <w:pPr>
              <w:jc w:val="right"/>
              <w:ind w:right="389"/>
              <w:spacing w:after="0"/>
              <w:rPr>
                <w:sz w:val="20"/>
                <w:szCs w:val="20"/>
                <w:color w:val="auto"/>
              </w:rPr>
            </w:pPr>
            <w:r>
              <w:rPr>
                <w:rFonts w:ascii="Arial" w:cs="Arial" w:eastAsia="Arial" w:hAnsi="Arial"/>
                <w:sz w:val="14"/>
                <w:szCs w:val="14"/>
                <w:color w:val="55565A"/>
              </w:rPr>
              <w:t>2</w:t>
            </w:r>
          </w:p>
        </w:tc>
      </w:tr>
      <w:tr>
        <w:trPr>
          <w:trHeight w:val="160"/>
        </w:trPr>
        <w:tc>
          <w:tcPr>
            <w:tcW w:w="374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Deferred and contingent consideration payments</w:t>
            </w:r>
          </w:p>
        </w:tc>
        <w:tc>
          <w:tcPr>
            <w:tcW w:w="2220" w:type="dxa"/>
            <w:vAlign w:val="bottom"/>
            <w:tcBorders>
              <w:bottom w:val="single" w:sz="8" w:color="88888B"/>
            </w:tcBorders>
            <w:shd w:val="clear" w:color="auto" w:fill="CCEEFF"/>
          </w:tcPr>
          <w:p>
            <w:pPr>
              <w:spacing w:after="0"/>
              <w:rPr>
                <w:sz w:val="13"/>
                <w:szCs w:val="13"/>
                <w:color w:val="auto"/>
              </w:rPr>
            </w:pPr>
          </w:p>
        </w:tc>
        <w:tc>
          <w:tcPr>
            <w:tcW w:w="1500" w:type="dxa"/>
            <w:vAlign w:val="bottom"/>
            <w:tcBorders>
              <w:bottom w:val="single" w:sz="8" w:color="88888B"/>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5565A"/>
              </w:rPr>
              <w:t>4</w:t>
            </w:r>
          </w:p>
        </w:tc>
        <w:tc>
          <w:tcPr>
            <w:tcW w:w="1400" w:type="dxa"/>
            <w:vAlign w:val="bottom"/>
            <w:tcBorders>
              <w:bottom w:val="single" w:sz="8" w:color="88888B"/>
            </w:tcBorders>
            <w:shd w:val="clear" w:color="auto" w:fill="CCEEFF"/>
          </w:tcPr>
          <w:p>
            <w:pPr>
              <w:spacing w:after="0"/>
              <w:rPr>
                <w:sz w:val="13"/>
                <w:szCs w:val="13"/>
                <w:color w:val="auto"/>
              </w:rPr>
            </w:pPr>
          </w:p>
        </w:tc>
        <w:tc>
          <w:tcPr>
            <w:tcW w:w="2060" w:type="dxa"/>
            <w:vAlign w:val="bottom"/>
            <w:tcBorders>
              <w:bottom w:val="single" w:sz="8" w:color="88888B"/>
            </w:tcBorders>
            <w:shd w:val="clear" w:color="auto" w:fill="CCEEFF"/>
          </w:tcPr>
          <w:p>
            <w:pPr>
              <w:jc w:val="right"/>
              <w:ind w:right="389"/>
              <w:spacing w:after="0"/>
              <w:rPr>
                <w:sz w:val="20"/>
                <w:szCs w:val="20"/>
                <w:color w:val="auto"/>
              </w:rPr>
            </w:pPr>
            <w:r>
              <w:rPr>
                <w:rFonts w:ascii="Arial" w:cs="Arial" w:eastAsia="Arial" w:hAnsi="Arial"/>
                <w:sz w:val="14"/>
                <w:szCs w:val="14"/>
                <w:color w:val="55565A"/>
              </w:rPr>
              <w:t>-</w:t>
            </w:r>
          </w:p>
        </w:tc>
      </w:tr>
      <w:tr>
        <w:trPr>
          <w:trHeight w:val="154"/>
        </w:trPr>
        <w:tc>
          <w:tcPr>
            <w:tcW w:w="3740" w:type="dxa"/>
            <w:vAlign w:val="bottom"/>
            <w:tcBorders>
              <w:bottom w:val="single" w:sz="8" w:color="88888B"/>
            </w:tcBorders>
          </w:tcPr>
          <w:p>
            <w:pPr>
              <w:spacing w:after="0"/>
              <w:rPr>
                <w:sz w:val="13"/>
                <w:szCs w:val="13"/>
                <w:color w:val="auto"/>
              </w:rPr>
            </w:pPr>
          </w:p>
        </w:tc>
        <w:tc>
          <w:tcPr>
            <w:tcW w:w="2220" w:type="dxa"/>
            <w:vAlign w:val="bottom"/>
            <w:tcBorders>
              <w:bottom w:val="single" w:sz="8" w:color="88888B"/>
            </w:tcBorders>
          </w:tcPr>
          <w:p>
            <w:pPr>
              <w:jc w:val="right"/>
              <w:ind w:right="629"/>
              <w:spacing w:after="0" w:line="154" w:lineRule="exact"/>
              <w:rPr>
                <w:sz w:val="20"/>
                <w:szCs w:val="20"/>
                <w:color w:val="auto"/>
              </w:rPr>
            </w:pPr>
            <w:r>
              <w:rPr>
                <w:rFonts w:ascii="Arial" w:cs="Arial" w:eastAsia="Arial" w:hAnsi="Arial"/>
                <w:sz w:val="14"/>
                <w:szCs w:val="14"/>
                <w:b w:val="1"/>
                <w:bCs w:val="1"/>
                <w:color w:val="55565A"/>
              </w:rPr>
              <w:t>4</w:t>
            </w:r>
          </w:p>
        </w:tc>
        <w:tc>
          <w:tcPr>
            <w:tcW w:w="1500" w:type="dxa"/>
            <w:vAlign w:val="bottom"/>
            <w:tcBorders>
              <w:bottom w:val="single" w:sz="8" w:color="88888B"/>
            </w:tcBorders>
          </w:tcPr>
          <w:p>
            <w:pPr>
              <w:jc w:val="right"/>
              <w:ind w:right="369"/>
              <w:spacing w:after="0" w:line="154" w:lineRule="exact"/>
              <w:rPr>
                <w:sz w:val="20"/>
                <w:szCs w:val="20"/>
                <w:color w:val="auto"/>
              </w:rPr>
            </w:pPr>
            <w:r>
              <w:rPr>
                <w:rFonts w:ascii="Arial" w:cs="Arial" w:eastAsia="Arial" w:hAnsi="Arial"/>
                <w:sz w:val="14"/>
                <w:szCs w:val="14"/>
                <w:b w:val="1"/>
                <w:bCs w:val="1"/>
                <w:color w:val="55565A"/>
              </w:rPr>
              <w:t>436</w:t>
            </w:r>
          </w:p>
        </w:tc>
        <w:tc>
          <w:tcPr>
            <w:tcW w:w="1400" w:type="dxa"/>
            <w:vAlign w:val="bottom"/>
            <w:tcBorders>
              <w:bottom w:val="single" w:sz="8" w:color="88888B"/>
            </w:tcBorders>
          </w:tcPr>
          <w:p>
            <w:pPr>
              <w:jc w:val="right"/>
              <w:ind w:right="89"/>
              <w:spacing w:after="0" w:line="154" w:lineRule="exact"/>
              <w:rPr>
                <w:sz w:val="20"/>
                <w:szCs w:val="20"/>
                <w:color w:val="auto"/>
              </w:rPr>
            </w:pPr>
            <w:r>
              <w:rPr>
                <w:rFonts w:ascii="Arial" w:cs="Arial" w:eastAsia="Arial" w:hAnsi="Arial"/>
                <w:sz w:val="14"/>
                <w:szCs w:val="14"/>
                <w:b w:val="1"/>
                <w:bCs w:val="1"/>
                <w:color w:val="55565A"/>
              </w:rPr>
              <w:t>2</w:t>
            </w:r>
          </w:p>
        </w:tc>
        <w:tc>
          <w:tcPr>
            <w:tcW w:w="2060" w:type="dxa"/>
            <w:vAlign w:val="bottom"/>
            <w:tcBorders>
              <w:bottom w:val="single" w:sz="8" w:color="88888B"/>
            </w:tcBorders>
          </w:tcPr>
          <w:p>
            <w:pPr>
              <w:jc w:val="right"/>
              <w:ind w:right="389"/>
              <w:spacing w:after="0" w:line="154" w:lineRule="exact"/>
              <w:rPr>
                <w:sz w:val="20"/>
                <w:szCs w:val="20"/>
                <w:color w:val="auto"/>
              </w:rPr>
            </w:pPr>
            <w:r>
              <w:rPr>
                <w:rFonts w:ascii="Arial" w:cs="Arial" w:eastAsia="Arial" w:hAnsi="Arial"/>
                <w:sz w:val="14"/>
                <w:szCs w:val="14"/>
                <w:color w:val="55565A"/>
              </w:rPr>
              <w:t>490</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55565A"/>
        </w:rPr>
        <w:t>The following provides a brief description of the most significant acquisitions completed in the three months ended March 31, 2024 and 2023: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60" w:type="dxa"/>
            <w:vAlign w:val="bottom"/>
            <w:tcBorders>
              <w:top w:val="single" w:sz="8" w:color="88888B"/>
              <w:bottom w:val="single" w:sz="8" w:color="88888B"/>
            </w:tcBorders>
            <w:gridSpan w:val="2"/>
          </w:tcPr>
          <w:p>
            <w:pPr>
              <w:spacing w:after="0"/>
              <w:rPr>
                <w:sz w:val="20"/>
                <w:szCs w:val="20"/>
                <w:color w:val="auto"/>
              </w:rPr>
            </w:pPr>
            <w:r>
              <w:rPr>
                <w:rFonts w:ascii="Arial" w:cs="Arial" w:eastAsia="Arial" w:hAnsi="Arial"/>
                <w:sz w:val="14"/>
                <w:szCs w:val="14"/>
                <w:b w:val="1"/>
                <w:bCs w:val="1"/>
                <w:color w:val="55565A"/>
              </w:rPr>
              <w:t>   Date</w:t>
            </w:r>
          </w:p>
        </w:tc>
        <w:tc>
          <w:tcPr>
            <w:tcW w:w="2500" w:type="dxa"/>
            <w:vAlign w:val="bottom"/>
            <w:tcBorders>
              <w:top w:val="single" w:sz="8" w:color="88888B"/>
              <w:bottom w:val="single" w:sz="8" w:color="88888B"/>
            </w:tcBorders>
          </w:tcPr>
          <w:p>
            <w:pPr>
              <w:ind w:left="380"/>
              <w:spacing w:after="0"/>
              <w:rPr>
                <w:sz w:val="20"/>
                <w:szCs w:val="20"/>
                <w:color w:val="auto"/>
              </w:rPr>
            </w:pPr>
            <w:r>
              <w:rPr>
                <w:rFonts w:ascii="Arial" w:cs="Arial" w:eastAsia="Arial" w:hAnsi="Arial"/>
                <w:sz w:val="14"/>
                <w:szCs w:val="14"/>
                <w:b w:val="1"/>
                <w:bCs w:val="1"/>
                <w:color w:val="55565A"/>
              </w:rPr>
              <w:t>Company</w:t>
            </w:r>
          </w:p>
        </w:tc>
        <w:tc>
          <w:tcPr>
            <w:tcW w:w="2720" w:type="dxa"/>
            <w:vAlign w:val="bottom"/>
            <w:tcBorders>
              <w:top w:val="single" w:sz="8" w:color="88888B"/>
              <w:bottom w:val="single" w:sz="8" w:color="88888B"/>
            </w:tcBorders>
          </w:tcPr>
          <w:p>
            <w:pPr>
              <w:ind w:left="180"/>
              <w:spacing w:after="0"/>
              <w:rPr>
                <w:sz w:val="20"/>
                <w:szCs w:val="20"/>
                <w:color w:val="auto"/>
              </w:rPr>
            </w:pPr>
            <w:r>
              <w:rPr>
                <w:rFonts w:ascii="Arial" w:cs="Arial" w:eastAsia="Arial" w:hAnsi="Arial"/>
                <w:sz w:val="14"/>
                <w:szCs w:val="14"/>
                <w:b w:val="1"/>
                <w:bCs w:val="1"/>
                <w:color w:val="55565A"/>
              </w:rPr>
              <w:t>Acquiring Segments</w:t>
            </w:r>
          </w:p>
        </w:tc>
        <w:tc>
          <w:tcPr>
            <w:tcW w:w="4340" w:type="dxa"/>
            <w:vAlign w:val="bottom"/>
            <w:tcBorders>
              <w:top w:val="single" w:sz="8" w:color="88888B"/>
              <w:bottom w:val="single" w:sz="8" w:color="88888B"/>
            </w:tcBorders>
          </w:tcPr>
          <w:p>
            <w:pPr>
              <w:ind w:left="420"/>
              <w:spacing w:after="0"/>
              <w:rPr>
                <w:sz w:val="20"/>
                <w:szCs w:val="20"/>
                <w:color w:val="auto"/>
              </w:rPr>
            </w:pPr>
            <w:r>
              <w:rPr>
                <w:rFonts w:ascii="Arial" w:cs="Arial" w:eastAsia="Arial" w:hAnsi="Arial"/>
                <w:sz w:val="14"/>
                <w:szCs w:val="14"/>
                <w:b w:val="1"/>
                <w:bCs w:val="1"/>
                <w:color w:val="55565A"/>
              </w:rPr>
              <w:t>Description</w:t>
            </w:r>
          </w:p>
        </w:tc>
      </w:tr>
      <w:tr>
        <w:trPr>
          <w:trHeight w:val="145"/>
        </w:trPr>
        <w:tc>
          <w:tcPr>
            <w:tcW w:w="1360" w:type="dxa"/>
            <w:vAlign w:val="bottom"/>
            <w:gridSpan w:val="2"/>
          </w:tcPr>
          <w:p>
            <w:pPr>
              <w:spacing w:after="0" w:line="145" w:lineRule="exact"/>
              <w:rPr>
                <w:sz w:val="20"/>
                <w:szCs w:val="20"/>
                <w:color w:val="auto"/>
              </w:rPr>
            </w:pPr>
            <w:r>
              <w:rPr>
                <w:rFonts w:ascii="Arial" w:cs="Arial" w:eastAsia="Arial" w:hAnsi="Arial"/>
                <w:sz w:val="14"/>
                <w:szCs w:val="14"/>
                <w:color w:val="55565A"/>
              </w:rPr>
              <w:t>   January 2024</w:t>
            </w:r>
          </w:p>
        </w:tc>
        <w:tc>
          <w:tcPr>
            <w:tcW w:w="2500" w:type="dxa"/>
            <w:vAlign w:val="bottom"/>
          </w:tcPr>
          <w:p>
            <w:pPr>
              <w:ind w:left="380"/>
              <w:spacing w:after="0" w:line="145" w:lineRule="exact"/>
              <w:rPr>
                <w:sz w:val="20"/>
                <w:szCs w:val="20"/>
                <w:color w:val="auto"/>
              </w:rPr>
            </w:pPr>
            <w:r>
              <w:rPr>
                <w:rFonts w:ascii="Arial" w:cs="Arial" w:eastAsia="Arial" w:hAnsi="Arial"/>
                <w:sz w:val="14"/>
                <w:szCs w:val="14"/>
                <w:color w:val="55565A"/>
              </w:rPr>
              <w:t>Pagero Group AB (publ)</w:t>
            </w:r>
          </w:p>
        </w:tc>
        <w:tc>
          <w:tcPr>
            <w:tcW w:w="2720" w:type="dxa"/>
            <w:vAlign w:val="bottom"/>
          </w:tcPr>
          <w:p>
            <w:pPr>
              <w:ind w:left="180"/>
              <w:spacing w:after="0" w:line="145" w:lineRule="exact"/>
              <w:rPr>
                <w:sz w:val="20"/>
                <w:szCs w:val="20"/>
                <w:color w:val="auto"/>
              </w:rPr>
            </w:pPr>
            <w:r>
              <w:rPr>
                <w:rFonts w:ascii="Arial" w:cs="Arial" w:eastAsia="Arial" w:hAnsi="Arial"/>
                <w:sz w:val="14"/>
                <w:szCs w:val="14"/>
                <w:color w:val="55565A"/>
              </w:rPr>
              <w:t>Corporates</w:t>
            </w:r>
          </w:p>
        </w:tc>
        <w:tc>
          <w:tcPr>
            <w:tcW w:w="4340" w:type="dxa"/>
            <w:vAlign w:val="bottom"/>
          </w:tcPr>
          <w:p>
            <w:pPr>
              <w:ind w:left="420"/>
              <w:spacing w:after="0" w:line="145" w:lineRule="exact"/>
              <w:rPr>
                <w:sz w:val="20"/>
                <w:szCs w:val="20"/>
                <w:color w:val="auto"/>
              </w:rPr>
            </w:pPr>
            <w:r>
              <w:rPr>
                <w:rFonts w:ascii="Arial" w:cs="Arial" w:eastAsia="Arial" w:hAnsi="Arial"/>
                <w:sz w:val="14"/>
                <w:szCs w:val="14"/>
                <w:color w:val="55565A"/>
              </w:rPr>
              <w:t>A global leader in e-invoicing and indirect tax solutions, which</w:t>
            </w:r>
          </w:p>
        </w:tc>
      </w:tr>
      <w:tr>
        <w:trPr>
          <w:trHeight w:val="170"/>
        </w:trPr>
        <w:tc>
          <w:tcPr>
            <w:tcW w:w="20" w:type="dxa"/>
            <w:vAlign w:val="bottom"/>
          </w:tcPr>
          <w:p>
            <w:pPr>
              <w:spacing w:after="0"/>
              <w:rPr>
                <w:sz w:val="14"/>
                <w:szCs w:val="14"/>
                <w:color w:val="auto"/>
              </w:rPr>
            </w:pPr>
          </w:p>
        </w:tc>
        <w:tc>
          <w:tcPr>
            <w:tcW w:w="1340" w:type="dxa"/>
            <w:vAlign w:val="bottom"/>
            <w:tcBorders>
              <w:bottom w:val="single" w:sz="8" w:color="88888B"/>
            </w:tcBorders>
          </w:tcPr>
          <w:p>
            <w:pPr>
              <w:spacing w:after="0"/>
              <w:rPr>
                <w:sz w:val="14"/>
                <w:szCs w:val="14"/>
                <w:color w:val="auto"/>
              </w:rPr>
            </w:pPr>
          </w:p>
        </w:tc>
        <w:tc>
          <w:tcPr>
            <w:tcW w:w="2500" w:type="dxa"/>
            <w:vAlign w:val="bottom"/>
            <w:tcBorders>
              <w:bottom w:val="single" w:sz="8" w:color="88888B"/>
            </w:tcBorders>
          </w:tcPr>
          <w:p>
            <w:pPr>
              <w:ind w:left="380"/>
              <w:spacing w:after="0"/>
              <w:rPr>
                <w:sz w:val="20"/>
                <w:szCs w:val="20"/>
                <w:color w:val="auto"/>
              </w:rPr>
            </w:pPr>
            <w:r>
              <w:rPr>
                <w:rFonts w:ascii="Arial" w:cs="Arial" w:eastAsia="Arial" w:hAnsi="Arial"/>
                <w:sz w:val="14"/>
                <w:szCs w:val="14"/>
                <w:color w:val="55565A"/>
              </w:rPr>
              <w:t>(“Pagero”)</w:t>
            </w:r>
          </w:p>
        </w:tc>
        <w:tc>
          <w:tcPr>
            <w:tcW w:w="2720" w:type="dxa"/>
            <w:vAlign w:val="bottom"/>
            <w:tcBorders>
              <w:bottom w:val="single" w:sz="8" w:color="88888B"/>
            </w:tcBorders>
          </w:tcPr>
          <w:p>
            <w:pPr>
              <w:spacing w:after="0"/>
              <w:rPr>
                <w:sz w:val="14"/>
                <w:szCs w:val="14"/>
                <w:color w:val="auto"/>
              </w:rPr>
            </w:pPr>
          </w:p>
        </w:tc>
        <w:tc>
          <w:tcPr>
            <w:tcW w:w="4340" w:type="dxa"/>
            <w:vAlign w:val="bottom"/>
            <w:tcBorders>
              <w:bottom w:val="single" w:sz="8" w:color="88888B"/>
            </w:tcBorders>
          </w:tcPr>
          <w:p>
            <w:pPr>
              <w:ind w:left="420"/>
              <w:spacing w:after="0"/>
              <w:rPr>
                <w:sz w:val="20"/>
                <w:szCs w:val="20"/>
                <w:color w:val="auto"/>
              </w:rPr>
            </w:pPr>
            <w:r>
              <w:rPr>
                <w:rFonts w:ascii="Arial" w:cs="Arial" w:eastAsia="Arial" w:hAnsi="Arial"/>
                <w:sz w:val="14"/>
                <w:szCs w:val="14"/>
                <w:color w:val="55565A"/>
              </w:rPr>
              <w:t>it delivers through its Smart Business Network.</w:t>
            </w:r>
          </w:p>
        </w:tc>
      </w:tr>
      <w:tr>
        <w:trPr>
          <w:trHeight w:val="145"/>
        </w:trPr>
        <w:tc>
          <w:tcPr>
            <w:tcW w:w="20" w:type="dxa"/>
            <w:vAlign w:val="bottom"/>
          </w:tcPr>
          <w:p>
            <w:pPr>
              <w:spacing w:after="0"/>
              <w:rPr>
                <w:sz w:val="12"/>
                <w:szCs w:val="12"/>
                <w:color w:val="auto"/>
              </w:rPr>
            </w:pPr>
          </w:p>
        </w:tc>
        <w:tc>
          <w:tcPr>
            <w:tcW w:w="1340" w:type="dxa"/>
            <w:vAlign w:val="bottom"/>
          </w:tcPr>
          <w:p>
            <w:pPr>
              <w:spacing w:after="0" w:line="145" w:lineRule="exact"/>
              <w:rPr>
                <w:sz w:val="20"/>
                <w:szCs w:val="20"/>
                <w:color w:val="auto"/>
              </w:rPr>
            </w:pPr>
            <w:r>
              <w:rPr>
                <w:rFonts w:ascii="Arial" w:cs="Arial" w:eastAsia="Arial" w:hAnsi="Arial"/>
                <w:sz w:val="14"/>
                <w:szCs w:val="14"/>
                <w:color w:val="55565A"/>
              </w:rPr>
              <w:t>   January 2024</w:t>
            </w:r>
          </w:p>
        </w:tc>
        <w:tc>
          <w:tcPr>
            <w:tcW w:w="2500" w:type="dxa"/>
            <w:vAlign w:val="bottom"/>
          </w:tcPr>
          <w:p>
            <w:pPr>
              <w:ind w:left="380"/>
              <w:spacing w:after="0" w:line="145" w:lineRule="exact"/>
              <w:rPr>
                <w:sz w:val="20"/>
                <w:szCs w:val="20"/>
                <w:color w:val="auto"/>
              </w:rPr>
            </w:pPr>
            <w:r>
              <w:rPr>
                <w:rFonts w:ascii="Arial" w:cs="Arial" w:eastAsia="Arial" w:hAnsi="Arial"/>
                <w:sz w:val="14"/>
                <w:szCs w:val="14"/>
                <w:color w:val="55565A"/>
              </w:rPr>
              <w:t>World Business Media Limited</w:t>
            </w:r>
          </w:p>
        </w:tc>
        <w:tc>
          <w:tcPr>
            <w:tcW w:w="2720" w:type="dxa"/>
            <w:vAlign w:val="bottom"/>
          </w:tcPr>
          <w:p>
            <w:pPr>
              <w:ind w:left="180"/>
              <w:spacing w:after="0" w:line="145" w:lineRule="exact"/>
              <w:rPr>
                <w:sz w:val="20"/>
                <w:szCs w:val="20"/>
                <w:color w:val="auto"/>
              </w:rPr>
            </w:pPr>
            <w:r>
              <w:rPr>
                <w:rFonts w:ascii="Arial" w:cs="Arial" w:eastAsia="Arial" w:hAnsi="Arial"/>
                <w:sz w:val="14"/>
                <w:szCs w:val="14"/>
                <w:color w:val="55565A"/>
              </w:rPr>
              <w:t>Reuters News</w:t>
            </w:r>
          </w:p>
        </w:tc>
        <w:tc>
          <w:tcPr>
            <w:tcW w:w="4340" w:type="dxa"/>
            <w:vAlign w:val="bottom"/>
          </w:tcPr>
          <w:p>
            <w:pPr>
              <w:ind w:left="420"/>
              <w:spacing w:after="0" w:line="145" w:lineRule="exact"/>
              <w:rPr>
                <w:sz w:val="20"/>
                <w:szCs w:val="20"/>
                <w:color w:val="auto"/>
              </w:rPr>
            </w:pPr>
            <w:r>
              <w:rPr>
                <w:rFonts w:ascii="Arial" w:cs="Arial" w:eastAsia="Arial" w:hAnsi="Arial"/>
                <w:sz w:val="14"/>
                <w:szCs w:val="14"/>
                <w:color w:val="55565A"/>
              </w:rPr>
              <w:t>A cross-platform, subscription-based provider of editorial</w:t>
            </w:r>
          </w:p>
        </w:tc>
      </w:tr>
      <w:tr>
        <w:trPr>
          <w:trHeight w:val="160"/>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340" w:type="dxa"/>
            <w:vAlign w:val="bottom"/>
          </w:tcPr>
          <w:p>
            <w:pPr>
              <w:ind w:left="420"/>
              <w:spacing w:after="0"/>
              <w:rPr>
                <w:sz w:val="20"/>
                <w:szCs w:val="20"/>
                <w:color w:val="auto"/>
              </w:rPr>
            </w:pPr>
            <w:r>
              <w:rPr>
                <w:rFonts w:ascii="Arial" w:cs="Arial" w:eastAsia="Arial" w:hAnsi="Arial"/>
                <w:sz w:val="14"/>
                <w:szCs w:val="14"/>
                <w:color w:val="55565A"/>
              </w:rPr>
              <w:t>coverage for the global P&amp;C and specialty (re)insurance</w:t>
            </w:r>
          </w:p>
        </w:tc>
      </w:tr>
      <w:tr>
        <w:trPr>
          <w:trHeight w:val="170"/>
        </w:trPr>
        <w:tc>
          <w:tcPr>
            <w:tcW w:w="20" w:type="dxa"/>
            <w:vAlign w:val="bottom"/>
          </w:tcPr>
          <w:p>
            <w:pPr>
              <w:spacing w:after="0"/>
              <w:rPr>
                <w:sz w:val="14"/>
                <w:szCs w:val="14"/>
                <w:color w:val="auto"/>
              </w:rPr>
            </w:pPr>
          </w:p>
        </w:tc>
        <w:tc>
          <w:tcPr>
            <w:tcW w:w="1340" w:type="dxa"/>
            <w:vAlign w:val="bottom"/>
            <w:tcBorders>
              <w:bottom w:val="single" w:sz="8" w:color="88888B"/>
            </w:tcBorders>
          </w:tcPr>
          <w:p>
            <w:pPr>
              <w:spacing w:after="0"/>
              <w:rPr>
                <w:sz w:val="14"/>
                <w:szCs w:val="14"/>
                <w:color w:val="auto"/>
              </w:rPr>
            </w:pPr>
          </w:p>
        </w:tc>
        <w:tc>
          <w:tcPr>
            <w:tcW w:w="2500" w:type="dxa"/>
            <w:vAlign w:val="bottom"/>
            <w:tcBorders>
              <w:bottom w:val="single" w:sz="8" w:color="88888B"/>
            </w:tcBorders>
          </w:tcPr>
          <w:p>
            <w:pPr>
              <w:spacing w:after="0"/>
              <w:rPr>
                <w:sz w:val="14"/>
                <w:szCs w:val="14"/>
                <w:color w:val="auto"/>
              </w:rPr>
            </w:pPr>
          </w:p>
        </w:tc>
        <w:tc>
          <w:tcPr>
            <w:tcW w:w="2720" w:type="dxa"/>
            <w:vAlign w:val="bottom"/>
            <w:tcBorders>
              <w:bottom w:val="single" w:sz="8" w:color="88888B"/>
            </w:tcBorders>
          </w:tcPr>
          <w:p>
            <w:pPr>
              <w:spacing w:after="0"/>
              <w:rPr>
                <w:sz w:val="14"/>
                <w:szCs w:val="14"/>
                <w:color w:val="auto"/>
              </w:rPr>
            </w:pPr>
          </w:p>
        </w:tc>
        <w:tc>
          <w:tcPr>
            <w:tcW w:w="4340" w:type="dxa"/>
            <w:vAlign w:val="bottom"/>
            <w:tcBorders>
              <w:bottom w:val="single" w:sz="8" w:color="88888B"/>
            </w:tcBorders>
          </w:tcPr>
          <w:p>
            <w:pPr>
              <w:ind w:left="420"/>
              <w:spacing w:after="0"/>
              <w:rPr>
                <w:sz w:val="20"/>
                <w:szCs w:val="20"/>
                <w:color w:val="auto"/>
              </w:rPr>
            </w:pPr>
            <w:r>
              <w:rPr>
                <w:rFonts w:ascii="Arial" w:cs="Arial" w:eastAsia="Arial" w:hAnsi="Arial"/>
                <w:sz w:val="14"/>
                <w:szCs w:val="14"/>
                <w:color w:val="55565A"/>
              </w:rPr>
              <w:t>industry.</w:t>
            </w:r>
          </w:p>
        </w:tc>
      </w:tr>
      <w:tr>
        <w:trPr>
          <w:trHeight w:val="145"/>
        </w:trPr>
        <w:tc>
          <w:tcPr>
            <w:tcW w:w="20" w:type="dxa"/>
            <w:vAlign w:val="bottom"/>
          </w:tcPr>
          <w:p>
            <w:pPr>
              <w:spacing w:after="0"/>
              <w:rPr>
                <w:sz w:val="12"/>
                <w:szCs w:val="12"/>
                <w:color w:val="auto"/>
              </w:rPr>
            </w:pPr>
          </w:p>
        </w:tc>
        <w:tc>
          <w:tcPr>
            <w:tcW w:w="1340" w:type="dxa"/>
            <w:vAlign w:val="bottom"/>
          </w:tcPr>
          <w:p>
            <w:pPr>
              <w:spacing w:after="0" w:line="145" w:lineRule="exact"/>
              <w:rPr>
                <w:sz w:val="20"/>
                <w:szCs w:val="20"/>
                <w:color w:val="auto"/>
              </w:rPr>
            </w:pPr>
            <w:r>
              <w:rPr>
                <w:rFonts w:ascii="Arial" w:cs="Arial" w:eastAsia="Arial" w:hAnsi="Arial"/>
                <w:sz w:val="14"/>
                <w:szCs w:val="14"/>
                <w:color w:val="55565A"/>
              </w:rPr>
              <w:t>   January 2023</w:t>
            </w:r>
          </w:p>
        </w:tc>
        <w:tc>
          <w:tcPr>
            <w:tcW w:w="2500" w:type="dxa"/>
            <w:vAlign w:val="bottom"/>
          </w:tcPr>
          <w:p>
            <w:pPr>
              <w:ind w:left="380"/>
              <w:spacing w:after="0" w:line="145" w:lineRule="exact"/>
              <w:rPr>
                <w:sz w:val="20"/>
                <w:szCs w:val="20"/>
                <w:color w:val="auto"/>
              </w:rPr>
            </w:pPr>
            <w:r>
              <w:rPr>
                <w:rFonts w:ascii="Arial" w:cs="Arial" w:eastAsia="Arial" w:hAnsi="Arial"/>
                <w:sz w:val="14"/>
                <w:szCs w:val="14"/>
                <w:color w:val="55565A"/>
              </w:rPr>
              <w:t>SurePrep LLC</w:t>
            </w:r>
          </w:p>
        </w:tc>
        <w:tc>
          <w:tcPr>
            <w:tcW w:w="2720" w:type="dxa"/>
            <w:vAlign w:val="bottom"/>
          </w:tcPr>
          <w:p>
            <w:pPr>
              <w:ind w:left="180"/>
              <w:spacing w:after="0" w:line="145" w:lineRule="exact"/>
              <w:rPr>
                <w:sz w:val="20"/>
                <w:szCs w:val="20"/>
                <w:color w:val="auto"/>
              </w:rPr>
            </w:pPr>
            <w:r>
              <w:rPr>
                <w:rFonts w:ascii="Arial" w:cs="Arial" w:eastAsia="Arial" w:hAnsi="Arial"/>
                <w:sz w:val="14"/>
                <w:szCs w:val="14"/>
                <w:color w:val="55565A"/>
              </w:rPr>
              <w:t>Corporates and Tax &amp; Accounting</w:t>
            </w:r>
          </w:p>
        </w:tc>
        <w:tc>
          <w:tcPr>
            <w:tcW w:w="4340" w:type="dxa"/>
            <w:vAlign w:val="bottom"/>
          </w:tcPr>
          <w:p>
            <w:pPr>
              <w:ind w:left="420"/>
              <w:spacing w:after="0" w:line="145" w:lineRule="exact"/>
              <w:rPr>
                <w:sz w:val="20"/>
                <w:szCs w:val="20"/>
                <w:color w:val="auto"/>
              </w:rPr>
            </w:pPr>
            <w:r>
              <w:rPr>
                <w:rFonts w:ascii="Arial" w:cs="Arial" w:eastAsia="Arial" w:hAnsi="Arial"/>
                <w:sz w:val="14"/>
                <w:szCs w:val="14"/>
                <w:color w:val="55565A"/>
              </w:rPr>
              <w:t>A provider of tax automation software and services.</w:t>
            </w:r>
          </w:p>
        </w:tc>
      </w:tr>
      <w:tr>
        <w:trPr>
          <w:trHeight w:val="170"/>
        </w:trPr>
        <w:tc>
          <w:tcPr>
            <w:tcW w:w="20" w:type="dxa"/>
            <w:vAlign w:val="bottom"/>
          </w:tcPr>
          <w:p>
            <w:pPr>
              <w:spacing w:after="0"/>
              <w:rPr>
                <w:sz w:val="14"/>
                <w:szCs w:val="14"/>
                <w:color w:val="auto"/>
              </w:rPr>
            </w:pPr>
          </w:p>
        </w:tc>
        <w:tc>
          <w:tcPr>
            <w:tcW w:w="1340" w:type="dxa"/>
            <w:vAlign w:val="bottom"/>
            <w:tcBorders>
              <w:bottom w:val="single" w:sz="8" w:color="88888B"/>
            </w:tcBorders>
          </w:tcPr>
          <w:p>
            <w:pPr>
              <w:spacing w:after="0"/>
              <w:rPr>
                <w:sz w:val="14"/>
                <w:szCs w:val="14"/>
                <w:color w:val="auto"/>
              </w:rPr>
            </w:pPr>
          </w:p>
        </w:tc>
        <w:tc>
          <w:tcPr>
            <w:tcW w:w="2500" w:type="dxa"/>
            <w:vAlign w:val="bottom"/>
            <w:tcBorders>
              <w:bottom w:val="single" w:sz="8" w:color="88888B"/>
            </w:tcBorders>
          </w:tcPr>
          <w:p>
            <w:pPr>
              <w:spacing w:after="0"/>
              <w:rPr>
                <w:sz w:val="14"/>
                <w:szCs w:val="14"/>
                <w:color w:val="auto"/>
              </w:rPr>
            </w:pPr>
          </w:p>
        </w:tc>
        <w:tc>
          <w:tcPr>
            <w:tcW w:w="2720" w:type="dxa"/>
            <w:vAlign w:val="bottom"/>
            <w:tcBorders>
              <w:bottom w:val="single" w:sz="8" w:color="88888B"/>
            </w:tcBorders>
          </w:tcPr>
          <w:p>
            <w:pPr>
              <w:ind w:left="180"/>
              <w:spacing w:after="0"/>
              <w:rPr>
                <w:sz w:val="20"/>
                <w:szCs w:val="20"/>
                <w:color w:val="auto"/>
              </w:rPr>
            </w:pPr>
            <w:r>
              <w:rPr>
                <w:rFonts w:ascii="Arial" w:cs="Arial" w:eastAsia="Arial" w:hAnsi="Arial"/>
                <w:sz w:val="14"/>
                <w:szCs w:val="14"/>
                <w:color w:val="55565A"/>
              </w:rPr>
              <w:t>Professionals</w:t>
            </w:r>
          </w:p>
        </w:tc>
        <w:tc>
          <w:tcPr>
            <w:tcW w:w="4340" w:type="dxa"/>
            <w:vAlign w:val="bottom"/>
            <w:tcBorders>
              <w:bottom w:val="single" w:sz="8" w:color="88888B"/>
            </w:tcBorders>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1340" w:type="dxa"/>
            <w:vAlign w:val="bottom"/>
            <w:tcBorders>
              <w:bottom w:val="single" w:sz="8" w:color="55565A"/>
            </w:tcBorders>
          </w:tcPr>
          <w:p>
            <w:pPr>
              <w:spacing w:after="0"/>
              <w:rPr>
                <w:sz w:val="13"/>
                <w:szCs w:val="13"/>
                <w:color w:val="auto"/>
              </w:rPr>
            </w:pPr>
          </w:p>
        </w:tc>
        <w:tc>
          <w:tcPr>
            <w:tcW w:w="2500" w:type="dxa"/>
            <w:vAlign w:val="bottom"/>
            <w:tcBorders>
              <w:bottom w:val="single" w:sz="8" w:color="55565A"/>
            </w:tcBorders>
          </w:tcPr>
          <w:p>
            <w:pPr>
              <w:spacing w:after="0"/>
              <w:rPr>
                <w:sz w:val="13"/>
                <w:szCs w:val="13"/>
                <w:color w:val="auto"/>
              </w:rPr>
            </w:pPr>
          </w:p>
        </w:tc>
        <w:tc>
          <w:tcPr>
            <w:tcW w:w="2720" w:type="dxa"/>
            <w:vAlign w:val="bottom"/>
            <w:tcBorders>
              <w:bottom w:val="single" w:sz="8" w:color="55565A"/>
            </w:tcBorders>
          </w:tcPr>
          <w:p>
            <w:pPr>
              <w:spacing w:after="0"/>
              <w:rPr>
                <w:sz w:val="13"/>
                <w:szCs w:val="13"/>
                <w:color w:val="auto"/>
              </w:rPr>
            </w:pPr>
          </w:p>
        </w:tc>
        <w:tc>
          <w:tcPr>
            <w:tcW w:w="4340" w:type="dxa"/>
            <w:vAlign w:val="bottom"/>
            <w:tcBorders>
              <w:bottom w:val="single" w:sz="8" w:color="55565A"/>
            </w:tcBorders>
          </w:tcPr>
          <w:p>
            <w:pPr>
              <w:spacing w:after="0"/>
              <w:rPr>
                <w:sz w:val="13"/>
                <w:szCs w:val="13"/>
                <w:color w:val="auto"/>
              </w:rPr>
            </w:pPr>
          </w:p>
        </w:tc>
      </w:tr>
      <w:tr>
        <w:trPr>
          <w:trHeight w:val="276"/>
        </w:trPr>
        <w:tc>
          <w:tcPr>
            <w:tcW w:w="1360" w:type="dxa"/>
            <w:vAlign w:val="bottom"/>
            <w:gridSpan w:val="2"/>
          </w:tcPr>
          <w:p>
            <w:pPr>
              <w:spacing w:after="0"/>
              <w:rPr>
                <w:sz w:val="20"/>
                <w:szCs w:val="20"/>
                <w:color w:val="auto"/>
              </w:rPr>
            </w:pPr>
            <w:r>
              <w:rPr>
                <w:rFonts w:ascii="Arial" w:cs="Arial" w:eastAsia="Arial" w:hAnsi="Arial"/>
                <w:sz w:val="13"/>
                <w:szCs w:val="13"/>
                <w:color w:val="55565A"/>
              </w:rPr>
              <w:t>Page 56</w:t>
            </w: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0920"/>
          </w:cols>
          <w:pgMar w:left="480" w:top="1440" w:right="49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55565A"/>
        </w:rPr>
        <w:t>The details of net assets acquired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9297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700" w:type="dxa"/>
            <w:vAlign w:val="bottom"/>
            <w:gridSpan w:val="2"/>
          </w:tcPr>
          <w:p>
            <w:pPr>
              <w:jc w:val="right"/>
              <w:ind w:right="229"/>
              <w:spacing w:after="0"/>
              <w:rPr>
                <w:sz w:val="20"/>
                <w:szCs w:val="20"/>
                <w:color w:val="auto"/>
              </w:rPr>
            </w:pPr>
            <w:r>
              <w:rPr>
                <w:rFonts w:ascii="Arial" w:cs="Arial" w:eastAsia="Arial" w:hAnsi="Arial"/>
                <w:sz w:val="14"/>
                <w:szCs w:val="14"/>
                <w:color w:val="55565A"/>
              </w:rPr>
              <w:t>March 31,</w:t>
            </w:r>
          </w:p>
        </w:tc>
        <w:tc>
          <w:tcPr>
            <w:tcW w:w="920" w:type="dxa"/>
            <w:vAlign w:val="bottom"/>
          </w:tcPr>
          <w:p>
            <w:pPr>
              <w:spacing w:after="0"/>
              <w:rPr>
                <w:sz w:val="16"/>
                <w:szCs w:val="16"/>
                <w:color w:val="auto"/>
              </w:rPr>
            </w:pPr>
          </w:p>
        </w:tc>
        <w:tc>
          <w:tcPr>
            <w:tcW w:w="1460" w:type="dxa"/>
            <w:vAlign w:val="bottom"/>
          </w:tcPr>
          <w:p>
            <w:pPr>
              <w:jc w:val="right"/>
              <w:ind w:right="129"/>
              <w:spacing w:after="0"/>
              <w:rPr>
                <w:sz w:val="20"/>
                <w:szCs w:val="20"/>
                <w:color w:val="auto"/>
              </w:rPr>
            </w:pPr>
            <w:r>
              <w:rPr>
                <w:rFonts w:ascii="Arial" w:cs="Arial" w:eastAsia="Arial" w:hAnsi="Arial"/>
                <w:sz w:val="14"/>
                <w:szCs w:val="14"/>
                <w:color w:val="55565A"/>
              </w:rPr>
              <w:t>March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Arial" w:cs="Arial" w:eastAsia="Arial" w:hAnsi="Arial"/>
                <w:sz w:val="14"/>
                <w:szCs w:val="14"/>
                <w:b w:val="1"/>
                <w:bCs w:val="1"/>
                <w:color w:val="55565A"/>
              </w:rPr>
              <w:t> </w:t>
            </w:r>
          </w:p>
        </w:tc>
        <w:tc>
          <w:tcPr>
            <w:tcW w:w="680" w:type="dxa"/>
            <w:vAlign w:val="bottom"/>
          </w:tcPr>
          <w:p>
            <w:pPr>
              <w:jc w:val="right"/>
              <w:ind w:right="189"/>
              <w:spacing w:after="0"/>
              <w:rPr>
                <w:sz w:val="20"/>
                <w:szCs w:val="20"/>
                <w:color w:val="auto"/>
              </w:rPr>
            </w:pPr>
            <w:r>
              <w:rPr>
                <w:rFonts w:ascii="Arial" w:cs="Arial" w:eastAsia="Arial" w:hAnsi="Arial"/>
                <w:sz w:val="14"/>
                <w:szCs w:val="14"/>
                <w:b w:val="1"/>
                <w:bCs w:val="1"/>
                <w:color w:val="55565A"/>
              </w:rPr>
              <w:t>2024</w:t>
            </w:r>
          </w:p>
        </w:tc>
        <w:tc>
          <w:tcPr>
            <w:tcW w:w="920" w:type="dxa"/>
            <w:vAlign w:val="bottom"/>
          </w:tcPr>
          <w:p>
            <w:pPr>
              <w:spacing w:after="0"/>
              <w:rPr>
                <w:sz w:val="19"/>
                <w:szCs w:val="19"/>
                <w:color w:val="auto"/>
              </w:rPr>
            </w:pPr>
          </w:p>
        </w:tc>
        <w:tc>
          <w:tcPr>
            <w:tcW w:w="1460" w:type="dxa"/>
            <w:vAlign w:val="bottom"/>
          </w:tcPr>
          <w:p>
            <w:pPr>
              <w:jc w:val="right"/>
              <w:ind w:right="129"/>
              <w:spacing w:after="0"/>
              <w:rPr>
                <w:sz w:val="20"/>
                <w:szCs w:val="20"/>
                <w:color w:val="auto"/>
              </w:rPr>
            </w:pPr>
            <w:r>
              <w:rPr>
                <w:rFonts w:ascii="Arial" w:cs="Arial" w:eastAsia="Arial" w:hAnsi="Arial"/>
                <w:sz w:val="14"/>
                <w:szCs w:val="14"/>
                <w:color w:val="55565A"/>
              </w:rPr>
              <w:t>   2023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820" w:type="dxa"/>
            <w:vAlign w:val="bottom"/>
            <w:tcBorders>
              <w:bottom w:val="single" w:sz="8" w:color="88888B"/>
            </w:tcBorders>
          </w:tcPr>
          <w:p>
            <w:pPr>
              <w:spacing w:after="0"/>
              <w:rPr>
                <w:sz w:val="2"/>
                <w:szCs w:val="2"/>
                <w:color w:val="auto"/>
              </w:rPr>
            </w:pPr>
          </w:p>
        </w:tc>
        <w:tc>
          <w:tcPr>
            <w:tcW w:w="3020" w:type="dxa"/>
            <w:vAlign w:val="bottom"/>
            <w:tcBorders>
              <w:bottom w:val="single" w:sz="8" w:color="88888B"/>
            </w:tcBorders>
          </w:tcPr>
          <w:p>
            <w:pPr>
              <w:spacing w:after="0"/>
              <w:rPr>
                <w:sz w:val="2"/>
                <w:szCs w:val="2"/>
                <w:color w:val="auto"/>
              </w:rPr>
            </w:pPr>
          </w:p>
        </w:tc>
        <w:tc>
          <w:tcPr>
            <w:tcW w:w="680" w:type="dxa"/>
            <w:vAlign w:val="bottom"/>
            <w:tcBorders>
              <w:bottom w:val="single" w:sz="8" w:color="88888B"/>
            </w:tcBorders>
          </w:tcPr>
          <w:p>
            <w:pPr>
              <w:spacing w:after="0"/>
              <w:rPr>
                <w:sz w:val="2"/>
                <w:szCs w:val="2"/>
                <w:color w:val="auto"/>
              </w:rPr>
            </w:pPr>
          </w:p>
        </w:tc>
        <w:tc>
          <w:tcPr>
            <w:tcW w:w="920" w:type="dxa"/>
            <w:vAlign w:val="bottom"/>
            <w:tcBorders>
              <w:bottom w:val="single" w:sz="8" w:color="88888B"/>
            </w:tcBorders>
          </w:tcPr>
          <w:p>
            <w:pPr>
              <w:spacing w:after="0"/>
              <w:rPr>
                <w:sz w:val="2"/>
                <w:szCs w:val="2"/>
                <w:color w:val="auto"/>
              </w:rPr>
            </w:pPr>
          </w:p>
        </w:tc>
        <w:tc>
          <w:tcPr>
            <w:tcW w:w="1460" w:type="dxa"/>
            <w:vAlign w:val="bottom"/>
            <w:tcBorders>
              <w:bottom w:val="single" w:sz="8" w:color="88888B"/>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3020" w:type="dxa"/>
            <w:vAlign w:val="bottom"/>
          </w:tcPr>
          <w:p>
            <w:pPr>
              <w:jc w:val="right"/>
              <w:ind w:right="349"/>
              <w:spacing w:after="0" w:line="154" w:lineRule="exact"/>
              <w:rPr>
                <w:sz w:val="20"/>
                <w:szCs w:val="20"/>
                <w:color w:val="auto"/>
              </w:rPr>
            </w:pPr>
            <w:r>
              <w:rPr>
                <w:rFonts w:ascii="Arial" w:cs="Arial" w:eastAsia="Arial" w:hAnsi="Arial"/>
                <w:sz w:val="14"/>
                <w:szCs w:val="14"/>
                <w:b w:val="1"/>
                <w:bCs w:val="1"/>
                <w:color w:val="55565A"/>
              </w:rPr>
              <w:t>Pagero</w:t>
            </w:r>
          </w:p>
        </w:tc>
        <w:tc>
          <w:tcPr>
            <w:tcW w:w="680" w:type="dxa"/>
            <w:vAlign w:val="bottom"/>
          </w:tcPr>
          <w:p>
            <w:pPr>
              <w:jc w:val="right"/>
              <w:ind w:right="229"/>
              <w:spacing w:after="0" w:line="154" w:lineRule="exact"/>
              <w:rPr>
                <w:sz w:val="20"/>
                <w:szCs w:val="20"/>
                <w:color w:val="auto"/>
              </w:rPr>
            </w:pPr>
            <w:r>
              <w:rPr>
                <w:rFonts w:ascii="Arial" w:cs="Arial" w:eastAsia="Arial" w:hAnsi="Arial"/>
                <w:sz w:val="14"/>
                <w:szCs w:val="14"/>
                <w:b w:val="1"/>
                <w:bCs w:val="1"/>
                <w:color w:val="55565A"/>
                <w:w w:val="96"/>
              </w:rPr>
              <w:t>Other</w:t>
            </w:r>
          </w:p>
        </w:tc>
        <w:tc>
          <w:tcPr>
            <w:tcW w:w="920" w:type="dxa"/>
            <w:vAlign w:val="bottom"/>
          </w:tcPr>
          <w:p>
            <w:pPr>
              <w:jc w:val="right"/>
              <w:ind w:right="249"/>
              <w:spacing w:after="0" w:line="154" w:lineRule="exact"/>
              <w:rPr>
                <w:sz w:val="20"/>
                <w:szCs w:val="20"/>
                <w:color w:val="auto"/>
              </w:rPr>
            </w:pPr>
            <w:r>
              <w:rPr>
                <w:rFonts w:ascii="Arial" w:cs="Arial" w:eastAsia="Arial" w:hAnsi="Arial"/>
                <w:sz w:val="14"/>
                <w:szCs w:val="14"/>
                <w:b w:val="1"/>
                <w:bCs w:val="1"/>
                <w:color w:val="55565A"/>
              </w:rPr>
              <w:t>Total</w:t>
            </w:r>
          </w:p>
        </w:tc>
        <w:tc>
          <w:tcPr>
            <w:tcW w:w="1460" w:type="dxa"/>
            <w:vAlign w:val="bottom"/>
          </w:tcPr>
          <w:p>
            <w:pPr>
              <w:jc w:val="right"/>
              <w:ind w:right="129"/>
              <w:spacing w:after="0" w:line="154" w:lineRule="exact"/>
              <w:rPr>
                <w:sz w:val="20"/>
                <w:szCs w:val="20"/>
                <w:color w:val="auto"/>
              </w:rPr>
            </w:pPr>
            <w:r>
              <w:rPr>
                <w:rFonts w:ascii="Arial" w:cs="Arial" w:eastAsia="Arial" w:hAnsi="Arial"/>
                <w:sz w:val="14"/>
                <w:szCs w:val="14"/>
                <w:b w:val="1"/>
                <w:bCs w:val="1"/>
                <w:color w:val="55565A"/>
              </w:rPr>
              <w:t>SurePrep LLC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55565A"/>
              </w:rPr>
              <w:t>Cash and cash equivalents</w:t>
            </w:r>
          </w:p>
        </w:tc>
        <w:tc>
          <w:tcPr>
            <w:tcW w:w="3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22</w:t>
            </w:r>
          </w:p>
        </w:tc>
        <w:tc>
          <w:tcPr>
            <w:tcW w:w="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2</w:t>
            </w:r>
          </w:p>
        </w:tc>
        <w:tc>
          <w:tcPr>
            <w:tcW w:w="92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24</w:t>
            </w:r>
          </w:p>
        </w:tc>
        <w:tc>
          <w:tcPr>
            <w:tcW w:w="146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20"/>
                <w:szCs w:val="20"/>
                <w:color w:val="auto"/>
              </w:rPr>
            </w:pPr>
            <w:r>
              <w:rPr>
                <w:rFonts w:ascii="Arial" w:cs="Arial" w:eastAsia="Arial" w:hAnsi="Arial"/>
                <w:sz w:val="14"/>
                <w:szCs w:val="14"/>
                <w:color w:val="55565A"/>
              </w:rPr>
              <w:t>Trade receivables</w:t>
            </w:r>
          </w:p>
        </w:tc>
        <w:tc>
          <w:tcPr>
            <w:tcW w:w="3020" w:type="dxa"/>
            <w:vAlign w:val="bottom"/>
          </w:tcPr>
          <w:p>
            <w:pPr>
              <w:jc w:val="right"/>
              <w:ind w:right="349"/>
              <w:spacing w:after="0"/>
              <w:rPr>
                <w:sz w:val="20"/>
                <w:szCs w:val="20"/>
                <w:color w:val="auto"/>
              </w:rPr>
            </w:pPr>
            <w:r>
              <w:rPr>
                <w:rFonts w:ascii="Arial" w:cs="Arial" w:eastAsia="Arial" w:hAnsi="Arial"/>
                <w:sz w:val="14"/>
                <w:szCs w:val="14"/>
                <w:b w:val="1"/>
                <w:bCs w:val="1"/>
                <w:color w:val="55565A"/>
              </w:rPr>
              <w:t>24</w:t>
            </w:r>
          </w:p>
        </w:tc>
        <w:tc>
          <w:tcPr>
            <w:tcW w:w="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3</w:t>
            </w:r>
          </w:p>
        </w:tc>
        <w:tc>
          <w:tcPr>
            <w:tcW w:w="920" w:type="dxa"/>
            <w:vAlign w:val="bottom"/>
          </w:tcPr>
          <w:p>
            <w:pPr>
              <w:jc w:val="right"/>
              <w:ind w:right="249"/>
              <w:spacing w:after="0"/>
              <w:rPr>
                <w:sz w:val="20"/>
                <w:szCs w:val="20"/>
                <w:color w:val="auto"/>
              </w:rPr>
            </w:pPr>
            <w:r>
              <w:rPr>
                <w:rFonts w:ascii="Arial" w:cs="Arial" w:eastAsia="Arial" w:hAnsi="Arial"/>
                <w:sz w:val="14"/>
                <w:szCs w:val="14"/>
                <w:b w:val="1"/>
                <w:bCs w:val="1"/>
                <w:color w:val="55565A"/>
              </w:rPr>
              <w:t>27</w:t>
            </w: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55565A"/>
              </w:rPr>
              <w:t>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2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Prepaid expenses and other current assets</w:t>
            </w:r>
          </w:p>
        </w:tc>
        <w:tc>
          <w:tcPr>
            <w:tcW w:w="3020" w:type="dxa"/>
            <w:vAlign w:val="bottom"/>
            <w:tcBorders>
              <w:bottom w:val="single" w:sz="8" w:color="88888B"/>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6</w:t>
            </w:r>
          </w:p>
        </w:tc>
        <w:tc>
          <w:tcPr>
            <w:tcW w:w="68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w:t>
            </w:r>
          </w:p>
        </w:tc>
        <w:tc>
          <w:tcPr>
            <w:tcW w:w="92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6</w:t>
            </w:r>
          </w:p>
        </w:tc>
        <w:tc>
          <w:tcPr>
            <w:tcW w:w="146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3</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820" w:type="dxa"/>
            <w:vAlign w:val="bottom"/>
          </w:tcPr>
          <w:p>
            <w:pPr>
              <w:ind w:left="120"/>
              <w:spacing w:after="0"/>
              <w:rPr>
                <w:sz w:val="20"/>
                <w:szCs w:val="20"/>
                <w:color w:val="auto"/>
              </w:rPr>
            </w:pPr>
            <w:r>
              <w:rPr>
                <w:rFonts w:ascii="Arial" w:cs="Arial" w:eastAsia="Arial" w:hAnsi="Arial"/>
                <w:sz w:val="14"/>
                <w:szCs w:val="14"/>
                <w:color w:val="55565A"/>
              </w:rPr>
              <w:t>Current assets</w:t>
            </w:r>
          </w:p>
        </w:tc>
        <w:tc>
          <w:tcPr>
            <w:tcW w:w="3020" w:type="dxa"/>
            <w:vAlign w:val="bottom"/>
          </w:tcPr>
          <w:p>
            <w:pPr>
              <w:jc w:val="right"/>
              <w:ind w:right="349"/>
              <w:spacing w:after="0"/>
              <w:rPr>
                <w:sz w:val="20"/>
                <w:szCs w:val="20"/>
                <w:color w:val="auto"/>
              </w:rPr>
            </w:pPr>
            <w:r>
              <w:rPr>
                <w:rFonts w:ascii="Arial" w:cs="Arial" w:eastAsia="Arial" w:hAnsi="Arial"/>
                <w:sz w:val="14"/>
                <w:szCs w:val="14"/>
                <w:b w:val="1"/>
                <w:bCs w:val="1"/>
                <w:color w:val="55565A"/>
              </w:rPr>
              <w:t>52</w:t>
            </w:r>
          </w:p>
        </w:tc>
        <w:tc>
          <w:tcPr>
            <w:tcW w:w="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5</w:t>
            </w:r>
          </w:p>
        </w:tc>
        <w:tc>
          <w:tcPr>
            <w:tcW w:w="920" w:type="dxa"/>
            <w:vAlign w:val="bottom"/>
          </w:tcPr>
          <w:p>
            <w:pPr>
              <w:jc w:val="right"/>
              <w:ind w:right="249"/>
              <w:spacing w:after="0"/>
              <w:rPr>
                <w:sz w:val="20"/>
                <w:szCs w:val="20"/>
                <w:color w:val="auto"/>
              </w:rPr>
            </w:pPr>
            <w:r>
              <w:rPr>
                <w:rFonts w:ascii="Arial" w:cs="Arial" w:eastAsia="Arial" w:hAnsi="Arial"/>
                <w:sz w:val="14"/>
                <w:szCs w:val="14"/>
                <w:b w:val="1"/>
                <w:bCs w:val="1"/>
                <w:color w:val="55565A"/>
              </w:rPr>
              <w:t>57</w:t>
            </w: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55565A"/>
              </w:rPr>
              <w:t>36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55565A"/>
              </w:rPr>
              <w:t>Property and equipment</w:t>
            </w:r>
          </w:p>
        </w:tc>
        <w:tc>
          <w:tcPr>
            <w:tcW w:w="3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9</w:t>
            </w:r>
          </w:p>
        </w:tc>
        <w:tc>
          <w:tcPr>
            <w:tcW w:w="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w:t>
            </w:r>
          </w:p>
        </w:tc>
        <w:tc>
          <w:tcPr>
            <w:tcW w:w="92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9</w:t>
            </w:r>
          </w:p>
        </w:tc>
        <w:tc>
          <w:tcPr>
            <w:tcW w:w="146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20"/>
                <w:szCs w:val="20"/>
                <w:color w:val="auto"/>
              </w:rPr>
            </w:pPr>
            <w:r>
              <w:rPr>
                <w:rFonts w:ascii="Arial" w:cs="Arial" w:eastAsia="Arial" w:hAnsi="Arial"/>
                <w:sz w:val="14"/>
                <w:szCs w:val="14"/>
                <w:color w:val="55565A"/>
              </w:rPr>
              <w:t>Computer software</w:t>
            </w:r>
          </w:p>
        </w:tc>
        <w:tc>
          <w:tcPr>
            <w:tcW w:w="3020" w:type="dxa"/>
            <w:vAlign w:val="bottom"/>
          </w:tcPr>
          <w:p>
            <w:pPr>
              <w:jc w:val="right"/>
              <w:ind w:right="349"/>
              <w:spacing w:after="0"/>
              <w:rPr>
                <w:sz w:val="20"/>
                <w:szCs w:val="20"/>
                <w:color w:val="auto"/>
              </w:rPr>
            </w:pPr>
            <w:r>
              <w:rPr>
                <w:rFonts w:ascii="Arial" w:cs="Arial" w:eastAsia="Arial" w:hAnsi="Arial"/>
                <w:sz w:val="14"/>
                <w:szCs w:val="14"/>
                <w:b w:val="1"/>
                <w:bCs w:val="1"/>
                <w:color w:val="55565A"/>
              </w:rPr>
              <w:t>302</w:t>
            </w:r>
          </w:p>
        </w:tc>
        <w:tc>
          <w:tcPr>
            <w:tcW w:w="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w:t>
            </w:r>
          </w:p>
        </w:tc>
        <w:tc>
          <w:tcPr>
            <w:tcW w:w="920" w:type="dxa"/>
            <w:vAlign w:val="bottom"/>
          </w:tcPr>
          <w:p>
            <w:pPr>
              <w:jc w:val="right"/>
              <w:ind w:right="249"/>
              <w:spacing w:after="0"/>
              <w:rPr>
                <w:sz w:val="20"/>
                <w:szCs w:val="20"/>
                <w:color w:val="auto"/>
              </w:rPr>
            </w:pPr>
            <w:r>
              <w:rPr>
                <w:rFonts w:ascii="Arial" w:cs="Arial" w:eastAsia="Arial" w:hAnsi="Arial"/>
                <w:sz w:val="14"/>
                <w:szCs w:val="14"/>
                <w:b w:val="1"/>
                <w:bCs w:val="1"/>
                <w:color w:val="55565A"/>
              </w:rPr>
              <w:t>302</w:t>
            </w: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55565A"/>
              </w:rPr>
              <w:t>180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55565A"/>
              </w:rPr>
              <w:t>Other identifiable intangible assets</w:t>
            </w:r>
          </w:p>
        </w:tc>
        <w:tc>
          <w:tcPr>
            <w:tcW w:w="3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42</w:t>
            </w:r>
          </w:p>
        </w:tc>
        <w:tc>
          <w:tcPr>
            <w:tcW w:w="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19</w:t>
            </w:r>
          </w:p>
        </w:tc>
        <w:tc>
          <w:tcPr>
            <w:tcW w:w="92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61</w:t>
            </w:r>
          </w:p>
        </w:tc>
        <w:tc>
          <w:tcPr>
            <w:tcW w:w="146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2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Other non-current assets</w:t>
            </w:r>
          </w:p>
        </w:tc>
        <w:tc>
          <w:tcPr>
            <w:tcW w:w="3020" w:type="dxa"/>
            <w:vAlign w:val="bottom"/>
            <w:tcBorders>
              <w:bottom w:val="single" w:sz="8" w:color="88888B"/>
            </w:tcBorders>
          </w:tcPr>
          <w:p>
            <w:pPr>
              <w:jc w:val="right"/>
              <w:ind w:right="349"/>
              <w:spacing w:after="0"/>
              <w:rPr>
                <w:sz w:val="20"/>
                <w:szCs w:val="20"/>
                <w:color w:val="auto"/>
              </w:rPr>
            </w:pPr>
            <w:r>
              <w:rPr>
                <w:rFonts w:ascii="Arial" w:cs="Arial" w:eastAsia="Arial" w:hAnsi="Arial"/>
                <w:sz w:val="14"/>
                <w:szCs w:val="14"/>
                <w:b w:val="1"/>
                <w:bCs w:val="1"/>
                <w:color w:val="55565A"/>
              </w:rPr>
              <w:t>4</w:t>
            </w:r>
          </w:p>
        </w:tc>
        <w:tc>
          <w:tcPr>
            <w:tcW w:w="68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b w:val="1"/>
                <w:bCs w:val="1"/>
                <w:color w:val="55565A"/>
              </w:rPr>
              <w:t>-</w:t>
            </w:r>
          </w:p>
        </w:tc>
        <w:tc>
          <w:tcPr>
            <w:tcW w:w="92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4</w:t>
            </w:r>
          </w:p>
        </w:tc>
        <w:tc>
          <w:tcPr>
            <w:tcW w:w="1460" w:type="dxa"/>
            <w:vAlign w:val="bottom"/>
            <w:tcBorders>
              <w:bottom w:val="single" w:sz="8" w:color="88888B"/>
            </w:tcBorders>
          </w:tcPr>
          <w:p>
            <w:pPr>
              <w:jc w:val="right"/>
              <w:ind w:right="129"/>
              <w:spacing w:after="0"/>
              <w:rPr>
                <w:sz w:val="20"/>
                <w:szCs w:val="20"/>
                <w:color w:val="auto"/>
              </w:rPr>
            </w:pPr>
            <w:r>
              <w:rPr>
                <w:rFonts w:ascii="Arial" w:cs="Arial" w:eastAsia="Arial" w:hAnsi="Arial"/>
                <w:sz w:val="14"/>
                <w:szCs w:val="14"/>
                <w:b w:val="1"/>
                <w:bCs w:val="1"/>
                <w:color w:val="55565A"/>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55565A"/>
              </w:rPr>
              <w:t>Total assets</w:t>
            </w:r>
          </w:p>
        </w:tc>
        <w:tc>
          <w:tcPr>
            <w:tcW w:w="3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409</w:t>
            </w:r>
          </w:p>
        </w:tc>
        <w:tc>
          <w:tcPr>
            <w:tcW w:w="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24</w:t>
            </w:r>
          </w:p>
        </w:tc>
        <w:tc>
          <w:tcPr>
            <w:tcW w:w="92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433</w:t>
            </w:r>
          </w:p>
        </w:tc>
        <w:tc>
          <w:tcPr>
            <w:tcW w:w="146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232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20"/>
                <w:szCs w:val="20"/>
                <w:color w:val="auto"/>
              </w:rPr>
            </w:pPr>
            <w:r>
              <w:rPr>
                <w:rFonts w:ascii="Arial" w:cs="Arial" w:eastAsia="Arial" w:hAnsi="Arial"/>
                <w:sz w:val="14"/>
                <w:szCs w:val="14"/>
                <w:color w:val="55565A"/>
              </w:rPr>
              <w:t>Payables and accruals</w:t>
            </w:r>
          </w:p>
        </w:tc>
        <w:tc>
          <w:tcPr>
            <w:tcW w:w="3020" w:type="dxa"/>
            <w:vAlign w:val="bottom"/>
          </w:tcPr>
          <w:p>
            <w:pPr>
              <w:jc w:val="right"/>
              <w:ind w:right="349"/>
              <w:spacing w:after="0"/>
              <w:rPr>
                <w:sz w:val="20"/>
                <w:szCs w:val="20"/>
                <w:color w:val="auto"/>
              </w:rPr>
            </w:pPr>
            <w:r>
              <w:rPr>
                <w:rFonts w:ascii="Arial" w:cs="Arial" w:eastAsia="Arial" w:hAnsi="Arial"/>
                <w:sz w:val="14"/>
                <w:szCs w:val="14"/>
                <w:b w:val="1"/>
                <w:bCs w:val="1"/>
                <w:color w:val="55565A"/>
              </w:rPr>
              <w:t>(44)</w:t>
            </w:r>
          </w:p>
        </w:tc>
        <w:tc>
          <w:tcPr>
            <w:tcW w:w="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(1)</w:t>
            </w:r>
          </w:p>
        </w:tc>
        <w:tc>
          <w:tcPr>
            <w:tcW w:w="920" w:type="dxa"/>
            <w:vAlign w:val="bottom"/>
          </w:tcPr>
          <w:p>
            <w:pPr>
              <w:jc w:val="right"/>
              <w:ind w:right="249"/>
              <w:spacing w:after="0"/>
              <w:rPr>
                <w:sz w:val="20"/>
                <w:szCs w:val="20"/>
                <w:color w:val="auto"/>
              </w:rPr>
            </w:pPr>
            <w:r>
              <w:rPr>
                <w:rFonts w:ascii="Arial" w:cs="Arial" w:eastAsia="Arial" w:hAnsi="Arial"/>
                <w:sz w:val="14"/>
                <w:szCs w:val="14"/>
                <w:b w:val="1"/>
                <w:bCs w:val="1"/>
                <w:color w:val="55565A"/>
              </w:rPr>
              <w:t>(45)</w:t>
            </w: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55565A"/>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55565A"/>
              </w:rPr>
              <w:t>Current taxes payable</w:t>
            </w:r>
          </w:p>
        </w:tc>
        <w:tc>
          <w:tcPr>
            <w:tcW w:w="3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(4)</w:t>
            </w:r>
          </w:p>
        </w:tc>
        <w:tc>
          <w:tcPr>
            <w:tcW w:w="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(1)</w:t>
            </w:r>
          </w:p>
        </w:tc>
        <w:tc>
          <w:tcPr>
            <w:tcW w:w="92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(5)</w:t>
            </w:r>
          </w:p>
        </w:tc>
        <w:tc>
          <w:tcPr>
            <w:tcW w:w="146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tcPr>
          <w:p>
            <w:pPr>
              <w:spacing w:after="0"/>
              <w:rPr>
                <w:sz w:val="20"/>
                <w:szCs w:val="20"/>
                <w:color w:val="auto"/>
              </w:rPr>
            </w:pPr>
            <w:r>
              <w:rPr>
                <w:rFonts w:ascii="Arial" w:cs="Arial" w:eastAsia="Arial" w:hAnsi="Arial"/>
                <w:sz w:val="14"/>
                <w:szCs w:val="14"/>
                <w:color w:val="55565A"/>
              </w:rPr>
              <w:t>Deferred revenue</w:t>
            </w:r>
          </w:p>
        </w:tc>
        <w:tc>
          <w:tcPr>
            <w:tcW w:w="3020" w:type="dxa"/>
            <w:vAlign w:val="bottom"/>
          </w:tcPr>
          <w:p>
            <w:pPr>
              <w:jc w:val="right"/>
              <w:ind w:right="349"/>
              <w:spacing w:after="0"/>
              <w:rPr>
                <w:sz w:val="20"/>
                <w:szCs w:val="20"/>
                <w:color w:val="auto"/>
              </w:rPr>
            </w:pPr>
            <w:r>
              <w:rPr>
                <w:rFonts w:ascii="Arial" w:cs="Arial" w:eastAsia="Arial" w:hAnsi="Arial"/>
                <w:sz w:val="14"/>
                <w:szCs w:val="14"/>
                <w:b w:val="1"/>
                <w:bCs w:val="1"/>
                <w:color w:val="55565A"/>
              </w:rPr>
              <w:t>(13)</w:t>
            </w:r>
          </w:p>
        </w:tc>
        <w:tc>
          <w:tcPr>
            <w:tcW w:w="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(5)</w:t>
            </w:r>
          </w:p>
        </w:tc>
        <w:tc>
          <w:tcPr>
            <w:tcW w:w="920" w:type="dxa"/>
            <w:vAlign w:val="bottom"/>
          </w:tcPr>
          <w:p>
            <w:pPr>
              <w:jc w:val="right"/>
              <w:ind w:right="249"/>
              <w:spacing w:after="0"/>
              <w:rPr>
                <w:sz w:val="20"/>
                <w:szCs w:val="20"/>
                <w:color w:val="auto"/>
              </w:rPr>
            </w:pPr>
            <w:r>
              <w:rPr>
                <w:rFonts w:ascii="Arial" w:cs="Arial" w:eastAsia="Arial" w:hAnsi="Arial"/>
                <w:sz w:val="14"/>
                <w:szCs w:val="14"/>
                <w:b w:val="1"/>
                <w:bCs w:val="1"/>
                <w:color w:val="55565A"/>
              </w:rPr>
              <w:t>(18)</w:t>
            </w: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55565A"/>
              </w:rPr>
              <w:t>(47)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Other financial liabilities</w:t>
            </w:r>
          </w:p>
        </w:tc>
        <w:tc>
          <w:tcPr>
            <w:tcW w:w="3020" w:type="dxa"/>
            <w:vAlign w:val="bottom"/>
            <w:tcBorders>
              <w:bottom w:val="single" w:sz="8" w:color="88888B"/>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(2)</w:t>
            </w:r>
          </w:p>
        </w:tc>
        <w:tc>
          <w:tcPr>
            <w:tcW w:w="68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(6)</w:t>
            </w:r>
          </w:p>
        </w:tc>
        <w:tc>
          <w:tcPr>
            <w:tcW w:w="92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(8)</w:t>
            </w:r>
          </w:p>
        </w:tc>
        <w:tc>
          <w:tcPr>
            <w:tcW w:w="146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820" w:type="dxa"/>
            <w:vAlign w:val="bottom"/>
          </w:tcPr>
          <w:p>
            <w:pPr>
              <w:ind w:left="120"/>
              <w:spacing w:after="0"/>
              <w:rPr>
                <w:sz w:val="20"/>
                <w:szCs w:val="20"/>
                <w:color w:val="auto"/>
              </w:rPr>
            </w:pPr>
            <w:r>
              <w:rPr>
                <w:rFonts w:ascii="Arial" w:cs="Arial" w:eastAsia="Arial" w:hAnsi="Arial"/>
                <w:sz w:val="14"/>
                <w:szCs w:val="14"/>
                <w:color w:val="55565A"/>
              </w:rPr>
              <w:t>Current liabilities</w:t>
            </w:r>
          </w:p>
        </w:tc>
        <w:tc>
          <w:tcPr>
            <w:tcW w:w="3020" w:type="dxa"/>
            <w:vAlign w:val="bottom"/>
          </w:tcPr>
          <w:p>
            <w:pPr>
              <w:jc w:val="right"/>
              <w:ind w:right="349"/>
              <w:spacing w:after="0"/>
              <w:rPr>
                <w:sz w:val="20"/>
                <w:szCs w:val="20"/>
                <w:color w:val="auto"/>
              </w:rPr>
            </w:pPr>
            <w:r>
              <w:rPr>
                <w:rFonts w:ascii="Arial" w:cs="Arial" w:eastAsia="Arial" w:hAnsi="Arial"/>
                <w:sz w:val="14"/>
                <w:szCs w:val="14"/>
                <w:b w:val="1"/>
                <w:bCs w:val="1"/>
                <w:color w:val="55565A"/>
              </w:rPr>
              <w:t>(63)</w:t>
            </w:r>
          </w:p>
        </w:tc>
        <w:tc>
          <w:tcPr>
            <w:tcW w:w="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(13)</w:t>
            </w:r>
          </w:p>
        </w:tc>
        <w:tc>
          <w:tcPr>
            <w:tcW w:w="920" w:type="dxa"/>
            <w:vAlign w:val="bottom"/>
          </w:tcPr>
          <w:p>
            <w:pPr>
              <w:jc w:val="right"/>
              <w:ind w:right="249"/>
              <w:spacing w:after="0"/>
              <w:rPr>
                <w:sz w:val="20"/>
                <w:szCs w:val="20"/>
                <w:color w:val="auto"/>
              </w:rPr>
            </w:pPr>
            <w:r>
              <w:rPr>
                <w:rFonts w:ascii="Arial" w:cs="Arial" w:eastAsia="Arial" w:hAnsi="Arial"/>
                <w:sz w:val="14"/>
                <w:szCs w:val="14"/>
                <w:b w:val="1"/>
                <w:bCs w:val="1"/>
                <w:color w:val="55565A"/>
              </w:rPr>
              <w:t>(76)</w:t>
            </w: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55565A"/>
              </w:rPr>
              <w:t>(52)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55565A"/>
              </w:rPr>
              <w:t>Long-term indebtedness</w:t>
            </w:r>
          </w:p>
        </w:tc>
        <w:tc>
          <w:tcPr>
            <w:tcW w:w="3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(48)</w:t>
            </w:r>
          </w:p>
        </w:tc>
        <w:tc>
          <w:tcPr>
            <w:tcW w:w="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w:t>
            </w:r>
          </w:p>
        </w:tc>
        <w:tc>
          <w:tcPr>
            <w:tcW w:w="92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(48)</w:t>
            </w:r>
          </w:p>
        </w:tc>
        <w:tc>
          <w:tcPr>
            <w:tcW w:w="146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20"/>
                <w:szCs w:val="20"/>
                <w:color w:val="auto"/>
              </w:rPr>
            </w:pPr>
            <w:r>
              <w:rPr>
                <w:rFonts w:ascii="Arial" w:cs="Arial" w:eastAsia="Arial" w:hAnsi="Arial"/>
                <w:sz w:val="14"/>
                <w:szCs w:val="14"/>
                <w:color w:val="55565A"/>
              </w:rPr>
              <w:t>Provisions and other non-current liabilities</w:t>
            </w:r>
          </w:p>
        </w:tc>
        <w:tc>
          <w:tcPr>
            <w:tcW w:w="3020" w:type="dxa"/>
            <w:vAlign w:val="bottom"/>
          </w:tcPr>
          <w:p>
            <w:pPr>
              <w:jc w:val="right"/>
              <w:ind w:right="349"/>
              <w:spacing w:after="0"/>
              <w:rPr>
                <w:sz w:val="20"/>
                <w:szCs w:val="20"/>
                <w:color w:val="auto"/>
              </w:rPr>
            </w:pPr>
            <w:r>
              <w:rPr>
                <w:rFonts w:ascii="Arial" w:cs="Arial" w:eastAsia="Arial" w:hAnsi="Arial"/>
                <w:sz w:val="14"/>
                <w:szCs w:val="14"/>
                <w:b w:val="1"/>
                <w:bCs w:val="1"/>
                <w:color w:val="55565A"/>
              </w:rPr>
              <w:t>(3)</w:t>
            </w:r>
          </w:p>
        </w:tc>
        <w:tc>
          <w:tcPr>
            <w:tcW w:w="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w:t>
            </w:r>
          </w:p>
        </w:tc>
        <w:tc>
          <w:tcPr>
            <w:tcW w:w="920" w:type="dxa"/>
            <w:vAlign w:val="bottom"/>
          </w:tcPr>
          <w:p>
            <w:pPr>
              <w:jc w:val="right"/>
              <w:ind w:right="249"/>
              <w:spacing w:after="0"/>
              <w:rPr>
                <w:sz w:val="20"/>
                <w:szCs w:val="20"/>
                <w:color w:val="auto"/>
              </w:rPr>
            </w:pPr>
            <w:r>
              <w:rPr>
                <w:rFonts w:ascii="Arial" w:cs="Arial" w:eastAsia="Arial" w:hAnsi="Arial"/>
                <w:sz w:val="14"/>
                <w:szCs w:val="14"/>
                <w:b w:val="1"/>
                <w:bCs w:val="1"/>
                <w:color w:val="55565A"/>
              </w:rPr>
              <w:t>(3)</w:t>
            </w: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55565A"/>
              </w:rPr>
              <w:t>(1)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55565A"/>
              </w:rPr>
              <w:t>Other financial liabilities</w:t>
            </w:r>
          </w:p>
        </w:tc>
        <w:tc>
          <w:tcPr>
            <w:tcW w:w="3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(13)</w:t>
            </w:r>
          </w:p>
        </w:tc>
        <w:tc>
          <w:tcPr>
            <w:tcW w:w="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(11)</w:t>
            </w:r>
          </w:p>
        </w:tc>
        <w:tc>
          <w:tcPr>
            <w:tcW w:w="92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(24)</w:t>
            </w:r>
          </w:p>
        </w:tc>
        <w:tc>
          <w:tcPr>
            <w:tcW w:w="146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Deferred tax</w:t>
            </w:r>
          </w:p>
        </w:tc>
        <w:tc>
          <w:tcPr>
            <w:tcW w:w="3020" w:type="dxa"/>
            <w:vAlign w:val="bottom"/>
            <w:tcBorders>
              <w:bottom w:val="single" w:sz="8" w:color="88888B"/>
            </w:tcBorders>
          </w:tcPr>
          <w:p>
            <w:pPr>
              <w:jc w:val="right"/>
              <w:ind w:right="349"/>
              <w:spacing w:after="0"/>
              <w:rPr>
                <w:sz w:val="20"/>
                <w:szCs w:val="20"/>
                <w:color w:val="auto"/>
              </w:rPr>
            </w:pPr>
            <w:r>
              <w:rPr>
                <w:rFonts w:ascii="Arial" w:cs="Arial" w:eastAsia="Arial" w:hAnsi="Arial"/>
                <w:sz w:val="14"/>
                <w:szCs w:val="14"/>
                <w:b w:val="1"/>
                <w:bCs w:val="1"/>
                <w:color w:val="55565A"/>
              </w:rPr>
              <w:t>(42)</w:t>
            </w:r>
          </w:p>
        </w:tc>
        <w:tc>
          <w:tcPr>
            <w:tcW w:w="68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b w:val="1"/>
                <w:bCs w:val="1"/>
                <w:color w:val="55565A"/>
              </w:rPr>
              <w:t>(5)</w:t>
            </w:r>
          </w:p>
        </w:tc>
        <w:tc>
          <w:tcPr>
            <w:tcW w:w="92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(47)</w:t>
            </w:r>
          </w:p>
        </w:tc>
        <w:tc>
          <w:tcPr>
            <w:tcW w:w="1460" w:type="dxa"/>
            <w:vAlign w:val="bottom"/>
            <w:tcBorders>
              <w:bottom w:val="single" w:sz="8" w:color="88888B"/>
            </w:tcBorders>
          </w:tcPr>
          <w:p>
            <w:pPr>
              <w:jc w:val="right"/>
              <w:ind w:right="129"/>
              <w:spacing w:after="0"/>
              <w:rPr>
                <w:sz w:val="20"/>
                <w:szCs w:val="20"/>
                <w:color w:val="auto"/>
              </w:rPr>
            </w:pPr>
            <w:r>
              <w:rPr>
                <w:rFonts w:ascii="Arial" w:cs="Arial" w:eastAsia="Arial" w:hAnsi="Arial"/>
                <w:sz w:val="14"/>
                <w:szCs w:val="14"/>
                <w:b w:val="1"/>
                <w:bCs w:val="1"/>
                <w:color w:val="55565A"/>
              </w:rPr>
              <w:t>(9)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2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Total liabilities</w:t>
            </w:r>
          </w:p>
        </w:tc>
        <w:tc>
          <w:tcPr>
            <w:tcW w:w="3020" w:type="dxa"/>
            <w:vAlign w:val="bottom"/>
            <w:tcBorders>
              <w:bottom w:val="single" w:sz="8" w:color="88888B"/>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(169)</w:t>
            </w:r>
          </w:p>
        </w:tc>
        <w:tc>
          <w:tcPr>
            <w:tcW w:w="68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(29)</w:t>
            </w:r>
          </w:p>
        </w:tc>
        <w:tc>
          <w:tcPr>
            <w:tcW w:w="92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(198)</w:t>
            </w:r>
          </w:p>
        </w:tc>
        <w:tc>
          <w:tcPr>
            <w:tcW w:w="146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20"/>
                <w:szCs w:val="20"/>
                <w:color w:val="auto"/>
              </w:rPr>
            </w:pPr>
            <w:r>
              <w:rPr>
                <w:rFonts w:ascii="Arial" w:cs="Arial" w:eastAsia="Arial" w:hAnsi="Arial"/>
                <w:sz w:val="14"/>
                <w:szCs w:val="14"/>
                <w:color w:val="55565A"/>
              </w:rPr>
              <w:t>Net assets acquired</w:t>
            </w:r>
          </w:p>
        </w:tc>
        <w:tc>
          <w:tcPr>
            <w:tcW w:w="3020" w:type="dxa"/>
            <w:vAlign w:val="bottom"/>
          </w:tcPr>
          <w:p>
            <w:pPr>
              <w:jc w:val="right"/>
              <w:ind w:right="349"/>
              <w:spacing w:after="0"/>
              <w:rPr>
                <w:sz w:val="20"/>
                <w:szCs w:val="20"/>
                <w:color w:val="auto"/>
              </w:rPr>
            </w:pPr>
            <w:r>
              <w:rPr>
                <w:rFonts w:ascii="Arial" w:cs="Arial" w:eastAsia="Arial" w:hAnsi="Arial"/>
                <w:sz w:val="14"/>
                <w:szCs w:val="14"/>
                <w:b w:val="1"/>
                <w:bCs w:val="1"/>
                <w:color w:val="55565A"/>
              </w:rPr>
              <w:t>240</w:t>
            </w:r>
          </w:p>
        </w:tc>
        <w:tc>
          <w:tcPr>
            <w:tcW w:w="680" w:type="dxa"/>
            <w:vAlign w:val="bottom"/>
          </w:tcPr>
          <w:p>
            <w:pPr>
              <w:jc w:val="right"/>
              <w:ind w:right="229"/>
              <w:spacing w:after="0"/>
              <w:rPr>
                <w:sz w:val="20"/>
                <w:szCs w:val="20"/>
                <w:color w:val="auto"/>
              </w:rPr>
            </w:pPr>
            <w:r>
              <w:rPr>
                <w:rFonts w:ascii="Arial" w:cs="Arial" w:eastAsia="Arial" w:hAnsi="Arial"/>
                <w:sz w:val="14"/>
                <w:szCs w:val="14"/>
                <w:b w:val="1"/>
                <w:bCs w:val="1"/>
                <w:color w:val="55565A"/>
              </w:rPr>
              <w:t>(5)</w:t>
            </w:r>
          </w:p>
        </w:tc>
        <w:tc>
          <w:tcPr>
            <w:tcW w:w="920" w:type="dxa"/>
            <w:vAlign w:val="bottom"/>
          </w:tcPr>
          <w:p>
            <w:pPr>
              <w:jc w:val="right"/>
              <w:ind w:right="249"/>
              <w:spacing w:after="0"/>
              <w:rPr>
                <w:sz w:val="20"/>
                <w:szCs w:val="20"/>
                <w:color w:val="auto"/>
              </w:rPr>
            </w:pPr>
            <w:r>
              <w:rPr>
                <w:rFonts w:ascii="Arial" w:cs="Arial" w:eastAsia="Arial" w:hAnsi="Arial"/>
                <w:sz w:val="14"/>
                <w:szCs w:val="14"/>
                <w:b w:val="1"/>
                <w:bCs w:val="1"/>
                <w:color w:val="55565A"/>
              </w:rPr>
              <w:t>235</w:t>
            </w: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55565A"/>
              </w:rPr>
              <w:t>170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55565A"/>
              </w:rPr>
              <w:t>Goodwill</w:t>
            </w:r>
          </w:p>
        </w:tc>
        <w:tc>
          <w:tcPr>
            <w:tcW w:w="3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557</w:t>
            </w:r>
          </w:p>
        </w:tc>
        <w:tc>
          <w:tcPr>
            <w:tcW w:w="6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46</w:t>
            </w:r>
          </w:p>
        </w:tc>
        <w:tc>
          <w:tcPr>
            <w:tcW w:w="92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603</w:t>
            </w:r>
          </w:p>
        </w:tc>
        <w:tc>
          <w:tcPr>
            <w:tcW w:w="146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343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2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Non-controlling interests</w:t>
            </w:r>
          </w:p>
        </w:tc>
        <w:tc>
          <w:tcPr>
            <w:tcW w:w="3020" w:type="dxa"/>
            <w:vAlign w:val="bottom"/>
            <w:tcBorders>
              <w:bottom w:val="single" w:sz="8" w:color="88888B"/>
            </w:tcBorders>
          </w:tcPr>
          <w:p>
            <w:pPr>
              <w:jc w:val="right"/>
              <w:ind w:right="349"/>
              <w:spacing w:after="0"/>
              <w:rPr>
                <w:sz w:val="20"/>
                <w:szCs w:val="20"/>
                <w:color w:val="auto"/>
              </w:rPr>
            </w:pPr>
            <w:r>
              <w:rPr>
                <w:rFonts w:ascii="Arial" w:cs="Arial" w:eastAsia="Arial" w:hAnsi="Arial"/>
                <w:sz w:val="14"/>
                <w:szCs w:val="14"/>
                <w:b w:val="1"/>
                <w:bCs w:val="1"/>
                <w:color w:val="55565A"/>
              </w:rPr>
              <w:t>(388)</w:t>
            </w:r>
          </w:p>
        </w:tc>
        <w:tc>
          <w:tcPr>
            <w:tcW w:w="68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b w:val="1"/>
                <w:bCs w:val="1"/>
                <w:color w:val="55565A"/>
              </w:rPr>
              <w:t>-</w:t>
            </w:r>
          </w:p>
        </w:tc>
        <w:tc>
          <w:tcPr>
            <w:tcW w:w="92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(388)</w:t>
            </w:r>
          </w:p>
        </w:tc>
        <w:tc>
          <w:tcPr>
            <w:tcW w:w="1460" w:type="dxa"/>
            <w:vAlign w:val="bottom"/>
            <w:tcBorders>
              <w:bottom w:val="single" w:sz="8" w:color="88888B"/>
            </w:tcBorders>
          </w:tcPr>
          <w:p>
            <w:pPr>
              <w:jc w:val="right"/>
              <w:ind w:right="129"/>
              <w:spacing w:after="0"/>
              <w:rPr>
                <w:sz w:val="20"/>
                <w:szCs w:val="20"/>
                <w:color w:val="auto"/>
              </w:rPr>
            </w:pPr>
            <w:r>
              <w:rPr>
                <w:rFonts w:ascii="Arial" w:cs="Arial" w:eastAsia="Arial" w:hAnsi="Arial"/>
                <w:sz w:val="14"/>
                <w:szCs w:val="14"/>
                <w:b w:val="1"/>
                <w:bCs w:val="1"/>
                <w:color w:val="55565A"/>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20" w:type="dxa"/>
            <w:vAlign w:val="bottom"/>
            <w:tcBorders>
              <w:bottom w:val="single" w:sz="8" w:color="88888B"/>
            </w:tcBorders>
            <w:shd w:val="clear" w:color="auto" w:fill="CCEEFF"/>
          </w:tcPr>
          <w:p>
            <w:pPr>
              <w:spacing w:after="0"/>
              <w:rPr>
                <w:sz w:val="20"/>
                <w:szCs w:val="20"/>
                <w:color w:val="auto"/>
              </w:rPr>
            </w:pPr>
            <w:r>
              <w:rPr>
                <w:rFonts w:ascii="Arial" w:cs="Arial" w:eastAsia="Arial" w:hAnsi="Arial"/>
                <w:sz w:val="14"/>
                <w:szCs w:val="14"/>
                <w:color w:val="55565A"/>
              </w:rPr>
              <w:t>Total</w:t>
            </w:r>
          </w:p>
        </w:tc>
        <w:tc>
          <w:tcPr>
            <w:tcW w:w="3020" w:type="dxa"/>
            <w:vAlign w:val="bottom"/>
            <w:tcBorders>
              <w:bottom w:val="single" w:sz="8" w:color="88888B"/>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55565A"/>
              </w:rPr>
              <w:t>409</w:t>
            </w:r>
          </w:p>
        </w:tc>
        <w:tc>
          <w:tcPr>
            <w:tcW w:w="680" w:type="dxa"/>
            <w:vAlign w:val="bottom"/>
            <w:tcBorders>
              <w:bottom w:val="single" w:sz="8" w:color="88888B"/>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5565A"/>
              </w:rPr>
              <w:t>41</w:t>
            </w:r>
          </w:p>
        </w:tc>
        <w:tc>
          <w:tcPr>
            <w:tcW w:w="920" w:type="dxa"/>
            <w:vAlign w:val="bottom"/>
            <w:tcBorders>
              <w:bottom w:val="single" w:sz="8" w:color="88888B"/>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55565A"/>
              </w:rPr>
              <w:t>450</w:t>
            </w:r>
          </w:p>
        </w:tc>
        <w:tc>
          <w:tcPr>
            <w:tcW w:w="1460" w:type="dxa"/>
            <w:vAlign w:val="bottom"/>
            <w:tcBorders>
              <w:bottom w:val="single" w:sz="8" w:color="88888B"/>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5565A"/>
              </w:rPr>
              <w:t>513</w:t>
            </w:r>
          </w:p>
        </w:tc>
        <w:tc>
          <w:tcPr>
            <w:tcW w:w="0" w:type="dxa"/>
            <w:vAlign w:val="bottom"/>
          </w:tcPr>
          <w:p>
            <w:pPr>
              <w:spacing w:after="0"/>
              <w:rPr>
                <w:sz w:val="1"/>
                <w:szCs w:val="1"/>
                <w:color w:val="auto"/>
              </w:rPr>
            </w:pPr>
          </w:p>
        </w:tc>
      </w:tr>
      <w:tr>
        <w:trPr>
          <w:trHeight w:val="207"/>
        </w:trPr>
        <w:tc>
          <w:tcPr>
            <w:tcW w:w="20" w:type="dxa"/>
            <w:vAlign w:val="bottom"/>
            <w:tcBorders>
              <w:bottom w:val="single" w:sz="8" w:color="88888B"/>
            </w:tcBorders>
          </w:tcPr>
          <w:p>
            <w:pPr>
              <w:spacing w:after="0"/>
              <w:rPr>
                <w:sz w:val="18"/>
                <w:szCs w:val="18"/>
                <w:color w:val="auto"/>
              </w:rPr>
            </w:pPr>
          </w:p>
        </w:tc>
        <w:tc>
          <w:tcPr>
            <w:tcW w:w="4820" w:type="dxa"/>
            <w:vAlign w:val="bottom"/>
            <w:tcBorders>
              <w:bottom w:val="single" w:sz="8" w:color="88888B"/>
            </w:tcBorders>
          </w:tcPr>
          <w:p>
            <w:pPr>
              <w:spacing w:after="0"/>
              <w:rPr>
                <w:sz w:val="20"/>
                <w:szCs w:val="20"/>
                <w:color w:val="auto"/>
              </w:rPr>
            </w:pPr>
            <w:r>
              <w:rPr>
                <w:rFonts w:ascii="Arial" w:cs="Arial" w:eastAsia="Arial" w:hAnsi="Arial"/>
                <w:sz w:val="14"/>
                <w:szCs w:val="14"/>
                <w:color w:val="55565A"/>
              </w:rPr>
              <w:t>Businesses acquired, net of cash</w:t>
            </w:r>
          </w:p>
        </w:tc>
        <w:tc>
          <w:tcPr>
            <w:tcW w:w="3020" w:type="dxa"/>
            <w:vAlign w:val="bottom"/>
            <w:tcBorders>
              <w:bottom w:val="single" w:sz="8" w:color="88888B"/>
            </w:tcBorders>
          </w:tcPr>
          <w:p>
            <w:pPr>
              <w:jc w:val="right"/>
              <w:ind w:right="349"/>
              <w:spacing w:after="0"/>
              <w:rPr>
                <w:sz w:val="20"/>
                <w:szCs w:val="20"/>
                <w:color w:val="auto"/>
              </w:rPr>
            </w:pPr>
            <w:r>
              <w:rPr>
                <w:rFonts w:ascii="Arial" w:cs="Arial" w:eastAsia="Arial" w:hAnsi="Arial"/>
                <w:sz w:val="14"/>
                <w:szCs w:val="14"/>
                <w:b w:val="1"/>
                <w:bCs w:val="1"/>
                <w:color w:val="55565A"/>
              </w:rPr>
              <w:t>387</w:t>
            </w:r>
          </w:p>
        </w:tc>
        <w:tc>
          <w:tcPr>
            <w:tcW w:w="680" w:type="dxa"/>
            <w:vAlign w:val="bottom"/>
            <w:tcBorders>
              <w:bottom w:val="single" w:sz="8" w:color="88888B"/>
            </w:tcBorders>
          </w:tcPr>
          <w:p>
            <w:pPr>
              <w:jc w:val="right"/>
              <w:ind w:right="229"/>
              <w:spacing w:after="0"/>
              <w:rPr>
                <w:sz w:val="20"/>
                <w:szCs w:val="20"/>
                <w:color w:val="auto"/>
              </w:rPr>
            </w:pPr>
            <w:r>
              <w:rPr>
                <w:rFonts w:ascii="Arial" w:cs="Arial" w:eastAsia="Arial" w:hAnsi="Arial"/>
                <w:sz w:val="14"/>
                <w:szCs w:val="14"/>
                <w:b w:val="1"/>
                <w:bCs w:val="1"/>
                <w:color w:val="55565A"/>
              </w:rPr>
              <w:t>39</w:t>
            </w:r>
          </w:p>
        </w:tc>
        <w:tc>
          <w:tcPr>
            <w:tcW w:w="920" w:type="dxa"/>
            <w:vAlign w:val="bottom"/>
            <w:tcBorders>
              <w:bottom w:val="single" w:sz="8" w:color="88888B"/>
            </w:tcBorders>
          </w:tcPr>
          <w:p>
            <w:pPr>
              <w:jc w:val="right"/>
              <w:ind w:right="249"/>
              <w:spacing w:after="0"/>
              <w:rPr>
                <w:sz w:val="20"/>
                <w:szCs w:val="20"/>
                <w:color w:val="auto"/>
              </w:rPr>
            </w:pPr>
            <w:r>
              <w:rPr>
                <w:rFonts w:ascii="Arial" w:cs="Arial" w:eastAsia="Arial" w:hAnsi="Arial"/>
                <w:sz w:val="14"/>
                <w:szCs w:val="14"/>
                <w:b w:val="1"/>
                <w:bCs w:val="1"/>
                <w:color w:val="55565A"/>
              </w:rPr>
              <w:t>426</w:t>
            </w:r>
          </w:p>
        </w:tc>
        <w:tc>
          <w:tcPr>
            <w:tcW w:w="1460" w:type="dxa"/>
            <w:vAlign w:val="bottom"/>
            <w:tcBorders>
              <w:bottom w:val="single" w:sz="8" w:color="88888B"/>
            </w:tcBorders>
          </w:tcPr>
          <w:p>
            <w:pPr>
              <w:jc w:val="right"/>
              <w:ind w:right="129"/>
              <w:spacing w:after="0"/>
              <w:rPr>
                <w:sz w:val="20"/>
                <w:szCs w:val="20"/>
                <w:color w:val="auto"/>
              </w:rPr>
            </w:pPr>
            <w:r>
              <w:rPr>
                <w:rFonts w:ascii="Arial" w:cs="Arial" w:eastAsia="Arial" w:hAnsi="Arial"/>
                <w:sz w:val="14"/>
                <w:szCs w:val="14"/>
                <w:b w:val="1"/>
                <w:bCs w:val="1"/>
                <w:color w:val="55565A"/>
              </w:rPr>
              <w:t>488</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right="140"/>
        <w:spacing w:after="0" w:line="262" w:lineRule="auto"/>
        <w:rPr>
          <w:sz w:val="20"/>
          <w:szCs w:val="20"/>
          <w:color w:val="auto"/>
        </w:rPr>
      </w:pPr>
      <w:r>
        <w:rPr>
          <w:rFonts w:ascii="Arial" w:cs="Arial" w:eastAsia="Arial" w:hAnsi="Arial"/>
          <w:sz w:val="16"/>
          <w:szCs w:val="16"/>
          <w:color w:val="55565A"/>
        </w:rPr>
        <w:t>The excess of the purchase price over the net assets acquired was recorded as goodwill and reflects synergies and the value of the acquired workforce. Relative to the acquisitions completed in three months ended March 31, 2024 and 2023, the majority of goodwill is not expected to be deductible for tax purposes.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55565A"/>
        </w:rPr>
        <w:t>Pagero</w:t>
      </w:r>
    </w:p>
    <w:p>
      <w:pPr>
        <w:spacing w:after="0" w:line="108" w:lineRule="exact"/>
        <w:rPr>
          <w:sz w:val="20"/>
          <w:szCs w:val="20"/>
          <w:color w:val="auto"/>
        </w:rPr>
      </w:pPr>
    </w:p>
    <w:p>
      <w:pPr>
        <w:jc w:val="both"/>
        <w:ind w:right="120"/>
        <w:spacing w:after="0" w:line="279" w:lineRule="auto"/>
        <w:rPr>
          <w:sz w:val="20"/>
          <w:szCs w:val="20"/>
          <w:color w:val="auto"/>
        </w:rPr>
      </w:pPr>
      <w:r>
        <w:rPr>
          <w:rFonts w:ascii="Arial" w:cs="Arial" w:eastAsia="Arial" w:hAnsi="Arial"/>
          <w:sz w:val="16"/>
          <w:szCs w:val="16"/>
          <w:color w:val="55565A"/>
        </w:rPr>
        <w:t>In January 2024, the Company acquired a controlling interest in Pagero through a public tender offer. The Company purchased further interests from the non-controlling shareholders through March 2024. As of March 31, 2024, the Company owned approximately 99.58% of Pagero.</w:t>
      </w:r>
    </w:p>
    <w:p>
      <w:pPr>
        <w:spacing w:after="0" w:line="5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55565A"/>
        </w:rPr>
        <w:t>The non-controlling interest was measured at fair value, based on the tender offer price of SEK 50 per share, on the date of acquisition and recorded as part of equity. After the date of acquisition, the non-controlling interest was adjusted for its proportionate share of changes in equity. After the Company gained control of Pagero, further purchases of shares from the non-controlling interest reduced equity and were presented in financing activities within the consolidated statement of cash flow.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55565A"/>
        </w:rPr>
        <w:t>Purchase price allocation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55565A"/>
        </w:rPr>
        <w:t>Purchase price allocations related to certain acquisitions may be subject to adjustment pending completion of final valuations.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55565A"/>
        </w:rPr>
        <w:t>Other</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55565A"/>
        </w:rPr>
        <w:t>The revenues and operating profit of acquired businesses were not material to the Company’s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57</w:t>
      </w:r>
    </w:p>
    <w:p>
      <w:pPr>
        <w:sectPr>
          <w:pgSz w:w="11900" w:h="16838" w:orient="portrait"/>
          <w:cols w:equalWidth="0" w:num="1">
            <w:col w:w="10920"/>
          </w:cols>
          <w:pgMar w:left="480" w:top="1440" w:right="49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18: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Lawsuits and legal claims</w:t>
      </w:r>
    </w:p>
    <w:p>
      <w:pPr>
        <w:spacing w:after="0" w:line="11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55565A"/>
        </w:rPr>
        <w:t>The Company is engaged in various legal proceedings, claims, audits and investigations that have arisen in the ordinary course of business. These matters include, but are not limited to, employment matters, commercial matters, privacy and data protection matters, defamation matters and intellectual property infringement matters. The outcome of all the matters against the Company is subject to future resolution, including uncertainties of litigation. Litigation outcomes are difficult to predict with certainty due to various factors, including but not limited to: the preliminary nature of some claims; uncertain damage theories and demands; an incomplete factual record; uncertainty concerning legal theories and procedures and their resolution by the courts, at both trial and appellate levels; and the unpredictable nature of opposing parties. Based on information currently known to the Company and after consultation with outside legal counsel, management believes that the ultimate resolution of any such matters, individually or in the aggregate, will not have a material adverse impact on the Company’s financial condition taken as a whole.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Uncertain tax positions</w:t>
      </w:r>
    </w:p>
    <w:p>
      <w:pPr>
        <w:spacing w:after="0" w:line="110" w:lineRule="exact"/>
        <w:rPr>
          <w:sz w:val="20"/>
          <w:szCs w:val="20"/>
          <w:color w:val="auto"/>
        </w:rPr>
      </w:pPr>
    </w:p>
    <w:p>
      <w:pPr>
        <w:jc w:val="both"/>
        <w:ind w:right="280"/>
        <w:spacing w:after="0" w:line="262" w:lineRule="auto"/>
        <w:rPr>
          <w:sz w:val="20"/>
          <w:szCs w:val="20"/>
          <w:color w:val="auto"/>
        </w:rPr>
      </w:pPr>
      <w:r>
        <w:rPr>
          <w:rFonts w:ascii="Arial" w:cs="Arial" w:eastAsia="Arial" w:hAnsi="Arial"/>
          <w:sz w:val="16"/>
          <w:szCs w:val="16"/>
          <w:color w:val="55565A"/>
        </w:rPr>
        <w:t>The Company is subject to taxation in numerous jurisdictions and is routinely under audit by many different taxing authorities in the ordinary course of business. There are many transactions and calculations during the course of business for which the ultimate tax determination is uncertain, as taxing authorities may challenge some of the Company’s positions and propose adjustments or changes to its tax filings.</w:t>
      </w:r>
    </w:p>
    <w:p>
      <w:pPr>
        <w:spacing w:after="0" w:line="66" w:lineRule="exact"/>
        <w:rPr>
          <w:sz w:val="20"/>
          <w:szCs w:val="20"/>
          <w:color w:val="auto"/>
        </w:rPr>
      </w:pPr>
    </w:p>
    <w:p>
      <w:pPr>
        <w:spacing w:after="0" w:line="249" w:lineRule="auto"/>
        <w:rPr>
          <w:sz w:val="20"/>
          <w:szCs w:val="20"/>
          <w:color w:val="auto"/>
        </w:rPr>
      </w:pPr>
      <w:r>
        <w:rPr>
          <w:rFonts w:ascii="Arial" w:cs="Arial" w:eastAsia="Arial" w:hAnsi="Arial"/>
          <w:sz w:val="16"/>
          <w:szCs w:val="16"/>
          <w:color w:val="55565A"/>
        </w:rPr>
        <w:t>As a result, the Company maintains provisions for uncertain tax positions that it believes appropriately reflect its risk. These provisions are made using the Company’s best estimates of the amount expected to be paid based on a qualitative assessment of all relevant factors. When appropriate, the Company performs an expected value calculation to determine its provisions. The Company reviews the adequacy of these provisions at the end of each reporting period and adjusts them based on changing facts and circumstances. Due to the uncertainty associated with tax audits, it is possible that at some future date, liabilities resulting from such audits or related litigation could vary significantly from the Company’s provisions. However, based on currently enacted legislation, information currently known by the Company and after consultation with outside tax advisors, management believes that the ultimate resolution of any such matters, individually or in the aggregate, will not have a material adverse impact on the Company’s financial condition taken as a whole.</w:t>
      </w:r>
    </w:p>
    <w:p>
      <w:pPr>
        <w:spacing w:after="0" w:line="78" w:lineRule="exact"/>
        <w:rPr>
          <w:sz w:val="20"/>
          <w:szCs w:val="20"/>
          <w:color w:val="auto"/>
        </w:rPr>
      </w:pPr>
    </w:p>
    <w:p>
      <w:pPr>
        <w:spacing w:after="0" w:line="250" w:lineRule="auto"/>
        <w:rPr>
          <w:sz w:val="20"/>
          <w:szCs w:val="20"/>
          <w:color w:val="auto"/>
        </w:rPr>
      </w:pPr>
      <w:r>
        <w:rPr>
          <w:rFonts w:ascii="Arial" w:cs="Arial" w:eastAsia="Arial" w:hAnsi="Arial"/>
          <w:sz w:val="16"/>
          <w:szCs w:val="16"/>
          <w:color w:val="55565A"/>
        </w:rPr>
        <w:t>Prior to December 31, 2023, the Company paid $430 million of tax as required under notices of assessment issued by the U.K. tax authority, HM Revenue &amp; Customs (“HMRC”), under the Diverted Profits Tax (“DPT”) regime that collectively related to the 2015, 2016, 2017 and 2018 taxation years of certain of its current and former U.K. affiliates. The Company does not believe these current and former U.K. affiliates fall within the scope of the DPT regime. Because the Company believes its position is supported by the weight of law, it intends to vigorously defend its position and will continue contesting these assessments through all available administrative and judicial remedies. As the assessments largely relate to businesses that the Company has sold, the majority are subject to indemnity arrangements under which the Company has been required to pay additional taxes to HMRC or the indemnity counterparty.</w:t>
      </w:r>
    </w:p>
    <w:p>
      <w:pPr>
        <w:spacing w:after="0" w:line="7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55565A"/>
        </w:rPr>
        <w:t>The Company does not believe that the resolution of these matters will have a material adverse effect on its financial condition taken as a whole. Payments made by the Company are not a reflection of its view on the merits of the case. As the Company expects to receive refunds of substantially all of the aggregate of amounts paid pursuant to these notices of assessment, it expects to continue recording substantially all of these payments as non-current receivables from HMRC or the indemnity counterparty, in its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69297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55565A"/>
        </w:rPr>
        <w:t>Page 58</w:t>
      </w:r>
    </w:p>
    <w:p>
      <w:pPr>
        <w:sectPr>
          <w:pgSz w:w="11900" w:h="16838" w:orient="portrait"/>
          <w:cols w:equalWidth="0" w:num="1">
            <w:col w:w="10880"/>
          </w:cols>
          <w:pgMar w:left="480" w:top="1440" w:right="5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Guarantees</w:t>
      </w:r>
    </w:p>
    <w:p>
      <w:pPr>
        <w:spacing w:after="0" w:line="110"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55565A"/>
        </w:rPr>
        <w:t>The Company has an investment in 3XSQ Associates, an entity jointly owned by a subsidiary of the Company and Rudin Times Square Associates LLC (“Rudin”), that owns and operates the 3 Times Square office building (“the building”) in New York, New York. In June 2022, 3XSQ Associates obtained a $415 million, 3-year term loan facility to refinance existing debt, fund the building’s redevelopment, and cover interest and operating costs during the redevelopment period. The building is pledged as loan collateral. Thomson Reuters and Rudin each guarantee 50% of (i) certain principal loan amounts and (ii) interest and operating costs. Thomson Reuters and Rudin also jointly and severally guarantee (i) completion of commenced works and (ii) lender losses arising from disallowed acts, environmental or otherwise. To minimize economic exposure to 50% for the joint and several obligations, Thomson Reuters and a parent entity of Rudin entered into a cross-indemnification arrangement. The Company believes the value of the building is expected to be sufficient to cover obligations that could arise from the guarantees. The guarantees do not impact the Company’s ability to borrow funds under its $2.0 billion syndicated credit facility or the related covenant calculation.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19: Related Party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5565A"/>
        </w:rPr>
        <w:t>As of March 31, 2024, the Company’s principal shareholder, Woodbridge, beneficially owned approximately 69% of the Company’s common shares.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Transactions with YPL</w:t>
      </w:r>
    </w:p>
    <w:p>
      <w:pPr>
        <w:spacing w:after="0" w:line="110"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55565A"/>
        </w:rPr>
        <w:t>In the three months ended March 31, 2024, the Company received $1.2 billion of dividends from YPL related to sale of LSEG shares indirectly owned by the Company. See note 8 for further details about these transactions.</w:t>
      </w:r>
    </w:p>
    <w:p>
      <w:pPr>
        <w:spacing w:after="0" w:line="54" w:lineRule="exact"/>
        <w:rPr>
          <w:sz w:val="20"/>
          <w:szCs w:val="20"/>
          <w:color w:val="auto"/>
        </w:rPr>
      </w:pPr>
    </w:p>
    <w:p>
      <w:pPr>
        <w:jc w:val="both"/>
        <w:ind w:right="180"/>
        <w:spacing w:after="0" w:line="262" w:lineRule="auto"/>
        <w:rPr>
          <w:sz w:val="20"/>
          <w:szCs w:val="20"/>
          <w:color w:val="auto"/>
        </w:rPr>
      </w:pPr>
      <w:r>
        <w:rPr>
          <w:rFonts w:ascii="Arial" w:cs="Arial" w:eastAsia="Arial" w:hAnsi="Arial"/>
          <w:sz w:val="16"/>
          <w:szCs w:val="16"/>
          <w:color w:val="55565A"/>
        </w:rPr>
        <w:t>Except for the above transactions, there were no new significant related party transactions during the first three months of 2024. Refer to “Related party transactions” disclosed in note 32 of the Company’s consolidated financial statements for the year ended December 31, 2023, which are included in the Company’s 2023 annual report, for information regarding related party transactions.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5565A"/>
        </w:rPr>
        <w:t>Note 20: Subsequent Events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Sale of LSEG Shares</w:t>
      </w:r>
    </w:p>
    <w:p>
      <w:pPr>
        <w:spacing w:after="0" w:line="11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55565A"/>
        </w:rPr>
        <w:t>On May 1, 2024, the Company agreed to sell to LSEG approximately 1.6 million LSEG shares that it indirectly owned for approximately $175 million in an off-market purchase pursuant to the terms of a buyback contract that was approved by LSEG’s shareholders on April 25, 2024. In order to enable the off-market purchase, LSEG agreed to a limited variation of the contractual lock-up provisions previously agreed between LSEG and the Blackstone consortium/Thomson Reuters entities that hold the LSEG shares.</w:t>
      </w:r>
    </w:p>
    <w:p>
      <w:pPr>
        <w:spacing w:after="0" w:line="71"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55565A"/>
        </w:rPr>
        <w:t>As of May 1, 2024, after the completion of the above transaction, the Company indirectly owned approximately 4.3 million LSEG shares and the market value was approximately $0.5 billion, based on LSEG’s closing share price on that date. These shares are subject to amended lock-up provisions that allow the Company to sell all of the remaining shares after January 29, 2025.</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55565A"/>
        </w:rPr>
        <w:t>Share Repurchases</w:t>
      </w:r>
    </w:p>
    <w:p>
      <w:pPr>
        <w:spacing w:after="0" w:line="110"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55565A"/>
        </w:rPr>
        <w:t>From April 1, 2024 through April 30, 2024, the Company repurchased 0.7 million of its common shares for $106 million under the $1.0 billion share buyback program announced in November 2023. Under this program, the Company has cumulatively repurchased $819 million of its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69297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3"/>
          <w:szCs w:val="13"/>
          <w:color w:val="55565A"/>
        </w:rPr>
        <w:t>Page 59</w:t>
      </w:r>
    </w:p>
    <w:p>
      <w:pPr>
        <w:sectPr>
          <w:pgSz w:w="11900" w:h="16838" w:orient="portrait"/>
          <w:cols w:equalWidth="0" w:num="1">
            <w:col w:w="10920"/>
          </w:cols>
          <w:pgMar w:left="480" w:top="1440" w:right="4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 Hasker, certify that:</w:t>
      </w:r>
    </w:p>
    <w:p>
      <w:pPr>
        <w:spacing w:after="0" w:line="127" w:lineRule="exact"/>
        <w:rPr>
          <w:sz w:val="20"/>
          <w:szCs w:val="20"/>
          <w:color w:val="auto"/>
        </w:rPr>
      </w:pPr>
    </w:p>
    <w:p>
      <w:pPr>
        <w:ind w:left="440" w:hanging="433"/>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6-K of Thomson Reuters Corporation;</w:t>
      </w:r>
    </w:p>
    <w:p>
      <w:pPr>
        <w:spacing w:after="0" w:line="127" w:lineRule="exact"/>
        <w:rPr>
          <w:rFonts w:ascii="Times New Roman" w:cs="Times New Roman" w:eastAsia="Times New Roman" w:hAnsi="Times New Roman"/>
          <w:sz w:val="18"/>
          <w:szCs w:val="18"/>
          <w:color w:val="auto"/>
        </w:rPr>
      </w:pPr>
    </w:p>
    <w:p>
      <w:pPr>
        <w:jc w:val="both"/>
        <w:ind w:left="440" w:right="120" w:hanging="433"/>
        <w:spacing w:after="0" w:line="263" w:lineRule="auto"/>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40" w:right="80" w:hanging="433"/>
        <w:spacing w:after="0" w:line="278" w:lineRule="auto"/>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ind w:left="440" w:right="300" w:hanging="433"/>
        <w:spacing w:after="0" w:line="274" w:lineRule="auto"/>
        <w:tabs>
          <w:tab w:leader="none" w:pos="4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08" w:lineRule="exact"/>
        <w:rPr>
          <w:rFonts w:ascii="Times New Roman" w:cs="Times New Roman" w:eastAsia="Times New Roman" w:hAnsi="Times New Roman"/>
          <w:sz w:val="17"/>
          <w:szCs w:val="17"/>
          <w:color w:val="auto"/>
        </w:rPr>
      </w:pPr>
    </w:p>
    <w:p>
      <w:pPr>
        <w:ind w:left="980" w:right="20" w:hanging="545"/>
        <w:spacing w:after="0" w:line="263"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80" w:right="140" w:hanging="545"/>
        <w:spacing w:after="0" w:line="263"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80" w:right="320" w:hanging="545"/>
        <w:spacing w:after="0" w:line="308" w:lineRule="auto"/>
        <w:tabs>
          <w:tab w:leader="none" w:pos="98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7"/>
          <w:szCs w:val="17"/>
          <w:color w:val="auto"/>
        </w:rPr>
      </w:pPr>
    </w:p>
    <w:p>
      <w:pPr>
        <w:ind w:left="980" w:right="180" w:hanging="545"/>
        <w:spacing w:after="0" w:line="263"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40" w:hanging="433"/>
        <w:spacing w:after="0" w:line="278" w:lineRule="auto"/>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980" w:right="560" w:hanging="545"/>
        <w:spacing w:after="0" w:line="308" w:lineRule="auto"/>
        <w:tabs>
          <w:tab w:leader="none" w:pos="98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17"/>
          <w:szCs w:val="17"/>
          <w:color w:val="auto"/>
        </w:rPr>
      </w:pPr>
    </w:p>
    <w:p>
      <w:pPr>
        <w:ind w:left="980" w:right="240" w:hanging="545"/>
        <w:spacing w:after="0" w:line="278"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Steve Hasker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15875</wp:posOffset>
            </wp:positionV>
            <wp:extent cx="27686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Steve Hasker</w:t>
      </w:r>
    </w:p>
    <w:p>
      <w:pPr>
        <w:spacing w:after="0" w:line="2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920"/>
          </w:cols>
          <w:pgMar w:left="480" w:top="117" w:right="49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Eastwood, certify that:</w:t>
      </w:r>
    </w:p>
    <w:p>
      <w:pPr>
        <w:spacing w:after="0" w:line="127" w:lineRule="exact"/>
        <w:rPr>
          <w:sz w:val="20"/>
          <w:szCs w:val="20"/>
          <w:color w:val="auto"/>
        </w:rPr>
      </w:pPr>
    </w:p>
    <w:p>
      <w:pPr>
        <w:ind w:left="440" w:hanging="433"/>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6-K of Thomson Reuters Corporation;</w:t>
      </w:r>
    </w:p>
    <w:p>
      <w:pPr>
        <w:spacing w:after="0" w:line="127" w:lineRule="exact"/>
        <w:rPr>
          <w:rFonts w:ascii="Times New Roman" w:cs="Times New Roman" w:eastAsia="Times New Roman" w:hAnsi="Times New Roman"/>
          <w:sz w:val="18"/>
          <w:szCs w:val="18"/>
          <w:color w:val="auto"/>
        </w:rPr>
      </w:pPr>
    </w:p>
    <w:p>
      <w:pPr>
        <w:jc w:val="both"/>
        <w:ind w:left="440" w:right="120" w:hanging="433"/>
        <w:spacing w:after="0" w:line="263" w:lineRule="auto"/>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40" w:right="80" w:hanging="433"/>
        <w:spacing w:after="0" w:line="278" w:lineRule="auto"/>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ind w:left="440" w:right="300" w:hanging="433"/>
        <w:spacing w:after="0" w:line="274" w:lineRule="auto"/>
        <w:tabs>
          <w:tab w:leader="none" w:pos="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08" w:lineRule="exact"/>
        <w:rPr>
          <w:rFonts w:ascii="Times New Roman" w:cs="Times New Roman" w:eastAsia="Times New Roman" w:hAnsi="Times New Roman"/>
          <w:sz w:val="17"/>
          <w:szCs w:val="17"/>
          <w:color w:val="auto"/>
        </w:rPr>
      </w:pPr>
    </w:p>
    <w:p>
      <w:pPr>
        <w:ind w:left="980" w:right="20" w:hanging="545"/>
        <w:spacing w:after="0" w:line="263"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80" w:right="140" w:hanging="545"/>
        <w:spacing w:after="0" w:line="263"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80" w:right="320" w:hanging="545"/>
        <w:spacing w:after="0" w:line="308" w:lineRule="auto"/>
        <w:tabs>
          <w:tab w:leader="none" w:pos="9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7"/>
          <w:szCs w:val="17"/>
          <w:color w:val="auto"/>
        </w:rPr>
      </w:pPr>
    </w:p>
    <w:p>
      <w:pPr>
        <w:ind w:left="980" w:right="180" w:hanging="545"/>
        <w:spacing w:after="0" w:line="263"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40" w:hanging="433"/>
        <w:spacing w:after="0" w:line="278" w:lineRule="auto"/>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980" w:right="560" w:hanging="545"/>
        <w:spacing w:after="0" w:line="308" w:lineRule="auto"/>
        <w:tabs>
          <w:tab w:leader="none" w:pos="9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17"/>
          <w:szCs w:val="17"/>
          <w:color w:val="auto"/>
        </w:rPr>
      </w:pPr>
    </w:p>
    <w:p>
      <w:pPr>
        <w:ind w:left="980" w:right="240" w:hanging="545"/>
        <w:spacing w:after="0" w:line="278"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Michael Eastwood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15875</wp:posOffset>
            </wp:positionV>
            <wp:extent cx="27686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Michael Eastwood</w:t>
      </w:r>
    </w:p>
    <w:p>
      <w:pPr>
        <w:spacing w:after="0" w:line="2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20"/>
          </w:cols>
          <w:pgMar w:left="480" w:top="117" w:right="49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t>In connection with the report of Thomson Reuters Corporation (the “Corporation”) on Form 6-K for the period ended March 31, 2024, as furnished to the Securities and Exchange Commission on the date hereof (the “Report”), I, Steve Hasker, President and Chief Executive Officer of the Corporation, hereby certify, pursuant to 18 U.S.C. Section 1350, as adopted pursuant to Section 906 of the Sarbanes-Oxley Act of 2002, that:</w:t>
      </w:r>
    </w:p>
    <w:p>
      <w:pPr>
        <w:spacing w:after="0" w:line="68" w:lineRule="exact"/>
        <w:rPr>
          <w:sz w:val="20"/>
          <w:szCs w:val="20"/>
          <w:color w:val="auto"/>
        </w:rPr>
      </w:pPr>
    </w:p>
    <w:p>
      <w:pPr>
        <w:ind w:left="620" w:hanging="176"/>
        <w:spacing w:after="0"/>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8"/>
          <w:szCs w:val="18"/>
          <w:color w:val="auto"/>
        </w:rPr>
      </w:pPr>
    </w:p>
    <w:p>
      <w:pPr>
        <w:ind w:right="720" w:firstLine="444"/>
        <w:spacing w:after="0" w:line="278" w:lineRule="auto"/>
        <w:tabs>
          <w:tab w:leader="none" w:pos="6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Steve Hasker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15875</wp:posOffset>
            </wp:positionV>
            <wp:extent cx="27686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Steve Hasker</w:t>
      </w:r>
    </w:p>
    <w:p>
      <w:pPr>
        <w:spacing w:after="0" w:line="2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920"/>
          </w:cols>
          <w:pgMar w:left="480" w:top="117" w:right="49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ind w:right="680" w:firstLine="436"/>
        <w:spacing w:after="0" w:line="285" w:lineRule="auto"/>
        <w:rPr>
          <w:sz w:val="20"/>
          <w:szCs w:val="20"/>
          <w:color w:val="auto"/>
        </w:rPr>
      </w:pPr>
      <w:r>
        <w:rPr>
          <w:rFonts w:ascii="Times New Roman" w:cs="Times New Roman" w:eastAsia="Times New Roman" w:hAnsi="Times New Roman"/>
          <w:sz w:val="17"/>
          <w:szCs w:val="17"/>
          <w:color w:val="auto"/>
        </w:rPr>
        <w:t>In connection with the report of Thomson Reuters Corporation (the “Corporation”) on Form 6-K for the period ended March 31, 2024, as furnished to the Securities and Exchange Commission on the date hereof (the “Report”), I, Michael Eastwood, Chief Financial Officer of the Corporation, hereby certify, pursuant to 18 U.S.C. Section 1350, as adopted pursuant to Section 906 of the Sarbanes-Oxley Act of 2002, that:</w:t>
      </w:r>
    </w:p>
    <w:p>
      <w:pPr>
        <w:spacing w:after="0" w:line="53" w:lineRule="exact"/>
        <w:rPr>
          <w:sz w:val="20"/>
          <w:szCs w:val="20"/>
          <w:color w:val="auto"/>
        </w:rPr>
      </w:pPr>
    </w:p>
    <w:p>
      <w:pPr>
        <w:ind w:left="620" w:hanging="176"/>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8"/>
          <w:szCs w:val="18"/>
          <w:color w:val="auto"/>
        </w:rPr>
      </w:pPr>
    </w:p>
    <w:p>
      <w:pPr>
        <w:ind w:right="720" w:firstLine="444"/>
        <w:spacing w:after="0" w:line="278" w:lineRule="auto"/>
        <w:tabs>
          <w:tab w:leader="none" w:pos="6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Michael Eastwood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15875</wp:posOffset>
            </wp:positionV>
            <wp:extent cx="27686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Michael Eastwood</w:t>
      </w:r>
    </w:p>
    <w:p>
      <w:pPr>
        <w:spacing w:after="0" w:line="2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20"/>
      </w:cols>
      <w:pgMar w:left="480" w:top="11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
      <w:numFmt w:val="bullet"/>
      <w:start w:val="1"/>
    </w:lvl>
  </w:abstractNum>
  <w:abstractNum w:abstractNumId="14">
    <w:nsid w:val="71F32454"/>
    <w:multiLevelType w:val="hybridMultilevel"/>
    <w:lvl w:ilvl="0">
      <w:lvlJc w:val="left"/>
      <w:lvlText w:val=" "/>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
      <w:numFmt w:val="bullet"/>
      <w:start w:val="1"/>
    </w:lvl>
  </w:abstractNum>
  <w:abstractNum w:abstractNumId="19">
    <w:nsid w:val="8138641"/>
    <w:multiLevelType w:val="hybridMultilevel"/>
    <w:lvl w:ilvl="0">
      <w:lvlJc w:val="left"/>
      <w:lvlText w:val=" "/>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2024-05-03T15:41:30Z</dcterms:created>
  <dcterms:modified xsi:type="dcterms:W3CDTF">2024-05-03T15:41:30Z</dcterms:modified>
</cp:coreProperties>
</file>