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0002143469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9"/>
        <w:gridCol w:w="3676"/>
      </w:tblGrid>
      <w:tr>
        <w:trPr/>
        <w:tc>
          <w:tcPr>
            <w:tcW w:w="6529" w:type="dxa"/>
            <w:tcBorders/>
            <w:vAlign w:val="center"/>
          </w:tcPr>
          <w:p>
            <w:pPr>
              <w:pStyle w:val="TableContents"/>
              <w:bidi w:val="0"/>
              <w:spacing w:before="0" w:after="283"/>
              <w:jc w:val="left"/>
              <w:rPr/>
            </w:pPr>
            <w:r>
              <w:rPr/>
              <w:t>Name of Issuer</w:t>
            </w:r>
          </w:p>
        </w:tc>
        <w:tc>
          <w:tcPr>
            <w:tcW w:w="3676" w:type="dxa"/>
            <w:tcBorders/>
            <w:vAlign w:val="center"/>
          </w:tcPr>
          <w:p>
            <w:pPr>
              <w:pStyle w:val="TableContents"/>
              <w:bidi w:val="0"/>
              <w:spacing w:before="0" w:after="0"/>
              <w:jc w:val="left"/>
              <w:rPr/>
            </w:pPr>
            <w:r>
              <w:rPr/>
              <w:t>Thomson Reuters Corporation</w:t>
            </w:r>
          </w:p>
        </w:tc>
      </w:tr>
      <w:tr>
        <w:trPr/>
        <w:tc>
          <w:tcPr>
            <w:tcW w:w="6529" w:type="dxa"/>
            <w:tcBorders/>
            <w:vAlign w:val="center"/>
          </w:tcPr>
          <w:p>
            <w:pPr>
              <w:pStyle w:val="TableContents"/>
              <w:bidi w:val="0"/>
              <w:spacing w:before="0" w:after="283"/>
              <w:jc w:val="left"/>
              <w:rPr/>
            </w:pPr>
            <w:r>
              <w:rPr/>
              <w:t>SEC File Number</w:t>
            </w:r>
          </w:p>
        </w:tc>
        <w:tc>
          <w:tcPr>
            <w:tcW w:w="3676" w:type="dxa"/>
            <w:tcBorders/>
            <w:vAlign w:val="center"/>
          </w:tcPr>
          <w:p>
            <w:pPr>
              <w:pStyle w:val="TableContents"/>
              <w:bidi w:val="0"/>
              <w:spacing w:before="0" w:after="0"/>
              <w:jc w:val="left"/>
              <w:rPr/>
            </w:pPr>
            <w:r>
              <w:rPr/>
              <w:t>001-31349</w:t>
            </w:r>
          </w:p>
        </w:tc>
      </w:tr>
      <w:tr>
        <w:trPr/>
        <w:tc>
          <w:tcPr>
            <w:tcW w:w="6529" w:type="dxa"/>
            <w:tcBorders/>
            <w:vAlign w:val="center"/>
          </w:tcPr>
          <w:p>
            <w:pPr>
              <w:pStyle w:val="TableContents"/>
              <w:bidi w:val="0"/>
              <w:spacing w:before="0" w:after="283"/>
              <w:jc w:val="left"/>
              <w:rPr/>
            </w:pPr>
            <w:r>
              <w:rPr/>
              <w:t>Address of Issuer</w:t>
            </w:r>
          </w:p>
        </w:tc>
        <w:tc>
          <w:tcPr>
            <w:tcW w:w="3676" w:type="dxa"/>
            <w:tcBorders/>
            <w:vAlign w:val="center"/>
          </w:tcPr>
          <w:p>
            <w:pPr>
              <w:pStyle w:val="TableContents"/>
              <w:bidi w:val="0"/>
              <w:spacing w:before="0" w:after="0"/>
              <w:jc w:val="left"/>
              <w:rPr/>
            </w:pPr>
            <w:r>
              <w:rPr/>
              <w:t xml:space="preserve">19 Duncan Street </w:t>
              <w:br/>
              <w:t>Toronto</w:t>
              <w:br/>
              <w:t xml:space="preserve">ONTARIO, CANADA </w:t>
              <w:br/>
              <w:t>M5H 3H1</w:t>
            </w:r>
          </w:p>
        </w:tc>
      </w:tr>
      <w:tr>
        <w:trPr/>
        <w:tc>
          <w:tcPr>
            <w:tcW w:w="6529" w:type="dxa"/>
            <w:tcBorders/>
            <w:vAlign w:val="center"/>
          </w:tcPr>
          <w:p>
            <w:pPr>
              <w:pStyle w:val="TableContents"/>
              <w:bidi w:val="0"/>
              <w:spacing w:before="0" w:after="283"/>
              <w:jc w:val="left"/>
              <w:rPr/>
            </w:pPr>
            <w:r>
              <w:rPr/>
              <w:t>Phone</w:t>
            </w:r>
          </w:p>
        </w:tc>
        <w:tc>
          <w:tcPr>
            <w:tcW w:w="3676" w:type="dxa"/>
            <w:tcBorders/>
            <w:vAlign w:val="center"/>
          </w:tcPr>
          <w:p>
            <w:pPr>
              <w:pStyle w:val="TableContents"/>
              <w:bidi w:val="0"/>
              <w:spacing w:before="0" w:after="0"/>
              <w:jc w:val="left"/>
              <w:rPr/>
            </w:pPr>
            <w:r>
              <w:rPr/>
              <w:t>4163648700</w:t>
            </w:r>
          </w:p>
        </w:tc>
      </w:tr>
      <w:tr>
        <w:trPr/>
        <w:tc>
          <w:tcPr>
            <w:tcW w:w="6529" w:type="dxa"/>
            <w:tcBorders/>
            <w:vAlign w:val="center"/>
          </w:tcPr>
          <w:p>
            <w:pPr>
              <w:pStyle w:val="TableContents"/>
              <w:bidi w:val="0"/>
              <w:spacing w:before="0" w:after="283"/>
              <w:jc w:val="left"/>
              <w:rPr/>
            </w:pPr>
            <w:r>
              <w:rPr/>
              <w:t>Name of Person for Whose Account the Securities are To Be Sold</w:t>
            </w:r>
          </w:p>
        </w:tc>
        <w:tc>
          <w:tcPr>
            <w:tcW w:w="3676" w:type="dxa"/>
            <w:tcBorders/>
            <w:vAlign w:val="center"/>
          </w:tcPr>
          <w:p>
            <w:pPr>
              <w:pStyle w:val="TableContents"/>
              <w:bidi w:val="0"/>
              <w:spacing w:before="0" w:after="0"/>
              <w:jc w:val="left"/>
              <w:rPr/>
            </w:pPr>
            <w:r>
              <w:rPr/>
              <w:t>Elizabeth Zimick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9" w:type="dxa"/>
            <w:tcBorders/>
            <w:vAlign w:val="center"/>
          </w:tcPr>
          <w:p>
            <w:pPr>
              <w:pStyle w:val="TableContents"/>
              <w:bidi w:val="0"/>
              <w:spacing w:before="0" w:after="283"/>
              <w:jc w:val="left"/>
              <w:rPr/>
            </w:pPr>
            <w:r>
              <w:rPr/>
              <w:t>Relationship to Issuer</w:t>
            </w:r>
          </w:p>
        </w:tc>
        <w:tc>
          <w:tcPr>
            <w:tcW w:w="36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Shares</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1950</w:t>
            </w:r>
          </w:p>
        </w:tc>
        <w:tc>
          <w:tcPr>
            <w:tcW w:w="1358" w:type="dxa"/>
            <w:tcBorders/>
            <w:vAlign w:val="center"/>
          </w:tcPr>
          <w:p>
            <w:pPr>
              <w:pStyle w:val="TableContents"/>
              <w:bidi w:val="0"/>
              <w:spacing w:before="0" w:after="283"/>
              <w:jc w:val="left"/>
              <w:rPr/>
            </w:pPr>
            <w:r>
              <w:rPr/>
              <w:t>206836.5</w:t>
            </w:r>
          </w:p>
        </w:tc>
        <w:tc>
          <w:tcPr>
            <w:tcW w:w="1536" w:type="dxa"/>
            <w:tcBorders/>
            <w:vAlign w:val="center"/>
          </w:tcPr>
          <w:p>
            <w:pPr>
              <w:pStyle w:val="TableContents"/>
              <w:bidi w:val="0"/>
              <w:spacing w:before="0" w:after="283"/>
              <w:jc w:val="left"/>
              <w:rPr/>
            </w:pPr>
            <w:r>
              <w:rPr/>
              <w:t>433224578</w:t>
            </w:r>
          </w:p>
        </w:tc>
        <w:tc>
          <w:tcPr>
            <w:tcW w:w="1558" w:type="dxa"/>
            <w:tcBorders/>
            <w:vAlign w:val="center"/>
          </w:tcPr>
          <w:p>
            <w:pPr>
              <w:pStyle w:val="TableContents"/>
              <w:bidi w:val="0"/>
              <w:spacing w:before="0" w:after="283"/>
              <w:jc w:val="left"/>
              <w:rPr/>
            </w:pPr>
            <w:r>
              <w:rPr/>
              <w:t>08/14/2026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Shares</w:t>
            </w:r>
          </w:p>
        </w:tc>
        <w:tc>
          <w:tcPr>
            <w:tcW w:w="1124" w:type="dxa"/>
            <w:tcBorders/>
            <w:vAlign w:val="center"/>
          </w:tcPr>
          <w:p>
            <w:pPr>
              <w:pStyle w:val="TableContents"/>
              <w:bidi w:val="0"/>
              <w:spacing w:before="0" w:after="283"/>
              <w:jc w:val="left"/>
              <w:rPr/>
            </w:pPr>
            <w:r>
              <w:rPr/>
              <w:t>03/10/2025</w:t>
            </w:r>
          </w:p>
        </w:tc>
        <w:tc>
          <w:tcPr>
            <w:tcW w:w="1477" w:type="dxa"/>
            <w:tcBorders/>
            <w:vAlign w:val="center"/>
          </w:tcPr>
          <w:p>
            <w:pPr>
              <w:pStyle w:val="TableContents"/>
              <w:bidi w:val="0"/>
              <w:spacing w:before="0" w:after="283"/>
              <w:jc w:val="left"/>
              <w:rPr/>
            </w:pPr>
            <w:r>
              <w:rPr/>
              <w:t>Vesting of Restricted Share Units</w:t>
            </w:r>
          </w:p>
        </w:tc>
        <w:tc>
          <w:tcPr>
            <w:tcW w:w="1367" w:type="dxa"/>
            <w:tcBorders/>
            <w:vAlign w:val="center"/>
          </w:tcPr>
          <w:p>
            <w:pPr>
              <w:pStyle w:val="TableContents"/>
              <w:bidi w:val="0"/>
              <w:spacing w:before="0" w:after="283"/>
              <w:jc w:val="left"/>
              <w:rPr/>
            </w:pPr>
            <w:r>
              <w:rPr/>
              <w:t>Thomson Reuters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425</w:t>
            </w:r>
          </w:p>
        </w:tc>
        <w:tc>
          <w:tcPr>
            <w:tcW w:w="1065" w:type="dxa"/>
            <w:tcBorders/>
            <w:vAlign w:val="center"/>
          </w:tcPr>
          <w:p>
            <w:pPr>
              <w:pStyle w:val="TableContents"/>
              <w:bidi w:val="0"/>
              <w:spacing w:before="0" w:after="283"/>
              <w:jc w:val="left"/>
              <w:rPr/>
            </w:pPr>
            <w:r>
              <w:rPr/>
              <w:t>08/14/2026</w:t>
            </w:r>
          </w:p>
        </w:tc>
        <w:tc>
          <w:tcPr>
            <w:tcW w:w="1204" w:type="dxa"/>
            <w:tcBorders/>
            <w:vAlign w:val="center"/>
          </w:tcPr>
          <w:p>
            <w:pPr>
              <w:pStyle w:val="TableContents"/>
              <w:bidi w:val="0"/>
              <w:spacing w:before="0" w:after="283"/>
              <w:jc w:val="left"/>
              <w:rPr/>
            </w:pPr>
            <w:r>
              <w:rPr/>
              <w:t>NA</w:t>
            </w:r>
          </w:p>
        </w:tc>
      </w:tr>
      <w:tr>
        <w:trPr/>
        <w:tc>
          <w:tcPr>
            <w:tcW w:w="1134" w:type="dxa"/>
            <w:tcBorders/>
            <w:vAlign w:val="center"/>
          </w:tcPr>
          <w:p>
            <w:pPr>
              <w:pStyle w:val="TableContents"/>
              <w:bidi w:val="0"/>
              <w:spacing w:before="0" w:after="283"/>
              <w:jc w:val="left"/>
              <w:rPr/>
            </w:pPr>
            <w:r>
              <w:rPr/>
              <w:t>Common Shares</w:t>
            </w:r>
          </w:p>
        </w:tc>
        <w:tc>
          <w:tcPr>
            <w:tcW w:w="1124" w:type="dxa"/>
            <w:tcBorders/>
            <w:vAlign w:val="center"/>
          </w:tcPr>
          <w:p>
            <w:pPr>
              <w:pStyle w:val="TableContents"/>
              <w:bidi w:val="0"/>
              <w:spacing w:before="0" w:after="283"/>
              <w:jc w:val="left"/>
              <w:rPr/>
            </w:pPr>
            <w:r>
              <w:rPr/>
              <w:t>03/10/2026</w:t>
            </w:r>
          </w:p>
        </w:tc>
        <w:tc>
          <w:tcPr>
            <w:tcW w:w="1477" w:type="dxa"/>
            <w:tcBorders/>
            <w:vAlign w:val="center"/>
          </w:tcPr>
          <w:p>
            <w:pPr>
              <w:pStyle w:val="TableContents"/>
              <w:bidi w:val="0"/>
              <w:spacing w:before="0" w:after="283"/>
              <w:jc w:val="left"/>
              <w:rPr/>
            </w:pPr>
            <w:r>
              <w:rPr/>
              <w:t>Vesting of Restricted Share Units</w:t>
            </w:r>
          </w:p>
        </w:tc>
        <w:tc>
          <w:tcPr>
            <w:tcW w:w="1367" w:type="dxa"/>
            <w:tcBorders/>
            <w:vAlign w:val="center"/>
          </w:tcPr>
          <w:p>
            <w:pPr>
              <w:pStyle w:val="TableContents"/>
              <w:bidi w:val="0"/>
              <w:spacing w:before="0" w:after="283"/>
              <w:jc w:val="left"/>
              <w:rPr/>
            </w:pPr>
            <w:r>
              <w:rPr/>
              <w:t>Thomson Reuters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3</w:t>
            </w:r>
          </w:p>
        </w:tc>
        <w:tc>
          <w:tcPr>
            <w:tcW w:w="1065" w:type="dxa"/>
            <w:tcBorders/>
            <w:vAlign w:val="center"/>
          </w:tcPr>
          <w:p>
            <w:pPr>
              <w:pStyle w:val="TableContents"/>
              <w:bidi w:val="0"/>
              <w:spacing w:before="0" w:after="283"/>
              <w:jc w:val="left"/>
              <w:rPr/>
            </w:pPr>
            <w:r>
              <w:rPr/>
              <w:t>08/14/2026</w:t>
            </w:r>
          </w:p>
        </w:tc>
        <w:tc>
          <w:tcPr>
            <w:tcW w:w="1204" w:type="dxa"/>
            <w:tcBorders/>
            <w:vAlign w:val="center"/>
          </w:tcPr>
          <w:p>
            <w:pPr>
              <w:pStyle w:val="TableContents"/>
              <w:bidi w:val="0"/>
              <w:spacing w:before="0" w:after="283"/>
              <w:jc w:val="left"/>
              <w:rPr/>
            </w:pPr>
            <w:r>
              <w:rPr/>
              <w:t>NA</w:t>
            </w:r>
          </w:p>
        </w:tc>
      </w:tr>
      <w:tr>
        <w:trPr/>
        <w:tc>
          <w:tcPr>
            <w:tcW w:w="1134" w:type="dxa"/>
            <w:tcBorders/>
            <w:vAlign w:val="center"/>
          </w:tcPr>
          <w:p>
            <w:pPr>
              <w:pStyle w:val="TableContents"/>
              <w:bidi w:val="0"/>
              <w:spacing w:before="0" w:after="283"/>
              <w:jc w:val="left"/>
              <w:rPr/>
            </w:pPr>
            <w:r>
              <w:rPr/>
              <w:t>Common Shares</w:t>
            </w:r>
          </w:p>
        </w:tc>
        <w:tc>
          <w:tcPr>
            <w:tcW w:w="1124" w:type="dxa"/>
            <w:tcBorders/>
            <w:vAlign w:val="center"/>
          </w:tcPr>
          <w:p>
            <w:pPr>
              <w:pStyle w:val="TableContents"/>
              <w:bidi w:val="0"/>
              <w:spacing w:before="0" w:after="283"/>
              <w:jc w:val="left"/>
              <w:rPr/>
            </w:pPr>
            <w:r>
              <w:rPr/>
              <w:t>05/10/2025</w:t>
            </w:r>
          </w:p>
        </w:tc>
        <w:tc>
          <w:tcPr>
            <w:tcW w:w="1477" w:type="dxa"/>
            <w:tcBorders/>
            <w:vAlign w:val="center"/>
          </w:tcPr>
          <w:p>
            <w:pPr>
              <w:pStyle w:val="TableContents"/>
              <w:bidi w:val="0"/>
              <w:spacing w:before="0" w:after="283"/>
              <w:jc w:val="left"/>
              <w:rPr/>
            </w:pPr>
            <w:r>
              <w:rPr/>
              <w:t>Vesting of Restricted Share Units</w:t>
            </w:r>
          </w:p>
        </w:tc>
        <w:tc>
          <w:tcPr>
            <w:tcW w:w="1367" w:type="dxa"/>
            <w:tcBorders/>
            <w:vAlign w:val="center"/>
          </w:tcPr>
          <w:p>
            <w:pPr>
              <w:pStyle w:val="TableContents"/>
              <w:bidi w:val="0"/>
              <w:spacing w:before="0" w:after="283"/>
              <w:jc w:val="left"/>
              <w:rPr/>
            </w:pPr>
            <w:r>
              <w:rPr/>
              <w:t>Thomson Reuters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45</w:t>
            </w:r>
          </w:p>
        </w:tc>
        <w:tc>
          <w:tcPr>
            <w:tcW w:w="1065" w:type="dxa"/>
            <w:tcBorders/>
            <w:vAlign w:val="center"/>
          </w:tcPr>
          <w:p>
            <w:pPr>
              <w:pStyle w:val="TableContents"/>
              <w:bidi w:val="0"/>
              <w:spacing w:before="0" w:after="283"/>
              <w:jc w:val="left"/>
              <w:rPr/>
            </w:pPr>
            <w:r>
              <w:rPr/>
              <w:t>08/14/2026</w:t>
            </w:r>
          </w:p>
        </w:tc>
        <w:tc>
          <w:tcPr>
            <w:tcW w:w="1204" w:type="dxa"/>
            <w:tcBorders/>
            <w:vAlign w:val="center"/>
          </w:tcPr>
          <w:p>
            <w:pPr>
              <w:pStyle w:val="TableContents"/>
              <w:bidi w:val="0"/>
              <w:spacing w:before="0" w:after="283"/>
              <w:jc w:val="left"/>
              <w:rPr/>
            </w:pPr>
            <w:r>
              <w:rPr/>
              <w:t>NA</w:t>
            </w:r>
          </w:p>
        </w:tc>
      </w:tr>
      <w:tr>
        <w:trPr/>
        <w:tc>
          <w:tcPr>
            <w:tcW w:w="1134" w:type="dxa"/>
            <w:tcBorders/>
            <w:vAlign w:val="center"/>
          </w:tcPr>
          <w:p>
            <w:pPr>
              <w:pStyle w:val="TableContents"/>
              <w:bidi w:val="0"/>
              <w:spacing w:before="0" w:after="283"/>
              <w:jc w:val="left"/>
              <w:rPr/>
            </w:pPr>
            <w:r>
              <w:rPr/>
              <w:t>Common Shares</w:t>
            </w:r>
          </w:p>
        </w:tc>
        <w:tc>
          <w:tcPr>
            <w:tcW w:w="1124" w:type="dxa"/>
            <w:tcBorders/>
            <w:vAlign w:val="center"/>
          </w:tcPr>
          <w:p>
            <w:pPr>
              <w:pStyle w:val="TableContents"/>
              <w:bidi w:val="0"/>
              <w:spacing w:before="0" w:after="283"/>
              <w:jc w:val="left"/>
              <w:rPr/>
            </w:pPr>
            <w:r>
              <w:rPr/>
              <w:t>11/10/2024</w:t>
            </w:r>
          </w:p>
        </w:tc>
        <w:tc>
          <w:tcPr>
            <w:tcW w:w="1477" w:type="dxa"/>
            <w:tcBorders/>
            <w:vAlign w:val="center"/>
          </w:tcPr>
          <w:p>
            <w:pPr>
              <w:pStyle w:val="TableContents"/>
              <w:bidi w:val="0"/>
              <w:spacing w:before="0" w:after="283"/>
              <w:jc w:val="left"/>
              <w:rPr/>
            </w:pPr>
            <w:r>
              <w:rPr/>
              <w:t>Vesting of Restricted Share Units</w:t>
            </w:r>
          </w:p>
        </w:tc>
        <w:tc>
          <w:tcPr>
            <w:tcW w:w="1367" w:type="dxa"/>
            <w:tcBorders/>
            <w:vAlign w:val="center"/>
          </w:tcPr>
          <w:p>
            <w:pPr>
              <w:pStyle w:val="TableContents"/>
              <w:bidi w:val="0"/>
              <w:spacing w:before="0" w:after="283"/>
              <w:jc w:val="left"/>
              <w:rPr/>
            </w:pPr>
            <w:r>
              <w:rPr/>
              <w:t>Thomson Reuters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853</w:t>
            </w:r>
          </w:p>
        </w:tc>
        <w:tc>
          <w:tcPr>
            <w:tcW w:w="1065" w:type="dxa"/>
            <w:tcBorders/>
            <w:vAlign w:val="center"/>
          </w:tcPr>
          <w:p>
            <w:pPr>
              <w:pStyle w:val="TableContents"/>
              <w:bidi w:val="0"/>
              <w:spacing w:before="0" w:after="283"/>
              <w:jc w:val="left"/>
              <w:rPr/>
            </w:pPr>
            <w:r>
              <w:rPr/>
              <w:t>08/14/2026</w:t>
            </w:r>
          </w:p>
        </w:tc>
        <w:tc>
          <w:tcPr>
            <w:tcW w:w="1204" w:type="dxa"/>
            <w:tcBorders/>
            <w:vAlign w:val="center"/>
          </w:tcPr>
          <w:p>
            <w:pPr>
              <w:pStyle w:val="TableContents"/>
              <w:bidi w:val="0"/>
              <w:spacing w:before="0" w:after="283"/>
              <w:jc w:val="left"/>
              <w:rPr/>
            </w:pPr>
            <w:r>
              <w:rPr/>
              <w:t>NA</w:t>
            </w:r>
          </w:p>
        </w:tc>
      </w:tr>
      <w:tr>
        <w:trPr/>
        <w:tc>
          <w:tcPr>
            <w:tcW w:w="1134" w:type="dxa"/>
            <w:tcBorders/>
            <w:vAlign w:val="center"/>
          </w:tcPr>
          <w:p>
            <w:pPr>
              <w:pStyle w:val="TableContents"/>
              <w:bidi w:val="0"/>
              <w:spacing w:before="0" w:after="283"/>
              <w:jc w:val="left"/>
              <w:rPr/>
            </w:pPr>
            <w:r>
              <w:rPr/>
              <w:t>Common Shares</w:t>
            </w:r>
          </w:p>
        </w:tc>
        <w:tc>
          <w:tcPr>
            <w:tcW w:w="1124" w:type="dxa"/>
            <w:tcBorders/>
            <w:vAlign w:val="center"/>
          </w:tcPr>
          <w:p>
            <w:pPr>
              <w:pStyle w:val="TableContents"/>
              <w:bidi w:val="0"/>
              <w:spacing w:before="0" w:after="283"/>
              <w:jc w:val="left"/>
              <w:rPr/>
            </w:pPr>
            <w:r>
              <w:rPr/>
              <w:t>11/10/2025</w:t>
            </w:r>
          </w:p>
        </w:tc>
        <w:tc>
          <w:tcPr>
            <w:tcW w:w="1477" w:type="dxa"/>
            <w:tcBorders/>
            <w:vAlign w:val="center"/>
          </w:tcPr>
          <w:p>
            <w:pPr>
              <w:pStyle w:val="TableContents"/>
              <w:bidi w:val="0"/>
              <w:spacing w:before="0" w:after="283"/>
              <w:jc w:val="left"/>
              <w:rPr/>
            </w:pPr>
            <w:r>
              <w:rPr/>
              <w:t>Vesting of Restricted Share Units</w:t>
            </w:r>
          </w:p>
        </w:tc>
        <w:tc>
          <w:tcPr>
            <w:tcW w:w="1367" w:type="dxa"/>
            <w:tcBorders/>
            <w:vAlign w:val="center"/>
          </w:tcPr>
          <w:p>
            <w:pPr>
              <w:pStyle w:val="TableContents"/>
              <w:bidi w:val="0"/>
              <w:spacing w:before="0" w:after="283"/>
              <w:jc w:val="left"/>
              <w:rPr/>
            </w:pPr>
            <w:r>
              <w:rPr/>
              <w:t>Thomson Reuters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624</w:t>
            </w:r>
          </w:p>
        </w:tc>
        <w:tc>
          <w:tcPr>
            <w:tcW w:w="1065" w:type="dxa"/>
            <w:tcBorders/>
            <w:vAlign w:val="center"/>
          </w:tcPr>
          <w:p>
            <w:pPr>
              <w:pStyle w:val="TableContents"/>
              <w:bidi w:val="0"/>
              <w:spacing w:before="0" w:after="283"/>
              <w:jc w:val="left"/>
              <w:rPr/>
            </w:pPr>
            <w:r>
              <w:rPr/>
              <w:t>08/14/2026</w:t>
            </w:r>
          </w:p>
        </w:tc>
        <w:tc>
          <w:tcPr>
            <w:tcW w:w="120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73"/>
        <w:gridCol w:w="8632"/>
      </w:tblGrid>
      <w:tr>
        <w:trPr/>
        <w:tc>
          <w:tcPr>
            <w:tcW w:w="1573" w:type="dxa"/>
            <w:tcBorders/>
            <w:vAlign w:val="center"/>
          </w:tcPr>
          <w:p>
            <w:pPr>
              <w:pStyle w:val="TableContents"/>
              <w:bidi w:val="0"/>
              <w:spacing w:before="0" w:after="283"/>
              <w:jc w:val="left"/>
              <w:rPr/>
            </w:pPr>
            <w:r>
              <w:rPr/>
              <w:t>Remarks</w:t>
            </w:r>
          </w:p>
        </w:tc>
        <w:tc>
          <w:tcPr>
            <w:tcW w:w="8632" w:type="dxa"/>
            <w:tcBorders/>
            <w:vAlign w:val="center"/>
          </w:tcPr>
          <w:p>
            <w:pPr>
              <w:pStyle w:val="TableContents"/>
              <w:bidi w:val="0"/>
              <w:spacing w:before="0" w:after="0"/>
              <w:jc w:val="left"/>
              <w:rPr/>
            </w:pPr>
            <w:r>
              <w:rPr/>
              <w:t>As of August 4, 2026 we had outstanding 433,224,578 common shares as indicated in Exhibit 99.1 to Thomson Reuters Corporation Form 6-K dated August 6, 2026.</w:t>
            </w:r>
          </w:p>
        </w:tc>
      </w:tr>
      <w:tr>
        <w:trPr/>
        <w:tc>
          <w:tcPr>
            <w:tcW w:w="1573" w:type="dxa"/>
            <w:tcBorders/>
            <w:vAlign w:val="center"/>
          </w:tcPr>
          <w:p>
            <w:pPr>
              <w:pStyle w:val="TableContents"/>
              <w:bidi w:val="0"/>
              <w:spacing w:before="0" w:after="283"/>
              <w:jc w:val="left"/>
              <w:rPr/>
            </w:pPr>
            <w:r>
              <w:rPr/>
              <w:t>Date of Notice</w:t>
            </w:r>
          </w:p>
        </w:tc>
        <w:tc>
          <w:tcPr>
            <w:tcW w:w="8632"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73" w:type="dxa"/>
            <w:tcBorders/>
            <w:vAlign w:val="center"/>
          </w:tcPr>
          <w:p>
            <w:pPr>
              <w:pStyle w:val="TableContents"/>
              <w:bidi w:val="0"/>
              <w:spacing w:before="0" w:after="283"/>
              <w:jc w:val="left"/>
              <w:rPr/>
            </w:pPr>
            <w:r>
              <w:rPr/>
              <w:t>Signature</w:t>
            </w:r>
          </w:p>
        </w:tc>
        <w:tc>
          <w:tcPr>
            <w:tcW w:w="8632" w:type="dxa"/>
            <w:tcBorders/>
            <w:vAlign w:val="center"/>
          </w:tcPr>
          <w:p>
            <w:pPr>
              <w:pStyle w:val="TableContents"/>
              <w:bidi w:val="0"/>
              <w:spacing w:before="0" w:after="0"/>
              <w:jc w:val="left"/>
              <w:rPr/>
            </w:pPr>
            <w:r>
              <w:rPr/>
              <w:t>/s/Mijo Suric, for UBS Financial Services Inc, as attorney-in-fact for Elizabeth Zimick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3473</Characters>
  <CharactersWithSpaces>4060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