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327660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36" w:lineRule="exact"/>
        <w:rPr>
          <w:sz w:val="24"/>
          <w:szCs w:val="24"/>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b w:val="1"/>
          <w:bCs w:val="1"/>
          <w:color w:val="auto"/>
        </w:rPr>
        <w:t>For the month of August 2022</w:t>
      </w:r>
      <w:r>
        <w:rPr>
          <w:sz w:val="20"/>
          <w:szCs w:val="20"/>
          <w:color w:val="auto"/>
        </w:rPr>
        <w:tab/>
      </w:r>
      <w:r>
        <w:rPr>
          <w:rFonts w:ascii="Times New Roman" w:cs="Times New Roman" w:eastAsia="Times New Roman" w:hAnsi="Times New Roman"/>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320040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313055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Bay Street,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M5H 2R2, 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304" w:lineRule="exact"/>
        <w:rPr>
          <w:sz w:val="24"/>
          <w:szCs w:val="24"/>
          <w:color w:val="auto"/>
        </w:rPr>
      </w:pPr>
    </w:p>
    <w:p>
      <w:pPr>
        <w:jc w:val="center"/>
        <w:ind w:right="20"/>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515620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558800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943"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w:t>
        <w:tab/>
        <w:t>Jennifer Ruddick</w:t>
      </w:r>
    </w:p>
    <w:p>
      <w:pPr>
        <w:spacing w:after="0" w:line="23"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8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Exhibit Number</w:t>
            </w:r>
          </w:p>
        </w:tc>
        <w:tc>
          <w:tcPr>
            <w:tcW w:w="94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80" w:type="dxa"/>
            <w:vAlign w:val="bottom"/>
          </w:tcPr>
          <w:p>
            <w:pPr>
              <w:spacing w:after="0"/>
              <w:rPr>
                <w:sz w:val="24"/>
                <w:szCs w:val="2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4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dated August 4, 2022 – Thomson Reuters Reports Second-Quarter 2022 Results</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43125"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Reports Second-Quarter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TORONTO, August 4, 2022 – </w:t>
      </w:r>
      <w:r>
        <w:rPr>
          <w:rFonts w:ascii="Arial" w:cs="Arial" w:eastAsia="Arial" w:hAnsi="Arial"/>
          <w:sz w:val="18"/>
          <w:szCs w:val="18"/>
          <w:color w:val="auto"/>
        </w:rPr>
        <w:t>Thomson Reuters (TSX/NYSE: TRI) today reported results for the second quarter ended June 30, 2022:</w:t>
      </w:r>
    </w:p>
    <w:p>
      <w:pPr>
        <w:spacing w:after="0" w:line="117"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revenue and sales growth continued in the second quarter</w:t>
      </w:r>
    </w:p>
    <w:p>
      <w:pPr>
        <w:spacing w:after="0" w:line="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Total company revenue up 5% / organic revenue up 7%</w:t>
      </w:r>
    </w:p>
    <w:p>
      <w:pPr>
        <w:ind w:left="1440" w:hanging="433"/>
        <w:spacing w:after="0" w:line="234" w:lineRule="auto"/>
        <w:tabs>
          <w:tab w:leader="none" w:pos="1440" w:val="left"/>
        </w:tabs>
        <w:numPr>
          <w:ilvl w:val="1"/>
          <w:numId w:val="1"/>
        </w:numPr>
        <w:rPr>
          <w:rFonts w:ascii="Arial" w:cs="Arial" w:eastAsia="Arial" w:hAnsi="Arial"/>
          <w:sz w:val="18"/>
          <w:szCs w:val="18"/>
          <w:color w:val="auto"/>
        </w:rPr>
      </w:pPr>
      <w:r>
        <w:rPr>
          <w:rFonts w:ascii="Arial" w:cs="Arial" w:eastAsia="Arial" w:hAnsi="Arial"/>
          <w:sz w:val="18"/>
          <w:szCs w:val="18"/>
          <w:color w:val="auto"/>
        </w:rPr>
        <w:t>Organic revenue up 7% for the “Big 3” segments (Legal Professionals, Corporates and Tax &amp; Accounting Professionals)</w:t>
      </w:r>
    </w:p>
    <w:p>
      <w:pPr>
        <w:ind w:left="440" w:hanging="324"/>
        <w:spacing w:after="0" w:line="23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Raised full-year 2022 revenue guidance</w:t>
      </w:r>
    </w:p>
    <w:p>
      <w:pPr>
        <w:ind w:left="4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Total company revenue forecast increased to approximately 6.0% from approximately 5.5%</w:t>
      </w:r>
    </w:p>
    <w:p>
      <w:pPr>
        <w:ind w:left="460"/>
        <w:spacing w:after="0" w:line="234" w:lineRule="auto"/>
        <w:rPr>
          <w:rFonts w:ascii="Arial" w:cs="Arial" w:eastAsia="Arial" w:hAnsi="Arial"/>
          <w:sz w:val="18"/>
          <w:szCs w:val="18"/>
          <w:color w:val="auto"/>
        </w:rPr>
      </w:pPr>
      <w:r>
        <w:rPr>
          <w:rFonts w:ascii="Arial" w:cs="Arial" w:eastAsia="Arial" w:hAnsi="Arial"/>
          <w:sz w:val="18"/>
          <w:szCs w:val="18"/>
          <w:color w:val="auto"/>
        </w:rPr>
        <w:t>o“Big 3” segments revenue forecast increased to approximately 7.0% from approximately 6.5%</w:t>
      </w:r>
    </w:p>
    <w:p>
      <w:pPr>
        <w:ind w:left="460"/>
        <w:spacing w:after="0" w:line="234" w:lineRule="auto"/>
        <w:rPr>
          <w:rFonts w:ascii="Arial" w:cs="Arial" w:eastAsia="Arial" w:hAnsi="Arial"/>
          <w:sz w:val="18"/>
          <w:szCs w:val="18"/>
          <w:color w:val="auto"/>
        </w:rPr>
      </w:pPr>
      <w:r>
        <w:rPr>
          <w:rFonts w:ascii="Arial" w:cs="Arial" w:eastAsia="Arial" w:hAnsi="Arial"/>
          <w:sz w:val="18"/>
          <w:szCs w:val="18"/>
          <w:color w:val="auto"/>
        </w:rPr>
        <w:t>oNo other changes to full-year 2022 outlook, reaffirmed full-year 2023 outlook</w:t>
      </w:r>
    </w:p>
    <w:p>
      <w:pPr>
        <w:ind w:left="440" w:hanging="324"/>
        <w:spacing w:after="0" w:line="23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 Program on track—$369 million run-rate operating expense savings through June 30</w:t>
      </w: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$394 million of company shares through July 31 under the $2 billion share buyback program announced on June 8, 2022</w:t>
      </w:r>
    </w:p>
    <w:p>
      <w:pPr>
        <w:spacing w:after="0" w:line="19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momentum that has been building in our businesses continued in the second quarter, with revenues again ahead of our expectations. Leading indicators remain healthy, and we have a resilient, highly recurring business serving growing industries. This positioning and a strong first half give us confidence we are on the right path to achieve our 2022 and 2023 targets,” said Steve Hasker, President and CEO of Thomson Reuters.</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Hasker added, “Our businesses are benefitting from what we believe are multi-year tailwinds driven by a step change in the complexity of compliance in our legal, tax, and risk-related markets. Against this backdrop, we remain focused on investing in our businesses and effectively allocating capital as we work to translate our current momentum into sustainable long-term value creation.”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2751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27514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80" w:type="dxa"/>
            <w:vAlign w:val="bottom"/>
            <w:gridSpan w:val="5"/>
          </w:tcPr>
          <w:p>
            <w:pPr>
              <w:jc w:val="center"/>
              <w:ind w:right="60"/>
              <w:spacing w:after="0"/>
              <w:rPr>
                <w:sz w:val="20"/>
                <w:szCs w:val="20"/>
                <w:color w:val="auto"/>
              </w:rPr>
            </w:pPr>
            <w:r>
              <w:rPr>
                <w:rFonts w:ascii="Arial" w:cs="Arial" w:eastAsia="Arial" w:hAnsi="Arial"/>
                <w:sz w:val="14"/>
                <w:szCs w:val="14"/>
                <w:color w:val="auto"/>
              </w:rPr>
              <w:t>(Millions of U.S. dollars, except for adjusted EBITDA margin and EPS)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520" w:type="dxa"/>
            <w:vAlign w:val="bottom"/>
            <w:gridSpan w:val="2"/>
          </w:tcPr>
          <w:p>
            <w:pPr>
              <w:jc w:val="center"/>
              <w:ind w:right="360"/>
              <w:spacing w:after="0"/>
              <w:rPr>
                <w:sz w:val="20"/>
                <w:szCs w:val="20"/>
                <w:color w:val="auto"/>
              </w:rPr>
            </w:pPr>
            <w:r>
              <w:rPr>
                <w:rFonts w:ascii="Arial" w:cs="Arial" w:eastAsia="Arial" w:hAnsi="Arial"/>
                <w:sz w:val="14"/>
                <w:szCs w:val="14"/>
                <w:color w:val="auto"/>
              </w:rPr>
              <w:t>(unaudited)</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Change at</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2021</w:t>
            </w:r>
          </w:p>
        </w:tc>
        <w:tc>
          <w:tcPr>
            <w:tcW w:w="3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15"/>
        </w:trPr>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120" w:type="dxa"/>
            <w:vAlign w:val="bottom"/>
            <w:tcBorders>
              <w:top w:val="single" w:sz="8" w:color="CCEEFF"/>
              <w:bottom w:val="single" w:sz="8" w:color="CCEEFF"/>
            </w:tcBorders>
            <w:vMerge w:val="restart"/>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IFRS Financial Measures</w:t>
            </w:r>
          </w:p>
        </w:tc>
        <w:tc>
          <w:tcPr>
            <w:tcW w:w="180" w:type="dxa"/>
            <w:vAlign w:val="bottom"/>
            <w:tcBorders>
              <w:top w:val="single" w:sz="8" w:color="CCEEFF"/>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w:t>
            </w:r>
          </w:p>
        </w:tc>
        <w:tc>
          <w:tcPr>
            <w:tcW w:w="38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12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34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36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 w:type="dxa"/>
            <w:vAlign w:val="bottom"/>
            <w:tcBorders>
              <w:bottom w:val="single" w:sz="8" w:color="CCEEFF"/>
            </w:tcBorders>
            <w:shd w:val="clear" w:color="auto" w:fill="CCEEFF"/>
          </w:tcPr>
          <w:p>
            <w:pPr>
              <w:spacing w:after="0"/>
              <w:rPr>
                <w:sz w:val="2"/>
                <w:szCs w:val="2"/>
                <w:color w:val="auto"/>
              </w:rPr>
            </w:pPr>
          </w:p>
        </w:tc>
        <w:tc>
          <w:tcPr>
            <w:tcW w:w="2120" w:type="dxa"/>
            <w:vAlign w:val="bottom"/>
            <w:tcBorders>
              <w:bottom w:val="single" w:sz="8" w:color="auto"/>
            </w:tcBorders>
            <w:vMerge w:val="continue"/>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1120" w:type="dxa"/>
            <w:vAlign w:val="bottom"/>
            <w:tcBorders>
              <w:bottom w:val="single" w:sz="8" w:color="CCEEFF"/>
            </w:tcBorders>
            <w:vMerge w:val="continue"/>
            <w:shd w:val="clear" w:color="auto" w:fill="CCEEFF"/>
          </w:tcPr>
          <w:p>
            <w:pPr>
              <w:spacing w:after="0"/>
              <w:rPr>
                <w:sz w:val="2"/>
                <w:szCs w:val="2"/>
                <w:color w:val="auto"/>
              </w:rPr>
            </w:pPr>
          </w:p>
        </w:tc>
        <w:tc>
          <w:tcPr>
            <w:tcW w:w="34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00" w:type="dxa"/>
            <w:vAlign w:val="bottom"/>
            <w:gridSpan w:val="4"/>
          </w:tcPr>
          <w:p>
            <w:pPr>
              <w:spacing w:after="0" w:line="202" w:lineRule="exact"/>
              <w:rPr>
                <w:sz w:val="20"/>
                <w:szCs w:val="20"/>
                <w:color w:val="auto"/>
              </w:rPr>
            </w:pPr>
            <w:r>
              <w:rPr>
                <w:rFonts w:ascii="Arial" w:cs="Arial" w:eastAsia="Arial" w:hAnsi="Arial"/>
                <w:sz w:val="18"/>
                <w:szCs w:val="18"/>
                <w:color w:val="auto"/>
              </w:rPr>
              <w:t>Revenues</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1,614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1,532</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316</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00" w:type="dxa"/>
            <w:vAlign w:val="bottom"/>
            <w:gridSpan w:val="4"/>
          </w:tcPr>
          <w:p>
            <w:pPr>
              <w:spacing w:after="0" w:line="202" w:lineRule="exact"/>
              <w:rPr>
                <w:sz w:val="20"/>
                <w:szCs w:val="20"/>
                <w:color w:val="auto"/>
              </w:rPr>
            </w:pPr>
            <w:r>
              <w:rPr>
                <w:rFonts w:ascii="Arial" w:cs="Arial" w:eastAsia="Arial" w:hAnsi="Arial"/>
                <w:sz w:val="18"/>
                <w:szCs w:val="18"/>
                <w:color w:val="auto"/>
              </w:rPr>
              <w:t>Diluted (loss) earnings per share (EPS)</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2.15</w:t>
            </w: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n/m</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462</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60" w:type="dxa"/>
            <w:vAlign w:val="bottom"/>
          </w:tcPr>
          <w:p>
            <w:pPr>
              <w:spacing w:after="0"/>
              <w:rPr>
                <w:sz w:val="24"/>
                <w:szCs w:val="24"/>
                <w:color w:val="auto"/>
              </w:rPr>
            </w:pPr>
          </w:p>
        </w:tc>
        <w:tc>
          <w:tcPr>
            <w:tcW w:w="2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Non-IFRS Financial Measures</w:t>
            </w:r>
            <w:r>
              <w:rPr>
                <w:rFonts w:ascii="Arial" w:cs="Arial" w:eastAsia="Arial" w:hAnsi="Arial"/>
                <w:sz w:val="11"/>
                <w:szCs w:val="11"/>
                <w:b w:val="1"/>
                <w:bCs w:val="1"/>
                <w:color w:val="auto"/>
                <w:w w:val="99"/>
              </w:rPr>
              <w:t>(1)</w:t>
            </w:r>
          </w:p>
        </w:tc>
        <w:tc>
          <w:tcPr>
            <w:tcW w:w="1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1,614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1,532</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00" w:type="dxa"/>
            <w:vAlign w:val="bottom"/>
            <w:gridSpan w:val="4"/>
          </w:tcPr>
          <w:p>
            <w:pPr>
              <w:spacing w:after="0" w:line="202" w:lineRule="exact"/>
              <w:rPr>
                <w:sz w:val="20"/>
                <w:szCs w:val="20"/>
                <w:color w:val="auto"/>
              </w:rPr>
            </w:pPr>
            <w:r>
              <w:rPr>
                <w:rFonts w:ascii="Arial" w:cs="Arial" w:eastAsia="Arial" w:hAnsi="Arial"/>
                <w:sz w:val="18"/>
                <w:szCs w:val="18"/>
                <w:color w:val="auto"/>
              </w:rPr>
              <w:t>Adjusted EBITDA</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561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502</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32.7%</w:t>
            </w: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200bp</w:t>
            </w: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00" w:type="dxa"/>
            <w:vAlign w:val="bottom"/>
            <w:gridSpan w:val="4"/>
          </w:tcPr>
          <w:p>
            <w:pPr>
              <w:spacing w:after="0" w:line="202" w:lineRule="exact"/>
              <w:rPr>
                <w:sz w:val="20"/>
                <w:szCs w:val="20"/>
                <w:color w:val="auto"/>
              </w:rPr>
            </w:pPr>
            <w:r>
              <w:rPr>
                <w:rFonts w:ascii="Arial" w:cs="Arial" w:eastAsia="Arial" w:hAnsi="Arial"/>
                <w:sz w:val="18"/>
                <w:szCs w:val="18"/>
                <w:color w:val="auto"/>
              </w:rPr>
              <w:t>Adjusted EPS</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0.60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0.48</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8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379</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60"/>
        <w:spacing w:after="0"/>
        <w:tabs>
          <w:tab w:leader="none" w:pos="10900" w:val="left"/>
        </w:tabs>
        <w:rPr>
          <w:sz w:val="20"/>
          <w:szCs w:val="20"/>
          <w:color w:val="auto"/>
        </w:rPr>
      </w:pPr>
      <w:r>
        <w:rPr>
          <w:rFonts w:ascii="Arial" w:cs="Arial" w:eastAsia="Arial" w:hAnsi="Arial"/>
          <w:sz w:val="14"/>
          <w:szCs w:val="14"/>
          <w:i w:val="1"/>
          <w:iCs w:val="1"/>
          <w:color w:val="auto"/>
        </w:rPr>
        <w:t>(1)   In addition to results reported in accordance with International Financial Reporting Standards (IFRS), the company uses certain non-IFRS financial measures as</w:t>
      </w:r>
      <w:r>
        <w:rPr>
          <w:sz w:val="20"/>
          <w:szCs w:val="20"/>
          <w:color w:val="auto"/>
        </w:rPr>
        <w:tab/>
      </w:r>
      <w:r>
        <w:rPr>
          <w:rFonts w:ascii="Arial" w:cs="Arial" w:eastAsia="Arial" w:hAnsi="Arial"/>
          <w:sz w:val="11"/>
          <w:szCs w:val="11"/>
          <w:i w:val="1"/>
          <w:iCs w:val="1"/>
          <w:color w:val="auto"/>
        </w:rPr>
        <w:t>    </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supplemental indicators of its operating performance and financial position. See the “Non-IFRS Financial Measures” section and the tables appended to this news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release for additional information on these and other non-IFRS financial measures, including how they are defined and reconciled to the most directly comparable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IFRS measures.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n/m: not meaningful</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 of 23</w:t>
      </w:r>
    </w:p>
    <w:p>
      <w:pPr>
        <w:spacing w:after="0" w:line="22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5%, driven by growth across four of the company’s five business segments. Foreign currency had a 2% negative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on revenues.</w:t>
      </w:r>
    </w:p>
    <w:p>
      <w:pPr>
        <w:spacing w:after="0" w:line="59" w:lineRule="exact"/>
        <w:rPr>
          <w:sz w:val="20"/>
          <w:szCs w:val="20"/>
          <w:color w:val="auto"/>
        </w:rPr>
      </w:pPr>
    </w:p>
    <w:p>
      <w:pPr>
        <w:ind w:left="1000" w:right="220" w:hanging="547"/>
        <w:spacing w:after="0" w:line="245"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Organic revenues increased 7%, driven by 7% growth in recurring revenues (80% of total revenues) as well as 13% growth in transactions revenues. Global Print revenues decreased 1% organically.</w:t>
      </w:r>
    </w:p>
    <w:p>
      <w:pPr>
        <w:ind w:left="1440" w:right="360" w:hanging="433"/>
        <w:spacing w:after="0" w:line="234" w:lineRule="auto"/>
        <w:tabs>
          <w:tab w:leader="none" w:pos="1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Transactions revenue growth was driven by Reuters News and Corporates. Reuters Events was a key contributor as it benefited from both timing shifts and the return to in-person events.</w:t>
      </w:r>
    </w:p>
    <w:p>
      <w:pPr>
        <w:spacing w:after="0" w:line="1" w:lineRule="exact"/>
        <w:rPr>
          <w:rFonts w:ascii="Arial" w:cs="Arial" w:eastAsia="Arial" w:hAnsi="Arial"/>
          <w:sz w:val="18"/>
          <w:szCs w:val="18"/>
          <w:color w:val="auto"/>
        </w:rPr>
      </w:pPr>
    </w:p>
    <w:p>
      <w:pPr>
        <w:ind w:left="1000" w:right="560" w:hanging="547"/>
        <w:spacing w:after="0" w:line="250"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“Big 3” segments (Legal Professionals, Corporates and Tax &amp; Accounting Professionals) reported organic revenue growth of 7% and collectively comprised 80% of total revenues.</w:t>
      </w:r>
    </w:p>
    <w:p>
      <w:pPr>
        <w:spacing w:after="0" w:line="17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24% as higher revenues more than offset higher costs, which included investments associated with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w:t>
      </w:r>
    </w:p>
    <w:p>
      <w:pPr>
        <w:spacing w:after="0" w:line="59" w:lineRule="exact"/>
        <w:rPr>
          <w:sz w:val="20"/>
          <w:szCs w:val="20"/>
          <w:color w:val="auto"/>
        </w:rPr>
      </w:pPr>
    </w:p>
    <w:p>
      <w:pPr>
        <w:jc w:val="both"/>
        <w:ind w:left="1000" w:right="440" w:hanging="547"/>
        <w:spacing w:after="0" w:line="25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12% due to the same factors as operating profit. The related margin increased to 34.7% from</w:t>
      </w:r>
      <w:r>
        <w:rPr>
          <w:rFonts w:ascii="Arial" w:cs="Arial" w:eastAsia="Arial" w:hAnsi="Arial"/>
          <w:sz w:val="18"/>
          <w:szCs w:val="18"/>
          <w:b w:val="1"/>
          <w:bCs w:val="1"/>
          <w:color w:val="auto"/>
        </w:rPr>
        <w:t xml:space="preserve"> </w:t>
      </w:r>
      <w:r>
        <w:rPr>
          <w:rFonts w:ascii="Arial" w:cs="Arial" w:eastAsia="Arial" w:hAnsi="Arial"/>
          <w:sz w:val="18"/>
          <w:szCs w:val="18"/>
          <w:color w:val="auto"/>
        </w:rPr>
        <w:t>32.7% in the prior-year period, of which foreign currency contributed 90bp. Investments in the Change Program negatively impacted the second quarter of 2022 adjusted EBITDA margin by 190bp.</w:t>
      </w:r>
    </w:p>
    <w:p>
      <w:pPr>
        <w:spacing w:after="0" w:line="169"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b w:val="1"/>
          <w:bCs w:val="1"/>
          <w:color w:val="auto"/>
        </w:rPr>
        <w:t xml:space="preserve">Diluted (loss) per share </w:t>
      </w:r>
      <w:r>
        <w:rPr>
          <w:rFonts w:ascii="Arial" w:cs="Arial" w:eastAsia="Arial" w:hAnsi="Arial"/>
          <w:sz w:val="18"/>
          <w:szCs w:val="18"/>
          <w:color w:val="auto"/>
        </w:rPr>
        <w:t>of $(0.24) included a significant reduction in the value of the company’s investment in London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Group (LSEG). Diluted earnings per share of $2.15 in the prior-year period included a significant increase in the value of the company’s investment in LSEG.</w:t>
      </w:r>
    </w:p>
    <w:p>
      <w:pPr>
        <w:spacing w:after="0" w:line="74" w:lineRule="exact"/>
        <w:rPr>
          <w:sz w:val="20"/>
          <w:szCs w:val="20"/>
          <w:color w:val="auto"/>
        </w:rPr>
      </w:pPr>
    </w:p>
    <w:p>
      <w:pPr>
        <w:ind w:left="1000" w:right="260" w:hanging="547"/>
        <w:spacing w:after="0" w:line="271"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Adjusted EPS</w:t>
      </w:r>
      <w:r>
        <w:rPr>
          <w:rFonts w:ascii="Arial" w:cs="Arial" w:eastAsia="Arial" w:hAnsi="Arial"/>
          <w:sz w:val="18"/>
          <w:szCs w:val="18"/>
          <w:color w:val="auto"/>
        </w:rPr>
        <w:t>, which excludes the change in value of the company’s LSEG investment, and other adjustments, increased to</w:t>
      </w:r>
      <w:r>
        <w:rPr>
          <w:rFonts w:ascii="Arial" w:cs="Arial" w:eastAsia="Arial" w:hAnsi="Arial"/>
          <w:sz w:val="18"/>
          <w:szCs w:val="18"/>
          <w:b w:val="1"/>
          <w:bCs w:val="1"/>
          <w:color w:val="auto"/>
        </w:rPr>
        <w:t xml:space="preserve"> </w:t>
      </w:r>
      <w:r>
        <w:rPr>
          <w:rFonts w:ascii="Arial" w:cs="Arial" w:eastAsia="Arial" w:hAnsi="Arial"/>
          <w:sz w:val="18"/>
          <w:szCs w:val="18"/>
          <w:color w:val="auto"/>
        </w:rPr>
        <w:t>$0.60 per share from $0.48 per share in the prior-year period, primarily due to higher adjusted EBITDA.</w:t>
      </w:r>
    </w:p>
    <w:p>
      <w:pPr>
        <w:spacing w:after="0" w:line="15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decreased $29 million as higher payments associated with the Change Program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higher tax payments more than offset the cash benefits from higher operating profit.</w:t>
      </w:r>
    </w:p>
    <w:p>
      <w:pPr>
        <w:spacing w:after="0" w:line="59" w:lineRule="exact"/>
        <w:rPr>
          <w:sz w:val="20"/>
          <w:szCs w:val="20"/>
          <w:color w:val="auto"/>
        </w:rPr>
      </w:pPr>
    </w:p>
    <w:p>
      <w:pPr>
        <w:ind w:left="1000" w:hanging="547"/>
        <w:spacing w:after="0" w:line="27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decreased $37 million due to lower cash flows from operating activities and higher capital expenditures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Change Program.</w:t>
      </w:r>
    </w:p>
    <w:p>
      <w:pPr>
        <w:sectPr>
          <w:pgSz w:w="11900" w:h="16838" w:orient="portrait"/>
          <w:cols w:equalWidth="0" w:num="1">
            <w:col w:w="11200"/>
          </w:cols>
          <w:pgMar w:left="320" w:top="101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3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by Customer Segment—Three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4989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4989195"/>
                    </a:xfrm>
                    <a:prstGeom prst="rect">
                      <a:avLst/>
                    </a:prstGeom>
                    <a:noFill/>
                  </pic:spPr>
                </pic:pic>
              </a:graphicData>
            </a:graphic>
          </wp:anchor>
        </w:drawing>
      </w: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(Millions of U.S. dollars, except for adjusted EBITDA margins)</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right"/>
              <w:ind w:right="660"/>
              <w:spacing w:after="0" w:line="143" w:lineRule="exact"/>
              <w:rPr>
                <w:sz w:val="20"/>
                <w:szCs w:val="20"/>
                <w:color w:val="auto"/>
              </w:rPr>
            </w:pPr>
            <w:r>
              <w:rPr>
                <w:rFonts w:ascii="Arial" w:cs="Arial" w:eastAsia="Arial" w:hAnsi="Arial"/>
                <w:sz w:val="14"/>
                <w:szCs w:val="14"/>
                <w:b w:val="1"/>
                <w:bCs w:val="1"/>
                <w:color w:val="auto"/>
              </w:rPr>
              <w:t>Constant</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5"/>
                <w:szCs w:val="15"/>
                <w:color w:val="auto"/>
              </w:rPr>
            </w:pPr>
          </w:p>
        </w:tc>
        <w:tc>
          <w:tcPr>
            <w:tcW w:w="800" w:type="dxa"/>
            <w:vAlign w:val="bottom"/>
            <w:gridSpan w:val="3"/>
          </w:tcPr>
          <w:p>
            <w:pPr>
              <w:jc w:val="right"/>
              <w:spacing w:after="0" w:line="17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20"/>
                <w:szCs w:val="20"/>
                <w:b w:val="1"/>
                <w:bCs w:val="1"/>
                <w:color w:val="auto"/>
                <w:vertAlign w:val="superscript"/>
              </w:rPr>
              <w:t>(2)</w:t>
            </w:r>
          </w:p>
        </w:tc>
        <w:tc>
          <w:tcPr>
            <w:tcW w:w="44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tcPr>
          <w:p>
            <w:pPr>
              <w:jc w:val="right"/>
              <w:ind w:right="580"/>
              <w:spacing w:after="0" w:line="175"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60" w:type="dxa"/>
            <w:vAlign w:val="bottom"/>
            <w:gridSpan w:val="2"/>
          </w:tcPr>
          <w:p>
            <w:pPr>
              <w:jc w:val="right"/>
              <w:ind w:right="260"/>
              <w:spacing w:after="0" w:line="175" w:lineRule="exact"/>
              <w:rPr>
                <w:sz w:val="20"/>
                <w:szCs w:val="20"/>
                <w:color w:val="auto"/>
              </w:rPr>
            </w:pPr>
            <w:r>
              <w:rPr>
                <w:rFonts w:ascii="Arial" w:cs="Arial" w:eastAsia="Arial" w:hAnsi="Arial"/>
                <w:sz w:val="14"/>
                <w:szCs w:val="14"/>
                <w:b w:val="1"/>
                <w:bCs w:val="1"/>
                <w:color w:val="auto"/>
                <w:w w:val="91"/>
              </w:rPr>
              <w:t>Organic</w:t>
            </w:r>
            <w:r>
              <w:rPr>
                <w:rFonts w:ascii="Arial" w:cs="Arial" w:eastAsia="Arial" w:hAnsi="Arial"/>
                <w:sz w:val="20"/>
                <w:szCs w:val="20"/>
                <w:b w:val="1"/>
                <w:bCs w:val="1"/>
                <w:color w:val="auto"/>
                <w:w w:val="91"/>
                <w:vertAlign w:val="superscript"/>
              </w:rPr>
              <w:t>(1)(3)</w:t>
            </w: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Revenues</w:t>
            </w:r>
          </w:p>
        </w:tc>
        <w:tc>
          <w:tcPr>
            <w:tcW w:w="4680" w:type="dxa"/>
            <w:vAlign w:val="bottom"/>
            <w:tcBorders>
              <w:bottom w:val="single" w:sz="8" w:color="CCEEFF"/>
            </w:tcBorders>
            <w:gridSpan w:val="3"/>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4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700</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673</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346</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54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w:t>
            </w:r>
          </w:p>
        </w:tc>
        <w:tc>
          <w:tcPr>
            <w:tcW w:w="440" w:type="dxa"/>
            <w:vAlign w:val="bottom"/>
          </w:tcPr>
          <w:p>
            <w:pPr>
              <w:spacing w:after="0"/>
              <w:rPr>
                <w:sz w:val="18"/>
                <w:szCs w:val="18"/>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1,290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1,218</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4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173</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12%</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147</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4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1,614</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b w:val="1"/>
                <w:bCs w:val="1"/>
                <w:color w:val="auto"/>
              </w:rPr>
              <w:t>1,532</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Adjusted EBITDA</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(1)</w:t>
            </w:r>
          </w:p>
        </w:tc>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38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500" w:type="dxa"/>
            <w:vAlign w:val="bottom"/>
            <w:tcBorders>
              <w:bottom w:val="single" w:sz="8" w:color="auto"/>
            </w:tcBorders>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38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304</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285</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4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128</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74</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540" w:type="dxa"/>
            <w:vAlign w:val="bottom"/>
            <w:gridSpan w:val="4"/>
          </w:tcPr>
          <w:p>
            <w:pPr>
              <w:ind w:left="360"/>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4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4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Global Print</w:t>
            </w: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4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12" w:right="339" w:bottom="1440" w:gutter="0" w:footer="0" w:header="0"/>
        </w:sectPr>
      </w:pPr>
    </w:p>
    <w:tbl>
      <w:tblPr>
        <w:tblLayout w:type="fixed"/>
        <w:tblInd w:w="160" w:type="dxa"/>
        <w:tblCellMar>
          <w:top w:w="0" w:type="dxa"/>
          <w:left w:w="0" w:type="dxa"/>
          <w:bottom w:w="0" w:type="dxa"/>
          <w:right w:w="0" w:type="dxa"/>
        </w:tblCellMar>
      </w:tblPr>
      <w:tr>
        <w:trPr>
          <w:trHeight w:val="216"/>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561</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  502</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12%</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b w:val="1"/>
                <w:bCs w:val="1"/>
                <w:color w:val="auto"/>
                <w:w w:val="99"/>
              </w:rPr>
              <w:t>Adjusted EBITDA Margin</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(1)</w:t>
            </w:r>
          </w:p>
        </w:tc>
        <w:tc>
          <w:tcPr>
            <w:tcW w:w="3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40" w:type="dxa"/>
            <w:vAlign w:val="bottom"/>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3240" w:type="dxa"/>
            <w:vAlign w:val="bottom"/>
            <w:vMerge w:val="restart"/>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43.4%</w:t>
            </w: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42.3%</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110bp</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80bp</w:t>
            </w:r>
          </w:p>
        </w:tc>
        <w:tc>
          <w:tcPr>
            <w:tcW w:w="0" w:type="dxa"/>
            <w:vAlign w:val="bottom"/>
          </w:tcPr>
          <w:p>
            <w:pPr>
              <w:spacing w:after="0"/>
              <w:rPr>
                <w:sz w:val="1"/>
                <w:szCs w:val="1"/>
                <w:color w:val="auto"/>
              </w:rPr>
            </w:pPr>
          </w:p>
        </w:tc>
      </w:tr>
      <w:tr>
        <w:trPr>
          <w:trHeight w:val="25"/>
        </w:trPr>
        <w:tc>
          <w:tcPr>
            <w:tcW w:w="2140" w:type="dxa"/>
            <w:vAlign w:val="bottom"/>
            <w:tcBorders>
              <w:bottom w:val="single" w:sz="8" w:color="auto"/>
            </w:tcBorders>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140" w:type="dxa"/>
            <w:vAlign w:val="bottom"/>
          </w:tcPr>
          <w:p>
            <w:pPr>
              <w:ind w:left="360"/>
              <w:spacing w:after="0" w:line="191" w:lineRule="exact"/>
              <w:rPr>
                <w:sz w:val="20"/>
                <w:szCs w:val="20"/>
                <w:color w:val="auto"/>
              </w:rPr>
            </w:pPr>
            <w:r>
              <w:rPr>
                <w:rFonts w:ascii="Arial" w:cs="Arial" w:eastAsia="Arial" w:hAnsi="Arial"/>
                <w:sz w:val="18"/>
                <w:szCs w:val="18"/>
                <w:color w:val="auto"/>
              </w:rPr>
              <w:t>Legal Professionals</w:t>
            </w:r>
          </w:p>
        </w:tc>
        <w:tc>
          <w:tcPr>
            <w:tcW w:w="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Corporates</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37.4%</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37.0%</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-20bp</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37.4%</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36.5%</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90bp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30bp</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40.7%</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39.9%</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40bp</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Reuters News</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23.3%</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20.2%</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310bp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03"/>
        </w:trPr>
        <w:tc>
          <w:tcPr>
            <w:tcW w:w="55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Global Print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35.4%</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37.9%</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-250bp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-250bp</w:t>
            </w:r>
          </w:p>
        </w:tc>
        <w:tc>
          <w:tcPr>
            <w:tcW w:w="0" w:type="dxa"/>
            <w:vAlign w:val="bottom"/>
          </w:tcPr>
          <w:p>
            <w:pPr>
              <w:spacing w:after="0"/>
              <w:rPr>
                <w:sz w:val="1"/>
                <w:szCs w:val="1"/>
                <w:color w:val="auto"/>
              </w:rPr>
            </w:pPr>
          </w:p>
        </w:tc>
      </w:tr>
      <w:tr>
        <w:trPr>
          <w:trHeight w:val="247"/>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Adjusted EBITDA margin</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34.7%</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32.7%</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200bp</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110bp</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320" w:hanging="287"/>
        <w:spacing w:after="0" w:line="250" w:lineRule="auto"/>
        <w:rPr>
          <w:sz w:val="20"/>
          <w:szCs w:val="20"/>
          <w:color w:val="auto"/>
        </w:rPr>
      </w:pPr>
      <w:r>
        <w:rPr>
          <w:rFonts w:ascii="Arial" w:cs="Arial" w:eastAsia="Arial" w:hAnsi="Arial"/>
          <w:sz w:val="14"/>
          <w:szCs w:val="14"/>
          <w:i w:val="1"/>
          <w:iCs w:val="1"/>
          <w:color w:val="auto"/>
        </w:rPr>
        <w:t>(1)   See the “Non-IFRS Financial Measures” section and the tables appended to this news release for additional information on these and other non-IFRS financial measures.</w:t>
      </w:r>
    </w:p>
    <w:p>
      <w:pPr>
        <w:spacing w:after="0" w:line="1" w:lineRule="exact"/>
        <w:rPr>
          <w:sz w:val="20"/>
          <w:szCs w:val="20"/>
          <w:color w:val="auto"/>
        </w:rPr>
      </w:pPr>
    </w:p>
    <w:p>
      <w:pPr>
        <w:ind w:left="460" w:hanging="287"/>
        <w:spacing w:after="0" w:line="241" w:lineRule="auto"/>
        <w:rPr>
          <w:sz w:val="20"/>
          <w:szCs w:val="20"/>
          <w:color w:val="auto"/>
        </w:rPr>
      </w:pPr>
      <w:r>
        <w:rPr>
          <w:rFonts w:ascii="Arial" w:cs="Arial" w:eastAsia="Arial" w:hAnsi="Arial"/>
          <w:sz w:val="14"/>
          <w:szCs w:val="14"/>
          <w:i w:val="1"/>
          <w:iCs w:val="1"/>
          <w:color w:val="auto"/>
        </w:rPr>
        <w:t>(2)   For comparative purposes, 2021 segment results have been revised to reflect the current period presentation. For additional information, see the “Revision to Prior-Year Segment Results” section of this news release.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(3)   Computed for revenue growth only.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n/a: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hanging="77"/>
        <w:spacing w:after="0"/>
        <w:tabs>
          <w:tab w:leader="none" w:pos="8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36" w:lineRule="exact"/>
        <w:rPr>
          <w:rFonts w:ascii="Arial" w:cs="Arial" w:eastAsia="Arial" w:hAnsi="Arial"/>
          <w:sz w:val="12"/>
          <w:szCs w:val="12"/>
          <w:i w:val="1"/>
          <w:iCs w:val="1"/>
          <w:color w:val="auto"/>
        </w:rPr>
      </w:pPr>
    </w:p>
    <w:p>
      <w:pPr>
        <w:ind w:left="80" w:hanging="77"/>
        <w:spacing w:after="0"/>
        <w:tabs>
          <w:tab w:leader="none" w:pos="8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80" w:hanging="77"/>
        <w:spacing w:after="0"/>
        <w:tabs>
          <w:tab w:leader="none" w:pos="8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spacing w:after="0"/>
        <w:rPr>
          <w:rFonts w:ascii="Arial" w:cs="Arial" w:eastAsia="Arial" w:hAnsi="Arial"/>
          <w:sz w:val="12"/>
          <w:szCs w:val="12"/>
          <w:i w:val="1"/>
          <w:iCs w:val="1"/>
          <w:color w:val="auto"/>
        </w:rPr>
      </w:pPr>
      <w:r>
        <w:rPr>
          <w:rFonts w:ascii="Arial" w:cs="Arial" w:eastAsia="Arial" w:hAnsi="Arial"/>
          <w:sz w:val="14"/>
          <w:szCs w:val="14"/>
          <w:color w:val="auto"/>
        </w:rPr>
        <w:t>   </w:t>
      </w:r>
    </w:p>
    <w:p>
      <w:pPr>
        <w:spacing w:after="0" w:line="645" w:lineRule="exact"/>
        <w:rPr>
          <w:sz w:val="20"/>
          <w:szCs w:val="20"/>
          <w:color w:val="auto"/>
        </w:rPr>
      </w:pPr>
    </w:p>
    <w:p>
      <w:pPr>
        <w:sectPr>
          <w:pgSz w:w="11900" w:h="16838" w:orient="portrait"/>
          <w:cols w:equalWidth="0" w:num="2">
            <w:col w:w="10820" w:space="160"/>
            <w:col w:w="260"/>
          </w:cols>
          <w:pgMar w:left="320" w:top="1012" w:right="339" w:bottom="1440" w:gutter="0" w:footer="0" w:header="0"/>
          <w:type w:val="continuous"/>
        </w:sectPr>
      </w:pPr>
    </w:p>
    <w:p>
      <w:pPr>
        <w:spacing w:after="0" w:line="130"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i w:val="1"/>
          <w:iCs w:val="1"/>
          <w:color w:val="auto"/>
        </w:rPr>
        <w:t xml:space="preserve">Unless otherwise noted, all revenue growth comparisons by customer segment in this news release are at </w:t>
      </w:r>
      <w:r>
        <w:rPr>
          <w:rFonts w:ascii="Arial" w:cs="Arial" w:eastAsia="Arial" w:hAnsi="Arial"/>
          <w:sz w:val="18"/>
          <w:szCs w:val="18"/>
          <w:b w:val="1"/>
          <w:bCs w:val="1"/>
          <w:i w:val="1"/>
          <w:iCs w:val="1"/>
          <w:u w:val="single" w:color="auto"/>
          <w:color w:val="auto"/>
        </w:rPr>
        <w:t>constant currency</w:t>
      </w:r>
      <w:r>
        <w:rPr>
          <w:rFonts w:ascii="Arial" w:cs="Arial" w:eastAsia="Arial" w:hAnsi="Arial"/>
          <w:sz w:val="18"/>
          <w:szCs w:val="18"/>
          <w:i w:val="1"/>
          <w:iCs w:val="1"/>
          <w:color w:val="auto"/>
        </w:rPr>
        <w:t xml:space="preserve"> (or exclude the impact of foreign currency) as Thomson Reuters believes this provides the best basis to measure their performance.</w:t>
      </w:r>
    </w:p>
    <w:p>
      <w:pPr>
        <w:sectPr>
          <w:pgSz w:w="11900" w:h="16838" w:orient="portrait"/>
          <w:cols w:equalWidth="0" w:num="1">
            <w:col w:w="11240"/>
          </w:cols>
          <w:pgMar w:left="320" w:top="101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4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Professionals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6% (all organic) to $700 million.</w:t>
      </w:r>
    </w:p>
    <w:p>
      <w:pPr>
        <w:spacing w:after="0" w:line="117" w:lineRule="exact"/>
        <w:rPr>
          <w:sz w:val="20"/>
          <w:szCs w:val="20"/>
          <w:color w:val="auto"/>
        </w:rPr>
      </w:pPr>
    </w:p>
    <w:p>
      <w:pPr>
        <w:ind w:left="1000" w:right="380" w:hanging="547"/>
        <w:spacing w:after="0" w:line="24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revenues grew 6% (94% of total, 7% organic), primarily due to strong performances from Westlaw, Practical Law, FindLaw and the Government business.</w:t>
      </w:r>
    </w:p>
    <w:p>
      <w:pPr>
        <w:ind w:left="1000" w:hanging="54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Transactions revenues decreased 3% (6% of total, decreased 1% organic).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7% to $304 million.</w:t>
      </w:r>
    </w:p>
    <w:p>
      <w:pPr>
        <w:spacing w:after="0" w:line="117" w:lineRule="exact"/>
        <w:rPr>
          <w:sz w:val="20"/>
          <w:szCs w:val="20"/>
          <w:color w:val="auto"/>
        </w:rPr>
      </w:pPr>
    </w:p>
    <w:p>
      <w:pPr>
        <w:ind w:left="1000" w:hanging="54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margin increased to 43.4% from 42.3%, primarily due to higher revenues and Change Program savings.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9% (all organic) to $373 million. Revenues benefited from transactional revenue strength that we do not expect to recur</w:t>
      </w:r>
      <w:r>
        <w:rPr>
          <w:rFonts w:ascii="Arial" w:cs="Arial" w:eastAsia="Arial" w:hAnsi="Arial"/>
          <w:sz w:val="18"/>
          <w:szCs w:val="18"/>
          <w:b w:val="1"/>
          <w:bCs w:val="1"/>
          <w:color w:val="auto"/>
        </w:rPr>
        <w:t xml:space="preserve"> </w:t>
      </w:r>
      <w:r>
        <w:rPr>
          <w:rFonts w:ascii="Arial" w:cs="Arial" w:eastAsia="Arial" w:hAnsi="Arial"/>
          <w:sz w:val="18"/>
          <w:szCs w:val="18"/>
          <w:color w:val="auto"/>
        </w:rPr>
        <w:t>at the same level in the second half of this year as the second-quarter performance was seasonal in nature.</w:t>
      </w:r>
    </w:p>
    <w:p>
      <w:pPr>
        <w:spacing w:after="0" w:line="59" w:lineRule="exact"/>
        <w:rPr>
          <w:sz w:val="20"/>
          <w:szCs w:val="20"/>
          <w:color w:val="auto"/>
        </w:rPr>
      </w:pPr>
    </w:p>
    <w:p>
      <w:pPr>
        <w:ind w:left="1000" w:hanging="54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Recurring revenues grew 9% (86% of total, all organic), driven by CLEAR, Practical Law and Indirect Tax.</w:t>
      </w:r>
    </w:p>
    <w:p>
      <w:pPr>
        <w:spacing w:after="0" w:line="13" w:lineRule="exact"/>
        <w:rPr>
          <w:rFonts w:ascii="Arial" w:cs="Arial" w:eastAsia="Arial" w:hAnsi="Arial"/>
          <w:sz w:val="18"/>
          <w:szCs w:val="18"/>
          <w:color w:val="auto"/>
        </w:rPr>
      </w:pPr>
    </w:p>
    <w:p>
      <w:pPr>
        <w:ind w:left="1000" w:hanging="547"/>
        <w:spacing w:after="0" w:line="250"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revenues grew 8% (14% of total, all organic), driven by Trust, Confirmation as well as the company’s businesses in Latin America and Asia &amp; Emerging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9% to $139 million.</w:t>
      </w:r>
    </w:p>
    <w:p>
      <w:pPr>
        <w:spacing w:after="0" w:line="117" w:lineRule="exact"/>
        <w:rPr>
          <w:sz w:val="20"/>
          <w:szCs w:val="20"/>
          <w:color w:val="auto"/>
        </w:rPr>
      </w:pPr>
    </w:p>
    <w:p>
      <w:pPr>
        <w:ind w:left="1000" w:hanging="54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margin increased to 37.4% from 37.0%, as higher revenues more than offset higher expenses.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&amp; Accounting Professionals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10% (9% organic) to $217 million.</w:t>
      </w:r>
    </w:p>
    <w:p>
      <w:pPr>
        <w:spacing w:after="0" w:line="117" w:lineRule="exact"/>
        <w:rPr>
          <w:sz w:val="20"/>
          <w:szCs w:val="20"/>
          <w:color w:val="auto"/>
        </w:rPr>
      </w:pPr>
    </w:p>
    <w:p>
      <w:pPr>
        <w:ind w:left="1000" w:right="720" w:hanging="547"/>
        <w:spacing w:after="0" w:line="24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Recurring revenues grew 11% (77% of total, all organic), driven by strong growth from Ultra Tax, audit products and the segment’s Latin America business.</w:t>
      </w:r>
    </w:p>
    <w:p>
      <w:pPr>
        <w:ind w:left="1000" w:hanging="54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revenues increased 5% (23% of total, all organic), primarily driven by Confirmation.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12% to $81 million.</w:t>
      </w:r>
    </w:p>
    <w:p>
      <w:pPr>
        <w:spacing w:after="0" w:line="117" w:lineRule="exact"/>
        <w:rPr>
          <w:sz w:val="20"/>
          <w:szCs w:val="20"/>
          <w:color w:val="auto"/>
        </w:rPr>
      </w:pPr>
    </w:p>
    <w:p>
      <w:pPr>
        <w:ind w:left="1000" w:hanging="54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margin increased to 37.4% from 36.5%, primarily due to higher revenues and Change Program savings.</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Tax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p>
    <w:p>
      <w:pPr>
        <w:sectPr>
          <w:pgSz w:w="11900" w:h="16838" w:orient="portrait"/>
          <w:cols w:equalWidth="0" w:num="1">
            <w:col w:w="11200"/>
          </w:cols>
          <w:pgMar w:left="320" w:top="1012"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5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Reuters News</w:t>
      </w:r>
    </w:p>
    <w:p>
      <w:pPr>
        <w:spacing w:after="0" w:line="104"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of $ 188 million increased 12% (all organic), primarily driven by the Professional business and the flow-through of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company’s news agreement with the Refinitiv business of LSEG. The Professional business benefited from timing shifts in Reuters Events as more events were hosted in the second quarter of this year rather than the second half, which is a return to the pre-COVID cadence. The Reuters Events business also benefited from a return to in-person events from primarily virtual events last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26% to $44 million, primarily due to higher revenues.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Global Print</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decreased 1% (all organic), which was better than the decline the company expected due to higher third-party revenues for</w:t>
      </w:r>
      <w:r>
        <w:rPr>
          <w:rFonts w:ascii="Arial" w:cs="Arial" w:eastAsia="Arial" w:hAnsi="Arial"/>
          <w:sz w:val="18"/>
          <w:szCs w:val="18"/>
          <w:b w:val="1"/>
          <w:bCs w:val="1"/>
          <w:color w:val="auto"/>
        </w:rPr>
        <w:t xml:space="preserve"> </w:t>
      </w:r>
      <w:r>
        <w:rPr>
          <w:rFonts w:ascii="Arial" w:cs="Arial" w:eastAsia="Arial" w:hAnsi="Arial"/>
          <w:sz w:val="18"/>
          <w:szCs w:val="18"/>
          <w:color w:val="auto"/>
        </w:rPr>
        <w:t>printing services and the timing of new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decreased 9% to $50 million.</w:t>
      </w:r>
    </w:p>
    <w:p>
      <w:pPr>
        <w:spacing w:after="0" w:line="117" w:lineRule="exact"/>
        <w:rPr>
          <w:sz w:val="20"/>
          <w:szCs w:val="20"/>
          <w:color w:val="auto"/>
        </w:rPr>
      </w:pPr>
    </w:p>
    <w:p>
      <w:pPr>
        <w:ind w:left="1000" w:hanging="54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margin decreased to 35.4% from 37.9% due to the decrease in revenues and the dilutive effect of third-party print revenue.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Costs</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Corporate costs </w:t>
      </w:r>
      <w:r>
        <w:rPr>
          <w:rFonts w:ascii="Arial" w:cs="Arial" w:eastAsia="Arial" w:hAnsi="Arial"/>
          <w:sz w:val="18"/>
          <w:szCs w:val="18"/>
          <w:color w:val="auto"/>
        </w:rPr>
        <w:t>at the adjusted EBITDA level were $57 million and included $30 million of Change Program costs. Corporate costs were</w:t>
      </w:r>
      <w:r>
        <w:rPr>
          <w:rFonts w:ascii="Arial" w:cs="Arial" w:eastAsia="Arial" w:hAnsi="Arial"/>
          <w:sz w:val="18"/>
          <w:szCs w:val="18"/>
          <w:b w:val="1"/>
          <w:bCs w:val="1"/>
          <w:color w:val="auto"/>
        </w:rPr>
        <w:t xml:space="preserve"> </w:t>
      </w:r>
      <w:r>
        <w:rPr>
          <w:rFonts w:ascii="Arial" w:cs="Arial" w:eastAsia="Arial" w:hAnsi="Arial"/>
          <w:sz w:val="18"/>
          <w:szCs w:val="18"/>
          <w:color w:val="auto"/>
        </w:rPr>
        <w:t>$76 million in the prior-year period and included $41 million of Change Program costs. Additional information regarding the Change Program is provided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Highlights—Six Months Ended June 30</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60" w:type="dxa"/>
            <w:vAlign w:val="bottom"/>
            <w:tcBorders>
              <w:top w:val="single" w:sz="8" w:color="auto"/>
              <w:left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60" w:type="dxa"/>
            <w:vAlign w:val="bottom"/>
            <w:gridSpan w:val="5"/>
          </w:tcPr>
          <w:p>
            <w:pPr>
              <w:jc w:val="center"/>
              <w:ind w:left="28"/>
              <w:spacing w:after="0"/>
              <w:rPr>
                <w:sz w:val="20"/>
                <w:szCs w:val="20"/>
                <w:color w:val="auto"/>
              </w:rPr>
            </w:pPr>
            <w:r>
              <w:rPr>
                <w:rFonts w:ascii="Arial" w:cs="Arial" w:eastAsia="Arial" w:hAnsi="Arial"/>
                <w:sz w:val="14"/>
                <w:szCs w:val="14"/>
                <w:color w:val="auto"/>
              </w:rPr>
              <w:t>(Millions of U.S. dollars, except for adjusted EBITDA margin and EPS)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20" w:type="dxa"/>
            <w:vAlign w:val="bottom"/>
            <w:gridSpan w:val="2"/>
          </w:tcPr>
          <w:p>
            <w:pPr>
              <w:jc w:val="center"/>
              <w:ind w:right="100"/>
              <w:spacing w:after="0"/>
              <w:rPr>
                <w:sz w:val="20"/>
                <w:szCs w:val="20"/>
                <w:color w:val="auto"/>
              </w:rPr>
            </w:pPr>
            <w:r>
              <w:rPr>
                <w:rFonts w:ascii="Arial" w:cs="Arial" w:eastAsia="Arial" w:hAnsi="Arial"/>
                <w:sz w:val="14"/>
                <w:szCs w:val="14"/>
                <w:color w:val="auto"/>
              </w:rPr>
              <w:t>(unaudited)</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Change at</w:t>
            </w: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0" w:type="dxa"/>
            <w:vAlign w:val="bottom"/>
            <w:tcBorders>
              <w:left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Borders>
              <w:left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0" w:type="dxa"/>
            <w:vAlign w:val="bottom"/>
            <w:tcBorders>
              <w:top w:val="single" w:sz="8" w:color="CCEEFF"/>
              <w:left w:val="single" w:sz="8" w:color="auto"/>
              <w:bottom w:val="single" w:sz="8" w:color="CCEEFF"/>
            </w:tcBorders>
            <w:shd w:val="clear" w:color="auto" w:fill="CCEEFF"/>
          </w:tcPr>
          <w:p>
            <w:pPr>
              <w:spacing w:after="0"/>
              <w:rPr>
                <w:sz w:val="10"/>
                <w:szCs w:val="10"/>
                <w:color w:val="auto"/>
              </w:rPr>
            </w:pPr>
          </w:p>
        </w:tc>
        <w:tc>
          <w:tcPr>
            <w:tcW w:w="2120" w:type="dxa"/>
            <w:vAlign w:val="bottom"/>
            <w:tcBorders>
              <w:top w:val="single" w:sz="8" w:color="CCEEFF"/>
              <w:bottom w:val="single" w:sz="8" w:color="CCEEFF"/>
            </w:tcBorders>
            <w:vMerge w:val="restart"/>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IFRS Financial Measures</w:t>
            </w:r>
          </w:p>
        </w:tc>
        <w:tc>
          <w:tcPr>
            <w:tcW w:w="180" w:type="dxa"/>
            <w:vAlign w:val="bottom"/>
            <w:tcBorders>
              <w:top w:val="single" w:sz="8" w:color="CCEEFF"/>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w:t>
            </w:r>
          </w:p>
        </w:tc>
        <w:tc>
          <w:tcPr>
            <w:tcW w:w="24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6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12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30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 w:type="dxa"/>
            <w:vAlign w:val="bottom"/>
            <w:tcBorders>
              <w:left w:val="single" w:sz="8" w:color="auto"/>
              <w:bottom w:val="single" w:sz="8" w:color="CCEEFF"/>
            </w:tcBorders>
            <w:shd w:val="clear" w:color="auto" w:fill="CCEEFF"/>
          </w:tcPr>
          <w:p>
            <w:pPr>
              <w:spacing w:after="0"/>
              <w:rPr>
                <w:sz w:val="2"/>
                <w:szCs w:val="2"/>
                <w:color w:val="auto"/>
              </w:rPr>
            </w:pPr>
          </w:p>
        </w:tc>
        <w:tc>
          <w:tcPr>
            <w:tcW w:w="2120" w:type="dxa"/>
            <w:vAlign w:val="bottom"/>
            <w:tcBorders>
              <w:bottom w:val="single" w:sz="8" w:color="auto"/>
            </w:tcBorders>
            <w:vMerge w:val="continue"/>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120" w:type="dxa"/>
            <w:vAlign w:val="bottom"/>
            <w:tcBorders>
              <w:bottom w:val="single" w:sz="8" w:color="CCEEFF"/>
            </w:tcBorders>
            <w:vMerge w:val="continue"/>
            <w:shd w:val="clear" w:color="auto" w:fill="CCEEFF"/>
          </w:tcPr>
          <w:p>
            <w:pPr>
              <w:spacing w:after="0"/>
              <w:rPr>
                <w:sz w:val="2"/>
                <w:szCs w:val="2"/>
                <w:color w:val="auto"/>
              </w:rPr>
            </w:pPr>
          </w:p>
        </w:tc>
        <w:tc>
          <w:tcPr>
            <w:tcW w:w="30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70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right w:val="single" w:sz="8" w:color="auto"/>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820" w:type="dxa"/>
            <w:vAlign w:val="bottom"/>
            <w:gridSpan w:val="5"/>
          </w:tcPr>
          <w:p>
            <w:pPr>
              <w:spacing w:after="0" w:line="202" w:lineRule="exact"/>
              <w:rPr>
                <w:sz w:val="20"/>
                <w:szCs w:val="20"/>
                <w:color w:val="auto"/>
              </w:rPr>
            </w:pPr>
            <w:r>
              <w:rPr>
                <w:rFonts w:ascii="Arial" w:cs="Arial" w:eastAsia="Arial" w:hAnsi="Arial"/>
                <w:sz w:val="18"/>
                <w:szCs w:val="18"/>
                <w:color w:val="auto"/>
              </w:rPr>
              <w:t>Revenues</w:t>
            </w:r>
          </w:p>
        </w:tc>
        <w:tc>
          <w:tcPr>
            <w:tcW w:w="3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3,288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3,112</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7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8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3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703</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820" w:type="dxa"/>
            <w:vAlign w:val="bottom"/>
            <w:gridSpan w:val="5"/>
          </w:tcPr>
          <w:p>
            <w:pPr>
              <w:spacing w:after="0" w:line="202" w:lineRule="exact"/>
              <w:rPr>
                <w:sz w:val="20"/>
                <w:szCs w:val="20"/>
                <w:color w:val="auto"/>
              </w:rPr>
            </w:pPr>
            <w:r>
              <w:rPr>
                <w:rFonts w:ascii="Arial" w:cs="Arial" w:eastAsia="Arial" w:hAnsi="Arial"/>
                <w:sz w:val="18"/>
                <w:szCs w:val="18"/>
                <w:color w:val="auto"/>
              </w:rPr>
              <w:t>Diluted EPS</w:t>
            </w:r>
          </w:p>
        </w:tc>
        <w:tc>
          <w:tcPr>
            <w:tcW w:w="3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1.83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12.28</w:t>
            </w: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7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8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842</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 w:type="dxa"/>
            <w:vAlign w:val="bottom"/>
            <w:tcBorders>
              <w:left w:val="single" w:sz="8" w:color="auto"/>
            </w:tcBorders>
          </w:tcPr>
          <w:p>
            <w:pPr>
              <w:spacing w:after="0"/>
              <w:rPr>
                <w:sz w:val="21"/>
                <w:szCs w:val="2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Non-IFRS Financial Measures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7"/>
              </w:rPr>
              <w:t>(1)</w:t>
            </w:r>
          </w:p>
        </w:tc>
        <w:tc>
          <w:tcPr>
            <w:tcW w:w="1120" w:type="dxa"/>
            <w:vAlign w:val="bottom"/>
            <w:vMerge w:val="restart"/>
          </w:tcPr>
          <w:p>
            <w:pPr>
              <w:spacing w:after="0"/>
              <w:rPr>
                <w:sz w:val="21"/>
                <w:szCs w:val="21"/>
                <w:color w:val="auto"/>
              </w:rPr>
            </w:pPr>
          </w:p>
        </w:tc>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60" w:type="dxa"/>
            <w:vAlign w:val="bottom"/>
            <w:tcBorders>
              <w:left w:val="single" w:sz="8" w:color="auto"/>
            </w:tcBorders>
          </w:tcPr>
          <w:p>
            <w:pPr>
              <w:spacing w:after="0"/>
              <w:rPr>
                <w:sz w:val="2"/>
                <w:szCs w:val="2"/>
                <w:color w:val="auto"/>
              </w:rPr>
            </w:pPr>
          </w:p>
        </w:tc>
        <w:tc>
          <w:tcPr>
            <w:tcW w:w="2540" w:type="dxa"/>
            <w:vAlign w:val="bottom"/>
            <w:tcBorders>
              <w:bottom w:val="single" w:sz="8" w:color="auto"/>
            </w:tcBorders>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8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3,288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3,112</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60" w:type="dxa"/>
            <w:vAlign w:val="bottom"/>
            <w:tcBorders>
              <w:right w:val="single" w:sz="8" w:color="auto"/>
            </w:tcBorders>
            <w:gridSpan w:val="2"/>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820" w:type="dxa"/>
            <w:vAlign w:val="bottom"/>
            <w:gridSpan w:val="5"/>
          </w:tcPr>
          <w:p>
            <w:pPr>
              <w:spacing w:after="0" w:line="202" w:lineRule="exact"/>
              <w:rPr>
                <w:sz w:val="20"/>
                <w:szCs w:val="20"/>
                <w:color w:val="auto"/>
              </w:rPr>
            </w:pPr>
            <w:r>
              <w:rPr>
                <w:rFonts w:ascii="Arial" w:cs="Arial" w:eastAsia="Arial" w:hAnsi="Arial"/>
                <w:sz w:val="18"/>
                <w:szCs w:val="18"/>
                <w:color w:val="auto"/>
              </w:rPr>
              <w:t>Adjusted EBITDA</w:t>
            </w:r>
          </w:p>
        </w:tc>
        <w:tc>
          <w:tcPr>
            <w:tcW w:w="3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1,161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7"/>
              </w:rPr>
              <w:t>1,060</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60" w:type="dxa"/>
            <w:vAlign w:val="bottom"/>
            <w:tcBorders>
              <w:right w:val="single" w:sz="8" w:color="auto"/>
            </w:tcBorders>
            <w:gridSpan w:val="2"/>
          </w:tcPr>
          <w:p>
            <w:pPr>
              <w:jc w:val="right"/>
              <w:ind w:right="233"/>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8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34.1%</w:t>
            </w:r>
          </w:p>
        </w:tc>
        <w:tc>
          <w:tcPr>
            <w:tcW w:w="10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120bp</w:t>
            </w:r>
          </w:p>
        </w:tc>
        <w:tc>
          <w:tcPr>
            <w:tcW w:w="7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4"/>
              </w:rPr>
              <w:t>70bp</w:t>
            </w:r>
          </w:p>
        </w:tc>
        <w:tc>
          <w:tcPr>
            <w:tcW w:w="4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tcPr>
          <w:p>
            <w:pPr>
              <w:spacing w:after="0"/>
              <w:rPr>
                <w:sz w:val="17"/>
                <w:szCs w:val="17"/>
                <w:color w:val="auto"/>
              </w:rPr>
            </w:pPr>
          </w:p>
        </w:tc>
        <w:tc>
          <w:tcPr>
            <w:tcW w:w="3820" w:type="dxa"/>
            <w:vAlign w:val="bottom"/>
            <w:gridSpan w:val="5"/>
          </w:tcPr>
          <w:p>
            <w:pPr>
              <w:spacing w:after="0" w:line="202" w:lineRule="exact"/>
              <w:rPr>
                <w:sz w:val="20"/>
                <w:szCs w:val="20"/>
                <w:color w:val="auto"/>
              </w:rPr>
            </w:pPr>
            <w:r>
              <w:rPr>
                <w:rFonts w:ascii="Arial" w:cs="Arial" w:eastAsia="Arial" w:hAnsi="Arial"/>
                <w:sz w:val="18"/>
                <w:szCs w:val="18"/>
                <w:color w:val="auto"/>
              </w:rPr>
              <w:t>Adjusted EPS</w:t>
            </w:r>
          </w:p>
        </w:tc>
        <w:tc>
          <w:tcPr>
            <w:tcW w:w="3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1.06</w:t>
            </w: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w:t>
            </w:r>
          </w:p>
        </w:tc>
        <w:tc>
          <w:tcPr>
            <w:tcW w:w="1160" w:type="dxa"/>
            <w:vAlign w:val="bottom"/>
            <w:tcBorders>
              <w:right w:val="single" w:sz="8" w:color="auto"/>
            </w:tcBorders>
            <w:gridSpan w:val="2"/>
          </w:tcPr>
          <w:p>
            <w:pPr>
              <w:jc w:val="right"/>
              <w:ind w:right="233"/>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160" w:type="dxa"/>
            <w:vAlign w:val="bottom"/>
            <w:tcBorders>
              <w:left w:val="single" w:sz="8" w:color="auto"/>
            </w:tcBorders>
            <w:shd w:val="clear" w:color="auto" w:fill="CCEEFF"/>
          </w:tcPr>
          <w:p>
            <w:pPr>
              <w:spacing w:after="0"/>
              <w:rPr>
                <w:sz w:val="17"/>
                <w:szCs w:val="17"/>
                <w:color w:val="auto"/>
              </w:rPr>
            </w:pPr>
          </w:p>
        </w:tc>
        <w:tc>
          <w:tcPr>
            <w:tcW w:w="382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Free cash flow</w:t>
            </w:r>
          </w:p>
        </w:tc>
        <w:tc>
          <w:tcPr>
            <w:tcW w:w="3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618</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60" w:type="dxa"/>
            <w:vAlign w:val="bottom"/>
            <w:tcBorders>
              <w:left w:val="single" w:sz="8" w:color="auto"/>
            </w:tcBorders>
          </w:tcPr>
          <w:p>
            <w:pPr>
              <w:spacing w:after="0"/>
              <w:rPr>
                <w:sz w:val="22"/>
                <w:szCs w:val="22"/>
                <w:color w:val="auto"/>
              </w:rPr>
            </w:pPr>
          </w:p>
        </w:tc>
        <w:tc>
          <w:tcPr>
            <w:tcW w:w="10640" w:type="dxa"/>
            <w:vAlign w:val="bottom"/>
            <w:gridSpan w:val="15"/>
          </w:tcPr>
          <w:p>
            <w:pPr>
              <w:spacing w:after="0"/>
              <w:rPr>
                <w:sz w:val="20"/>
                <w:szCs w:val="20"/>
                <w:color w:val="auto"/>
              </w:rPr>
            </w:pPr>
            <w:r>
              <w:rPr>
                <w:rFonts w:ascii="Arial" w:cs="Arial" w:eastAsia="Arial" w:hAnsi="Arial"/>
                <w:sz w:val="14"/>
                <w:szCs w:val="14"/>
                <w:i w:val="1"/>
                <w:iCs w:val="1"/>
                <w:color w:val="auto"/>
              </w:rPr>
              <w:t>(1)   In addition to results reported in accordance with IFRS, the company uses certain non-IFRS financial measures as supplemental indicators of its operating</w:t>
            </w:r>
          </w:p>
        </w:tc>
        <w:tc>
          <w:tcPr>
            <w:tcW w:w="46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i w:val="1"/>
                <w:iCs w:val="1"/>
                <w:color w:val="auto"/>
                <w:w w:val="73"/>
              </w:rPr>
              <w:t>    </w:t>
            </w: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tcPr>
          <w:p>
            <w:pPr>
              <w:spacing w:after="0"/>
              <w:rPr>
                <w:sz w:val="14"/>
                <w:szCs w:val="14"/>
                <w:color w:val="auto"/>
              </w:rPr>
            </w:pPr>
          </w:p>
        </w:tc>
        <w:tc>
          <w:tcPr>
            <w:tcW w:w="10640" w:type="dxa"/>
            <w:vAlign w:val="bottom"/>
            <w:gridSpan w:val="15"/>
          </w:tcPr>
          <w:p>
            <w:pPr>
              <w:jc w:val="center"/>
              <w:spacing w:after="0"/>
              <w:rPr>
                <w:sz w:val="20"/>
                <w:szCs w:val="20"/>
                <w:color w:val="auto"/>
              </w:rPr>
            </w:pPr>
            <w:r>
              <w:rPr>
                <w:rFonts w:ascii="Arial" w:cs="Arial" w:eastAsia="Arial" w:hAnsi="Arial"/>
                <w:sz w:val="14"/>
                <w:szCs w:val="14"/>
                <w:i w:val="1"/>
                <w:iCs w:val="1"/>
                <w:color w:val="auto"/>
              </w:rPr>
              <w:t>performance and financial position. See the “Non-IFRS Financial Measures” section and the tables appended to this news release for additional information on</w:t>
            </w:r>
          </w:p>
        </w:tc>
        <w:tc>
          <w:tcPr>
            <w:tcW w:w="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0" w:type="dxa"/>
            <w:vAlign w:val="bottom"/>
            <w:tcBorders>
              <w:left w:val="single" w:sz="8" w:color="auto"/>
            </w:tcBorders>
          </w:tcPr>
          <w:p>
            <w:pPr>
              <w:spacing w:after="0"/>
              <w:rPr>
                <w:sz w:val="13"/>
                <w:szCs w:val="13"/>
                <w:color w:val="auto"/>
              </w:rPr>
            </w:pPr>
          </w:p>
        </w:tc>
        <w:tc>
          <w:tcPr>
            <w:tcW w:w="9940" w:type="dxa"/>
            <w:vAlign w:val="bottom"/>
            <w:gridSpan w:val="14"/>
          </w:tcPr>
          <w:p>
            <w:pPr>
              <w:ind w:left="300"/>
              <w:spacing w:after="0"/>
              <w:rPr>
                <w:sz w:val="20"/>
                <w:szCs w:val="20"/>
                <w:color w:val="auto"/>
              </w:rPr>
            </w:pPr>
            <w:r>
              <w:rPr>
                <w:rFonts w:ascii="Arial" w:cs="Arial" w:eastAsia="Arial" w:hAnsi="Arial"/>
                <w:sz w:val="14"/>
                <w:szCs w:val="14"/>
                <w:i w:val="1"/>
                <w:iCs w:val="1"/>
                <w:color w:val="auto"/>
              </w:rPr>
              <w:t>these and other non-IFRS financial measures, including how they are defined and reconciled to the most directly comparable IFRS measures.</w:t>
            </w:r>
          </w:p>
        </w:tc>
        <w:tc>
          <w:tcPr>
            <w:tcW w:w="7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0" w:type="dxa"/>
            <w:vAlign w:val="bottom"/>
            <w:tcBorders>
              <w:left w:val="single" w:sz="8" w:color="auto"/>
            </w:tcBorders>
          </w:tcPr>
          <w:p>
            <w:pPr>
              <w:spacing w:after="0"/>
              <w:rPr>
                <w:sz w:val="16"/>
                <w:szCs w:val="16"/>
                <w:color w:val="auto"/>
              </w:rPr>
            </w:pPr>
          </w:p>
        </w:tc>
        <w:tc>
          <w:tcPr>
            <w:tcW w:w="3820" w:type="dxa"/>
            <w:vAlign w:val="bottom"/>
            <w:gridSpan w:val="5"/>
          </w:tcPr>
          <w:p>
            <w:pPr>
              <w:spacing w:after="0"/>
              <w:rPr>
                <w:sz w:val="20"/>
                <w:szCs w:val="20"/>
                <w:color w:val="auto"/>
              </w:rPr>
            </w:pPr>
            <w:r>
              <w:rPr>
                <w:rFonts w:ascii="Arial" w:cs="Arial" w:eastAsia="Arial" w:hAnsi="Arial"/>
                <w:sz w:val="14"/>
                <w:szCs w:val="14"/>
                <w:color w:val="auto"/>
              </w:rPr>
              <w:t>n/m: not meaningful</w:t>
            </w: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6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2"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6 of 23</w:t>
      </w:r>
    </w:p>
    <w:p>
      <w:pPr>
        <w:spacing w:after="0" w:line="22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increased 6%, driven by growth across four of the company’s five business segments. Foreign currency had a 1% negative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on revenues.</w:t>
      </w:r>
    </w:p>
    <w:p>
      <w:pPr>
        <w:spacing w:after="0" w:line="59" w:lineRule="exact"/>
        <w:rPr>
          <w:sz w:val="20"/>
          <w:szCs w:val="20"/>
          <w:color w:val="auto"/>
        </w:rPr>
      </w:pPr>
    </w:p>
    <w:p>
      <w:pPr>
        <w:ind w:left="1000" w:right="260" w:hanging="547"/>
        <w:spacing w:after="0" w:line="24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Organic revenues increased 7%, driven by 7% growth in recurring revenues (79% of total revenues) as well as 10% growth in transactions revenues. Global Print revenues decreased 1% organically.</w:t>
      </w:r>
    </w:p>
    <w:p>
      <w:pPr>
        <w:ind w:left="1440" w:right="520" w:hanging="433"/>
        <w:spacing w:after="0" w:line="234"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Transactions revenue growth was driven by Reuters News, Corporates and Tax &amp; Accounting Professionals. Reuters Events was a key contributor as it benefited from both timing shifts and the return to in-person events.</w:t>
      </w:r>
    </w:p>
    <w:p>
      <w:pPr>
        <w:spacing w:after="0" w:line="1" w:lineRule="exact"/>
        <w:rPr>
          <w:rFonts w:ascii="Arial" w:cs="Arial" w:eastAsia="Arial" w:hAnsi="Arial"/>
          <w:sz w:val="18"/>
          <w:szCs w:val="18"/>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“Big 3” segments reported organic revenue growth of 7% and collectively comprised 81% of total revenues.</w:t>
      </w:r>
    </w:p>
    <w:p>
      <w:pPr>
        <w:spacing w:after="0" w:line="194"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increased 15% as higher revenues more than offset higher costs, which included investments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Change Program.</w:t>
      </w:r>
    </w:p>
    <w:p>
      <w:pPr>
        <w:spacing w:after="0" w:line="59" w:lineRule="exact"/>
        <w:rPr>
          <w:sz w:val="20"/>
          <w:szCs w:val="20"/>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10% reflecting the same factors that impacted operating profit. The related margin increased to</w:t>
      </w:r>
    </w:p>
    <w:p>
      <w:pPr>
        <w:spacing w:after="0" w:line="13" w:lineRule="exact"/>
        <w:rPr>
          <w:rFonts w:ascii="Arial" w:cs="Arial" w:eastAsia="Arial" w:hAnsi="Arial"/>
          <w:sz w:val="18"/>
          <w:szCs w:val="18"/>
          <w:color w:val="auto"/>
        </w:rPr>
      </w:pPr>
    </w:p>
    <w:p>
      <w:pPr>
        <w:ind w:left="1000" w:right="80"/>
        <w:spacing w:after="0" w:line="250" w:lineRule="auto"/>
        <w:rPr>
          <w:rFonts w:ascii="Arial" w:cs="Arial" w:eastAsia="Arial" w:hAnsi="Arial"/>
          <w:sz w:val="18"/>
          <w:szCs w:val="18"/>
          <w:color w:val="auto"/>
        </w:rPr>
      </w:pPr>
      <w:r>
        <w:rPr>
          <w:rFonts w:ascii="Arial" w:cs="Arial" w:eastAsia="Arial" w:hAnsi="Arial"/>
          <w:sz w:val="18"/>
          <w:szCs w:val="18"/>
          <w:color w:val="auto"/>
        </w:rPr>
        <w:t>35.3% from 34.1% in the prior-year period, of which foreign currency contributed 50bp. Investments associated with the Change Program negatively impacted the adjusted EBITDA margin by 190bp in the six months of 2022.</w:t>
      </w:r>
    </w:p>
    <w:p>
      <w:pPr>
        <w:spacing w:after="0" w:line="172"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was $1.83 per share compared to $ 12.28 per share in the prior-year period. The prior-year period included a gain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$8.1 billion on the sale of Refinitiv to LSEG.</w:t>
      </w:r>
    </w:p>
    <w:p>
      <w:pPr>
        <w:spacing w:after="0" w:line="59" w:lineRule="exact"/>
        <w:rPr>
          <w:sz w:val="20"/>
          <w:szCs w:val="20"/>
          <w:color w:val="auto"/>
        </w:rPr>
      </w:pPr>
    </w:p>
    <w:p>
      <w:pPr>
        <w:ind w:left="1000" w:right="60" w:hanging="547"/>
        <w:spacing w:after="0" w:line="27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Adjusted EPS</w:t>
      </w:r>
      <w:r>
        <w:rPr>
          <w:rFonts w:ascii="Arial" w:cs="Arial" w:eastAsia="Arial" w:hAnsi="Arial"/>
          <w:sz w:val="18"/>
          <w:szCs w:val="18"/>
          <w:color w:val="auto"/>
        </w:rPr>
        <w:t>, which excludes the gain on the sale of Refinitiv, as well as other adjustments, increased to $1.26 per share from</w:t>
      </w:r>
      <w:r>
        <w:rPr>
          <w:rFonts w:ascii="Arial" w:cs="Arial" w:eastAsia="Arial" w:hAnsi="Arial"/>
          <w:sz w:val="18"/>
          <w:szCs w:val="18"/>
          <w:b w:val="1"/>
          <w:bCs w:val="1"/>
          <w:color w:val="auto"/>
        </w:rPr>
        <w:t xml:space="preserve"> </w:t>
      </w:r>
      <w:r>
        <w:rPr>
          <w:rFonts w:ascii="Arial" w:cs="Arial" w:eastAsia="Arial" w:hAnsi="Arial"/>
          <w:sz w:val="18"/>
          <w:szCs w:val="18"/>
          <w:color w:val="auto"/>
        </w:rPr>
        <w:t>$1.06 per share in the prior-year period, primarily due to higher adjusted EBITDA.</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18"/>
          <w:szCs w:val="18"/>
          <w:color w:val="auto"/>
        </w:rPr>
        <w:t>decreased $134 million due to higher payments associated with the Change Program, higher tax</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and higher annual incentive plan bonuses.</w:t>
      </w:r>
    </w:p>
    <w:p>
      <w:pPr>
        <w:spacing w:after="0" w:line="59" w:lineRule="exact"/>
        <w:rPr>
          <w:sz w:val="20"/>
          <w:szCs w:val="20"/>
          <w:color w:val="auto"/>
        </w:rPr>
      </w:pPr>
    </w:p>
    <w:p>
      <w:pPr>
        <w:ind w:left="1000" w:right="620" w:hanging="547"/>
        <w:spacing w:after="0" w:line="27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decreased $190 million due to lower cash flows from operating activities and higher capital expenditures,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associated with the Change Program.</w:t>
      </w:r>
    </w:p>
    <w:p>
      <w:pPr>
        <w:sectPr>
          <w:pgSz w:w="11900" w:h="16838" w:orient="portrait"/>
          <w:cols w:equalWidth="0" w:num="1">
            <w:col w:w="11240"/>
          </w:cols>
          <w:pgMar w:left="320" w:top="101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7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by Customer Segment—Six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4989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4989195"/>
                    </a:xfrm>
                    <a:prstGeom prst="rect">
                      <a:avLst/>
                    </a:prstGeom>
                    <a:noFill/>
                  </pic:spPr>
                </pic:pic>
              </a:graphicData>
            </a:graphic>
          </wp:anchor>
        </w:drawing>
      </w: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(Millions of U.S. dollars, except for adjusted EBITDA margins)</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right"/>
              <w:ind w:right="660"/>
              <w:spacing w:after="0" w:line="143" w:lineRule="exact"/>
              <w:rPr>
                <w:sz w:val="20"/>
                <w:szCs w:val="20"/>
                <w:color w:val="auto"/>
              </w:rPr>
            </w:pPr>
            <w:r>
              <w:rPr>
                <w:rFonts w:ascii="Arial" w:cs="Arial" w:eastAsia="Arial" w:hAnsi="Arial"/>
                <w:sz w:val="14"/>
                <w:szCs w:val="14"/>
                <w:b w:val="1"/>
                <w:bCs w:val="1"/>
                <w:color w:val="auto"/>
              </w:rPr>
              <w:t>Constant</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760" w:type="dxa"/>
            <w:vAlign w:val="bottom"/>
            <w:gridSpan w:val="3"/>
          </w:tcPr>
          <w:p>
            <w:pPr>
              <w:jc w:val="right"/>
              <w:spacing w:after="0" w:line="17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20"/>
                <w:szCs w:val="20"/>
                <w:b w:val="1"/>
                <w:bCs w:val="1"/>
                <w:color w:val="auto"/>
                <w:vertAlign w:val="superscript"/>
              </w:rPr>
              <w:t>(2)</w:t>
            </w:r>
          </w:p>
        </w:tc>
        <w:tc>
          <w:tcPr>
            <w:tcW w:w="44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tcPr>
          <w:p>
            <w:pPr>
              <w:jc w:val="right"/>
              <w:ind w:right="580"/>
              <w:spacing w:after="0" w:line="175" w:lineRule="exact"/>
              <w:rPr>
                <w:sz w:val="20"/>
                <w:szCs w:val="20"/>
                <w:color w:val="auto"/>
              </w:rPr>
            </w:pPr>
            <w:r>
              <w:rPr>
                <w:rFonts w:ascii="Arial" w:cs="Arial" w:eastAsia="Arial" w:hAnsi="Arial"/>
                <w:sz w:val="14"/>
                <w:szCs w:val="14"/>
                <w:b w:val="1"/>
                <w:bCs w:val="1"/>
                <w:color w:val="auto"/>
                <w:w w:val="97"/>
              </w:rPr>
              <w:t>Currency</w:t>
            </w:r>
            <w:r>
              <w:rPr>
                <w:rFonts w:ascii="Arial" w:cs="Arial" w:eastAsia="Arial" w:hAnsi="Arial"/>
                <w:sz w:val="20"/>
                <w:szCs w:val="20"/>
                <w:b w:val="1"/>
                <w:bCs w:val="1"/>
                <w:color w:val="auto"/>
                <w:w w:val="97"/>
                <w:vertAlign w:val="superscript"/>
              </w:rPr>
              <w:t>(1)</w:t>
            </w:r>
          </w:p>
        </w:tc>
        <w:tc>
          <w:tcPr>
            <w:tcW w:w="1060" w:type="dxa"/>
            <w:vAlign w:val="bottom"/>
            <w:gridSpan w:val="2"/>
          </w:tcPr>
          <w:p>
            <w:pPr>
              <w:jc w:val="right"/>
              <w:ind w:right="260"/>
              <w:spacing w:after="0" w:line="175" w:lineRule="exact"/>
              <w:rPr>
                <w:sz w:val="20"/>
                <w:szCs w:val="20"/>
                <w:color w:val="auto"/>
              </w:rPr>
            </w:pPr>
            <w:r>
              <w:rPr>
                <w:rFonts w:ascii="Arial" w:cs="Arial" w:eastAsia="Arial" w:hAnsi="Arial"/>
                <w:sz w:val="14"/>
                <w:szCs w:val="14"/>
                <w:b w:val="1"/>
                <w:bCs w:val="1"/>
                <w:color w:val="auto"/>
                <w:w w:val="91"/>
              </w:rPr>
              <w:t>Organic</w:t>
            </w:r>
            <w:r>
              <w:rPr>
                <w:rFonts w:ascii="Arial" w:cs="Arial" w:eastAsia="Arial" w:hAnsi="Arial"/>
                <w:sz w:val="20"/>
                <w:szCs w:val="20"/>
                <w:b w:val="1"/>
                <w:bCs w:val="1"/>
                <w:color w:val="auto"/>
                <w:w w:val="91"/>
                <w:vertAlign w:val="superscript"/>
              </w:rPr>
              <w:t>(1)(3)</w:t>
            </w: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8"/>
              </w:rPr>
              <w:t>Revenues</w:t>
            </w:r>
          </w:p>
        </w:tc>
        <w:tc>
          <w:tcPr>
            <w:tcW w:w="472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7"/>
              </w:rPr>
              <w:t>1,398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7"/>
              </w:rPr>
              <w:t>1,341</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728</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5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w:t>
            </w:r>
          </w:p>
        </w:tc>
        <w:tc>
          <w:tcPr>
            <w:tcW w:w="440" w:type="dxa"/>
            <w:vAlign w:val="bottom"/>
          </w:tcPr>
          <w:p>
            <w:pPr>
              <w:spacing w:after="0"/>
              <w:rPr>
                <w:sz w:val="18"/>
                <w:szCs w:val="18"/>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7"/>
              </w:rPr>
              <w:t>2,652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2,495</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338</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290</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5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3,288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3,112</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6%</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7%</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Adjusted EBITDA</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(1)</w:t>
            </w: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39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500" w:type="dxa"/>
            <w:vAlign w:val="bottom"/>
            <w:tcBorders>
              <w:bottom w:val="single" w:sz="8" w:color="auto"/>
            </w:tcBorders>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39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609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564</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273</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173</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17%</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580" w:type="dxa"/>
            <w:vAlign w:val="bottom"/>
            <w:gridSpan w:val="4"/>
          </w:tcPr>
          <w:p>
            <w:pPr>
              <w:ind w:left="360"/>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1,010</w:t>
            </w:r>
          </w:p>
        </w:tc>
        <w:tc>
          <w:tcPr>
            <w:tcW w:w="4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63</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21%</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55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113</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55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(126)</w:t>
            </w: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12" w:right="339" w:bottom="1440" w:gutter="0" w:footer="0" w:header="0"/>
        </w:sectPr>
      </w:pPr>
    </w:p>
    <w:tbl>
      <w:tblPr>
        <w:tblLayout w:type="fixed"/>
        <w:tblInd w:w="160" w:type="dxa"/>
        <w:tblCellMar>
          <w:top w:w="0" w:type="dxa"/>
          <w:left w:w="0" w:type="dxa"/>
          <w:bottom w:w="0" w:type="dxa"/>
          <w:right w:w="0" w:type="dxa"/>
        </w:tblCellMar>
      </w:tblPr>
      <w:tr>
        <w:trPr>
          <w:trHeight w:val="216"/>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1,161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1,060</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b w:val="1"/>
                <w:bCs w:val="1"/>
                <w:color w:val="auto"/>
                <w:w w:val="99"/>
              </w:rPr>
              <w:t>Adjusted EBITDA Margin</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(1)</w:t>
            </w:r>
          </w:p>
        </w:tc>
        <w:tc>
          <w:tcPr>
            <w:tcW w:w="3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40" w:type="dxa"/>
            <w:vAlign w:val="bottom"/>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3280" w:type="dxa"/>
            <w:vAlign w:val="bottom"/>
            <w:vMerge w:val="restart"/>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43.6%</w:t>
            </w: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42.1%</w:t>
            </w:r>
          </w:p>
        </w:tc>
        <w:tc>
          <w:tcPr>
            <w:tcW w:w="1140" w:type="dxa"/>
            <w:vAlign w:val="bottom"/>
            <w:vMerge w:val="restart"/>
          </w:tcPr>
          <w:p>
            <w:pPr>
              <w:jc w:val="right"/>
              <w:ind w:right="310"/>
              <w:spacing w:after="0"/>
              <w:rPr>
                <w:sz w:val="20"/>
                <w:szCs w:val="20"/>
                <w:color w:val="auto"/>
              </w:rPr>
            </w:pPr>
            <w:r>
              <w:rPr>
                <w:rFonts w:ascii="Arial" w:cs="Arial" w:eastAsia="Arial" w:hAnsi="Arial"/>
                <w:sz w:val="18"/>
                <w:szCs w:val="18"/>
                <w:color w:val="auto"/>
              </w:rPr>
              <w:t>150bp</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140bp</w:t>
            </w:r>
          </w:p>
        </w:tc>
        <w:tc>
          <w:tcPr>
            <w:tcW w:w="0" w:type="dxa"/>
            <w:vAlign w:val="bottom"/>
          </w:tcPr>
          <w:p>
            <w:pPr>
              <w:spacing w:after="0"/>
              <w:rPr>
                <w:sz w:val="1"/>
                <w:szCs w:val="1"/>
                <w:color w:val="auto"/>
              </w:rPr>
            </w:pPr>
          </w:p>
        </w:tc>
      </w:tr>
      <w:tr>
        <w:trPr>
          <w:trHeight w:val="25"/>
        </w:trPr>
        <w:tc>
          <w:tcPr>
            <w:tcW w:w="2140" w:type="dxa"/>
            <w:vAlign w:val="bottom"/>
            <w:tcBorders>
              <w:bottom w:val="single" w:sz="8" w:color="auto"/>
            </w:tcBorders>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140" w:type="dxa"/>
            <w:vAlign w:val="bottom"/>
          </w:tcPr>
          <w:p>
            <w:pPr>
              <w:ind w:left="360"/>
              <w:spacing w:after="0" w:line="191" w:lineRule="exact"/>
              <w:rPr>
                <w:sz w:val="20"/>
                <w:szCs w:val="20"/>
                <w:color w:val="auto"/>
              </w:rPr>
            </w:pPr>
            <w:r>
              <w:rPr>
                <w:rFonts w:ascii="Arial" w:cs="Arial" w:eastAsia="Arial" w:hAnsi="Arial"/>
                <w:sz w:val="18"/>
                <w:szCs w:val="18"/>
                <w:color w:val="auto"/>
              </w:rPr>
              <w:t>Legal Professionals</w:t>
            </w:r>
          </w:p>
        </w:tc>
        <w:tc>
          <w:tcPr>
            <w:tcW w:w="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Corporates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37.8%</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37.5%</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-20bp</w:t>
            </w:r>
          </w:p>
        </w:tc>
        <w:tc>
          <w:tcPr>
            <w:tcW w:w="0" w:type="dxa"/>
            <w:vAlign w:val="bottom"/>
          </w:tcPr>
          <w:p>
            <w:pPr>
              <w:spacing w:after="0"/>
              <w:rPr>
                <w:sz w:val="1"/>
                <w:szCs w:val="1"/>
                <w:color w:val="auto"/>
              </w:rPr>
            </w:pPr>
          </w:p>
        </w:tc>
      </w:tr>
      <w:tr>
        <w:trPr>
          <w:trHeight w:val="203"/>
        </w:trPr>
        <w:tc>
          <w:tcPr>
            <w:tcW w:w="55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43.2%</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40.4%</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280bp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240bp</w:t>
            </w:r>
          </w:p>
        </w:tc>
        <w:tc>
          <w:tcPr>
            <w:tcW w:w="0" w:type="dxa"/>
            <w:vAlign w:val="bottom"/>
          </w:tcPr>
          <w:p>
            <w:pPr>
              <w:spacing w:after="0"/>
              <w:rPr>
                <w:sz w:val="1"/>
                <w:szCs w:val="1"/>
                <w:color w:val="auto"/>
              </w:rPr>
            </w:pPr>
          </w:p>
        </w:tc>
      </w:tr>
      <w:tr>
        <w:trPr>
          <w:trHeight w:val="203"/>
        </w:trPr>
        <w:tc>
          <w:tcPr>
            <w:tcW w:w="5580" w:type="dxa"/>
            <w:vAlign w:val="bottom"/>
            <w:gridSpan w:val="3"/>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41.8%</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40.5%</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130bp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03"/>
        </w:trPr>
        <w:tc>
          <w:tcPr>
            <w:tcW w:w="55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Reuters News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22.2%</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350bp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180bp</w:t>
            </w:r>
          </w:p>
        </w:tc>
        <w:tc>
          <w:tcPr>
            <w:tcW w:w="0" w:type="dxa"/>
            <w:vAlign w:val="bottom"/>
          </w:tcPr>
          <w:p>
            <w:pPr>
              <w:spacing w:after="0"/>
              <w:rPr>
                <w:sz w:val="1"/>
                <w:szCs w:val="1"/>
                <w:color w:val="auto"/>
              </w:rPr>
            </w:pPr>
          </w:p>
        </w:tc>
      </w:tr>
      <w:tr>
        <w:trPr>
          <w:trHeight w:val="203"/>
        </w:trPr>
        <w:tc>
          <w:tcPr>
            <w:tcW w:w="55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Global Print</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36.2%</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38.9%</w:t>
            </w:r>
          </w:p>
        </w:tc>
        <w:tc>
          <w:tcPr>
            <w:tcW w:w="11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-270bp</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-270bp</w:t>
            </w:r>
          </w:p>
        </w:tc>
        <w:tc>
          <w:tcPr>
            <w:tcW w:w="0" w:type="dxa"/>
            <w:vAlign w:val="bottom"/>
          </w:tcPr>
          <w:p>
            <w:pPr>
              <w:spacing w:after="0"/>
              <w:rPr>
                <w:sz w:val="1"/>
                <w:szCs w:val="1"/>
                <w:color w:val="auto"/>
              </w:rPr>
            </w:pPr>
          </w:p>
        </w:tc>
      </w:tr>
      <w:tr>
        <w:trPr>
          <w:trHeight w:val="247"/>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Adjusted EBITDA margin</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35.3%</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34.1%</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120bp</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70bp</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320" w:hanging="287"/>
        <w:spacing w:after="0" w:line="250" w:lineRule="auto"/>
        <w:rPr>
          <w:sz w:val="20"/>
          <w:szCs w:val="20"/>
          <w:color w:val="auto"/>
        </w:rPr>
      </w:pPr>
      <w:r>
        <w:rPr>
          <w:rFonts w:ascii="Arial" w:cs="Arial" w:eastAsia="Arial" w:hAnsi="Arial"/>
          <w:sz w:val="14"/>
          <w:szCs w:val="14"/>
          <w:i w:val="1"/>
          <w:iCs w:val="1"/>
          <w:color w:val="auto"/>
        </w:rPr>
        <w:t>(1)   See the “Non-IFRS Financial Measures” section and the tables appended to this news release for additional information on these and other non-IFRS financial measures.</w:t>
      </w:r>
    </w:p>
    <w:p>
      <w:pPr>
        <w:spacing w:after="0" w:line="1" w:lineRule="exact"/>
        <w:rPr>
          <w:sz w:val="20"/>
          <w:szCs w:val="20"/>
          <w:color w:val="auto"/>
        </w:rPr>
      </w:pPr>
    </w:p>
    <w:p>
      <w:pPr>
        <w:ind w:left="460" w:hanging="287"/>
        <w:spacing w:after="0" w:line="241" w:lineRule="auto"/>
        <w:rPr>
          <w:sz w:val="20"/>
          <w:szCs w:val="20"/>
          <w:color w:val="auto"/>
        </w:rPr>
      </w:pPr>
      <w:r>
        <w:rPr>
          <w:rFonts w:ascii="Arial" w:cs="Arial" w:eastAsia="Arial" w:hAnsi="Arial"/>
          <w:sz w:val="14"/>
          <w:szCs w:val="14"/>
          <w:i w:val="1"/>
          <w:iCs w:val="1"/>
          <w:color w:val="auto"/>
        </w:rPr>
        <w:t>(2)   For comparative purposes, 2021 segment results have been revised to reflect the current period presentation. For additional information, see the “Revision to Prior-Year Segment Results” section of this news release.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(3)   Computed for revenue growth only.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n/a: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hanging="77"/>
        <w:spacing w:after="0"/>
        <w:tabs>
          <w:tab w:leader="none" w:pos="80"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36" w:lineRule="exact"/>
        <w:rPr>
          <w:rFonts w:ascii="Arial" w:cs="Arial" w:eastAsia="Arial" w:hAnsi="Arial"/>
          <w:sz w:val="12"/>
          <w:szCs w:val="12"/>
          <w:i w:val="1"/>
          <w:iCs w:val="1"/>
          <w:color w:val="auto"/>
        </w:rPr>
      </w:pPr>
    </w:p>
    <w:p>
      <w:pPr>
        <w:ind w:left="80" w:hanging="77"/>
        <w:spacing w:after="0"/>
        <w:tabs>
          <w:tab w:leader="none" w:pos="80"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ind w:left="80" w:hanging="77"/>
        <w:spacing w:after="0"/>
        <w:tabs>
          <w:tab w:leader="none" w:pos="80"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  </w:t>
      </w:r>
    </w:p>
    <w:p>
      <w:pPr>
        <w:spacing w:after="0" w:line="24" w:lineRule="exact"/>
        <w:rPr>
          <w:rFonts w:ascii="Arial" w:cs="Arial" w:eastAsia="Arial" w:hAnsi="Arial"/>
          <w:sz w:val="12"/>
          <w:szCs w:val="12"/>
          <w:i w:val="1"/>
          <w:iCs w:val="1"/>
          <w:color w:val="auto"/>
        </w:rPr>
      </w:pPr>
    </w:p>
    <w:p>
      <w:pPr>
        <w:spacing w:after="0"/>
        <w:rPr>
          <w:rFonts w:ascii="Arial" w:cs="Arial" w:eastAsia="Arial" w:hAnsi="Arial"/>
          <w:sz w:val="12"/>
          <w:szCs w:val="12"/>
          <w:i w:val="1"/>
          <w:iCs w:val="1"/>
          <w:color w:val="auto"/>
        </w:rPr>
      </w:pPr>
      <w:r>
        <w:rPr>
          <w:rFonts w:ascii="Arial" w:cs="Arial" w:eastAsia="Arial" w:hAnsi="Arial"/>
          <w:sz w:val="14"/>
          <w:szCs w:val="14"/>
          <w:color w:val="auto"/>
        </w:rPr>
        <w:t>   </w:t>
      </w:r>
    </w:p>
    <w:p>
      <w:pPr>
        <w:spacing w:after="0" w:line="645" w:lineRule="exact"/>
        <w:rPr>
          <w:sz w:val="20"/>
          <w:szCs w:val="20"/>
          <w:color w:val="auto"/>
        </w:rPr>
      </w:pPr>
    </w:p>
    <w:p>
      <w:pPr>
        <w:sectPr>
          <w:pgSz w:w="11900" w:h="16838" w:orient="portrait"/>
          <w:cols w:equalWidth="0" w:num="2">
            <w:col w:w="10820" w:space="160"/>
            <w:col w:w="260"/>
          </w:cols>
          <w:pgMar w:left="320" w:top="1012" w:right="33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Program</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February 2021, the company announced a two-year Change Program to transition from a holding company to an operating company, and from a content provider to a content-driven technology company. The company is 18 months into the program, which is expected to be largely complete by the end of 2022. The program is projected to require an investment of approximately $600 million during that time of which $424 million has been invested as of June 30, 2022. The company continues to anticipate that Change Program spending will be approximately 60% operating expenses and 40% capital expenditures.</w:t>
      </w:r>
    </w:p>
    <w:p>
      <w:pPr>
        <w:sectPr>
          <w:pgSz w:w="11900" w:h="16838" w:orient="portrait"/>
          <w:cols w:equalWidth="0" w:num="1">
            <w:col w:w="11240"/>
          </w:cols>
          <w:pgMar w:left="320" w:top="1012"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8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and 2023 Outlook</w:t>
      </w:r>
    </w:p>
    <w:p>
      <w:pPr>
        <w:spacing w:after="0" w:line="1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company’s updated outlook for 2022 and reaffirmed outlook for 2023 (which is reflected in the table below) incorporates the forecasted impacts associated with the Change Program, assumes constant currency rates, and excludes the impact of any future acquisitions or dispositions that may occur during those periods. Thomson Reuters believes that this type of guidance provides useful insight into the performance of its businesses.</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expects its third-quarter 2022 revenue growth to be approximately 50bp to 100bp below its full-year 2022 outlook target. The company also expects its fourth-quarter 2022 revenue growth to be higher than the third-quarter 2022 revenue growth. The company expects full-year 2022 recurring revenue growth to be 7%.</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company’s third-quarter 2022 adjusted EBITDA margin is expected to be approximately 300bp below its second-quarter 2022 adjusted EBITDA margin. The fourth-quarter 2022 is expected to have the highest quarterly adjusted EBITDA margin of the year.</w:t>
      </w:r>
    </w:p>
    <w:p>
      <w:pPr>
        <w:spacing w:after="0" w:line="15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While the company’s second-quarter 2022 performance provides it with increasing confidence about its outlook, the global economy recently has experienced substantial disruption due to concerns regarding economic effects associated with the macroeconomic backdrop and ongoing geopolitical risks. Any worsening of the global economic or business environment could impact the company’s ability to achieve its outlook.</w:t>
      </w:r>
    </w:p>
    <w:p>
      <w:pPr>
        <w:sectPr>
          <w:pgSz w:w="11900" w:h="16838" w:orient="portrait"/>
          <w:cols w:equalWidth="0" w:num="1">
            <w:col w:w="11240"/>
          </w:cols>
          <w:pgMar w:left="320" w:top="10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9 of 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Updated Full-Year 2022 Outlook</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820" w:type="dxa"/>
            <w:vAlign w:val="bottom"/>
            <w:tcBorders>
              <w:top w:val="single" w:sz="8" w:color="A6A6A6"/>
              <w:left w:val="single" w:sz="8" w:color="A6A6A6"/>
              <w:right w:val="single" w:sz="8" w:color="A6A6A6"/>
            </w:tcBorders>
            <w:vMerge w:val="restart"/>
          </w:tcPr>
          <w:p>
            <w:pPr>
              <w:ind w:left="160"/>
              <w:spacing w:after="0"/>
              <w:rPr>
                <w:sz w:val="20"/>
                <w:szCs w:val="20"/>
                <w:color w:val="auto"/>
              </w:rPr>
            </w:pPr>
            <w:r>
              <w:rPr>
                <w:rFonts w:ascii="Arial" w:cs="Arial" w:eastAsia="Arial" w:hAnsi="Arial"/>
                <w:sz w:val="20"/>
                <w:szCs w:val="20"/>
                <w:b w:val="1"/>
                <w:bCs w:val="1"/>
                <w:color w:val="FA6400"/>
              </w:rPr>
              <w:t>Total Thomson Reuters</w:t>
            </w:r>
          </w:p>
        </w:tc>
        <w:tc>
          <w:tcPr>
            <w:tcW w:w="1940" w:type="dxa"/>
            <w:vAlign w:val="bottom"/>
            <w:tcBorders>
              <w:top w:val="single" w:sz="8" w:color="A6A6A6"/>
            </w:tcBorders>
            <w:gridSpan w:val="2"/>
          </w:tcPr>
          <w:p>
            <w:pPr>
              <w:jc w:val="center"/>
              <w:spacing w:after="0"/>
              <w:rPr>
                <w:sz w:val="20"/>
                <w:szCs w:val="20"/>
                <w:color w:val="auto"/>
              </w:rPr>
            </w:pPr>
            <w:r>
              <w:rPr>
                <w:rFonts w:ascii="Arial" w:cs="Arial" w:eastAsia="Arial" w:hAnsi="Arial"/>
                <w:sz w:val="20"/>
                <w:szCs w:val="20"/>
                <w:b w:val="1"/>
                <w:bCs w:val="1"/>
                <w:color w:val="FA6400"/>
                <w:w w:val="97"/>
              </w:rPr>
              <w:t>FY 2022</w:t>
            </w:r>
          </w:p>
        </w:tc>
        <w:tc>
          <w:tcPr>
            <w:tcW w:w="1960" w:type="dxa"/>
            <w:vAlign w:val="bottom"/>
            <w:tcBorders>
              <w:top w:val="single" w:sz="8" w:color="A6A6A6"/>
            </w:tcBorders>
          </w:tcPr>
          <w:p>
            <w:pPr>
              <w:jc w:val="center"/>
              <w:ind w:right="55"/>
              <w:spacing w:after="0"/>
              <w:rPr>
                <w:sz w:val="20"/>
                <w:szCs w:val="20"/>
                <w:color w:val="auto"/>
              </w:rPr>
            </w:pPr>
            <w:r>
              <w:rPr>
                <w:rFonts w:ascii="Arial" w:cs="Arial" w:eastAsia="Arial" w:hAnsi="Arial"/>
                <w:sz w:val="20"/>
                <w:szCs w:val="20"/>
                <w:b w:val="1"/>
                <w:bCs w:val="1"/>
                <w:color w:val="FA6400"/>
                <w:w w:val="97"/>
              </w:rPr>
              <w:t>FY 2022</w:t>
            </w:r>
          </w:p>
        </w:tc>
        <w:tc>
          <w:tcPr>
            <w:tcW w:w="1640" w:type="dxa"/>
            <w:vAlign w:val="bottom"/>
            <w:tcBorders>
              <w:top w:val="single" w:sz="8" w:color="A6A6A6"/>
              <w:right w:val="single" w:sz="8" w:color="00B050"/>
            </w:tcBorders>
          </w:tcPr>
          <w:p>
            <w:pPr>
              <w:jc w:val="center"/>
              <w:spacing w:after="0"/>
              <w:rPr>
                <w:sz w:val="20"/>
                <w:szCs w:val="20"/>
                <w:color w:val="auto"/>
              </w:rPr>
            </w:pPr>
            <w:r>
              <w:rPr>
                <w:rFonts w:ascii="Arial" w:cs="Arial" w:eastAsia="Arial" w:hAnsi="Arial"/>
                <w:sz w:val="20"/>
                <w:szCs w:val="20"/>
                <w:b w:val="1"/>
                <w:bCs w:val="1"/>
                <w:color w:val="FA6400"/>
              </w:rPr>
              <w:t>FY 2022</w:t>
            </w:r>
          </w:p>
        </w:tc>
        <w:tc>
          <w:tcPr>
            <w:tcW w:w="1900" w:type="dxa"/>
            <w:vAlign w:val="bottom"/>
            <w:tcBorders>
              <w:top w:val="single" w:sz="8" w:color="00B050"/>
              <w:right w:val="single" w:sz="8" w:color="00B050"/>
            </w:tcBorders>
            <w:shd w:val="clear" w:color="auto" w:fill="FFECCC"/>
          </w:tcPr>
          <w:p>
            <w:pPr>
              <w:ind w:left="640"/>
              <w:spacing w:after="0"/>
              <w:rPr>
                <w:sz w:val="20"/>
                <w:szCs w:val="20"/>
                <w:color w:val="auto"/>
              </w:rPr>
            </w:pPr>
            <w:r>
              <w:rPr>
                <w:rFonts w:ascii="Arial" w:cs="Arial" w:eastAsia="Arial" w:hAnsi="Arial"/>
                <w:sz w:val="20"/>
                <w:szCs w:val="20"/>
                <w:b w:val="1"/>
                <w:bCs w:val="1"/>
                <w:color w:val="0070C0"/>
              </w:rPr>
              <w:t>FY 2022</w:t>
            </w:r>
          </w:p>
        </w:tc>
        <w:tc>
          <w:tcPr>
            <w:tcW w:w="0" w:type="dxa"/>
            <w:vAlign w:val="bottom"/>
          </w:tcPr>
          <w:p>
            <w:pPr>
              <w:spacing w:after="0"/>
              <w:rPr>
                <w:sz w:val="1"/>
                <w:szCs w:val="1"/>
                <w:color w:val="auto"/>
              </w:rPr>
            </w:pPr>
          </w:p>
        </w:tc>
      </w:tr>
      <w:tr>
        <w:trPr>
          <w:trHeight w:val="218"/>
        </w:trPr>
        <w:tc>
          <w:tcPr>
            <w:tcW w:w="3820" w:type="dxa"/>
            <w:vAlign w:val="bottom"/>
            <w:tcBorders>
              <w:left w:val="single" w:sz="8" w:color="A6A6A6"/>
              <w:right w:val="single" w:sz="8" w:color="A6A6A6"/>
            </w:tcBorders>
            <w:vMerge w:val="continue"/>
          </w:tcPr>
          <w:p>
            <w:pPr>
              <w:spacing w:after="0"/>
              <w:rPr>
                <w:sz w:val="18"/>
                <w:szCs w:val="18"/>
                <w:color w:val="auto"/>
              </w:rPr>
            </w:pPr>
          </w:p>
        </w:tc>
        <w:tc>
          <w:tcPr>
            <w:tcW w:w="1940" w:type="dxa"/>
            <w:vAlign w:val="bottom"/>
            <w:gridSpan w:val="2"/>
          </w:tcPr>
          <w:p>
            <w:pPr>
              <w:jc w:val="center"/>
              <w:spacing w:after="0" w:line="218" w:lineRule="exact"/>
              <w:rPr>
                <w:sz w:val="20"/>
                <w:szCs w:val="20"/>
                <w:color w:val="auto"/>
              </w:rPr>
            </w:pPr>
            <w:r>
              <w:rPr>
                <w:rFonts w:ascii="Arial" w:cs="Arial" w:eastAsia="Arial" w:hAnsi="Arial"/>
                <w:sz w:val="20"/>
                <w:szCs w:val="20"/>
                <w:b w:val="1"/>
                <w:bCs w:val="1"/>
                <w:color w:val="FA6400"/>
                <w:w w:val="97"/>
              </w:rPr>
              <w:t>Outlook</w:t>
            </w:r>
          </w:p>
        </w:tc>
        <w:tc>
          <w:tcPr>
            <w:tcW w:w="1960" w:type="dxa"/>
            <w:vAlign w:val="bottom"/>
          </w:tcPr>
          <w:p>
            <w:pPr>
              <w:jc w:val="center"/>
              <w:ind w:right="55"/>
              <w:spacing w:after="0" w:line="218" w:lineRule="exact"/>
              <w:rPr>
                <w:sz w:val="20"/>
                <w:szCs w:val="20"/>
                <w:color w:val="auto"/>
              </w:rPr>
            </w:pPr>
            <w:r>
              <w:rPr>
                <w:rFonts w:ascii="Arial" w:cs="Arial" w:eastAsia="Arial" w:hAnsi="Arial"/>
                <w:sz w:val="20"/>
                <w:szCs w:val="20"/>
                <w:b w:val="1"/>
                <w:bCs w:val="1"/>
                <w:color w:val="FA6400"/>
                <w:w w:val="97"/>
              </w:rPr>
              <w:t>Outlook</w:t>
            </w:r>
          </w:p>
        </w:tc>
        <w:tc>
          <w:tcPr>
            <w:tcW w:w="1640" w:type="dxa"/>
            <w:vAlign w:val="bottom"/>
            <w:tcBorders>
              <w:right w:val="single" w:sz="8" w:color="00B050"/>
            </w:tcBorders>
          </w:tcPr>
          <w:p>
            <w:pPr>
              <w:jc w:val="center"/>
              <w:spacing w:after="0" w:line="218" w:lineRule="exact"/>
              <w:rPr>
                <w:sz w:val="20"/>
                <w:szCs w:val="20"/>
                <w:color w:val="auto"/>
              </w:rPr>
            </w:pPr>
            <w:r>
              <w:rPr>
                <w:rFonts w:ascii="Arial" w:cs="Arial" w:eastAsia="Arial" w:hAnsi="Arial"/>
                <w:sz w:val="20"/>
                <w:szCs w:val="20"/>
                <w:b w:val="1"/>
                <w:bCs w:val="1"/>
                <w:color w:val="FA6400"/>
              </w:rPr>
              <w:t>Outlook</w:t>
            </w:r>
          </w:p>
        </w:tc>
        <w:tc>
          <w:tcPr>
            <w:tcW w:w="1900" w:type="dxa"/>
            <w:vAlign w:val="bottom"/>
            <w:tcBorders>
              <w:right w:val="single" w:sz="8" w:color="00B050"/>
            </w:tcBorders>
            <w:shd w:val="clear" w:color="auto" w:fill="FFECCC"/>
          </w:tcPr>
          <w:p>
            <w:pPr>
              <w:ind w:left="640"/>
              <w:spacing w:after="0" w:line="218"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312"/>
        </w:trPr>
        <w:tc>
          <w:tcPr>
            <w:tcW w:w="3820" w:type="dxa"/>
            <w:vAlign w:val="bottom"/>
            <w:tcBorders>
              <w:left w:val="single" w:sz="8" w:color="A6A6A6"/>
              <w:right w:val="single" w:sz="8" w:color="A6A6A6"/>
            </w:tcBorders>
          </w:tcPr>
          <w:p>
            <w:pPr>
              <w:spacing w:after="0"/>
              <w:rPr>
                <w:sz w:val="24"/>
                <w:szCs w:val="24"/>
                <w:color w:val="auto"/>
              </w:rPr>
            </w:pPr>
          </w:p>
        </w:tc>
        <w:tc>
          <w:tcPr>
            <w:tcW w:w="1940" w:type="dxa"/>
            <w:vAlign w:val="bottom"/>
            <w:gridSpan w:val="2"/>
          </w:tcPr>
          <w:p>
            <w:pPr>
              <w:jc w:val="center"/>
              <w:spacing w:after="0"/>
              <w:rPr>
                <w:sz w:val="20"/>
                <w:szCs w:val="20"/>
                <w:color w:val="auto"/>
              </w:rPr>
            </w:pPr>
            <w:r>
              <w:rPr>
                <w:rFonts w:ascii="Arial" w:cs="Arial" w:eastAsia="Arial" w:hAnsi="Arial"/>
                <w:sz w:val="20"/>
                <w:szCs w:val="20"/>
                <w:color w:val="FA6400"/>
                <w:w w:val="98"/>
              </w:rPr>
              <w:t>2/23/21</w:t>
            </w:r>
          </w:p>
        </w:tc>
        <w:tc>
          <w:tcPr>
            <w:tcW w:w="1960" w:type="dxa"/>
            <w:vAlign w:val="bottom"/>
          </w:tcPr>
          <w:p>
            <w:pPr>
              <w:jc w:val="center"/>
              <w:ind w:right="55"/>
              <w:spacing w:after="0"/>
              <w:rPr>
                <w:sz w:val="20"/>
                <w:szCs w:val="20"/>
                <w:color w:val="auto"/>
              </w:rPr>
            </w:pPr>
            <w:r>
              <w:rPr>
                <w:rFonts w:ascii="Arial" w:cs="Arial" w:eastAsia="Arial" w:hAnsi="Arial"/>
                <w:sz w:val="20"/>
                <w:szCs w:val="20"/>
                <w:color w:val="FA6400"/>
                <w:w w:val="97"/>
              </w:rPr>
              <w:t>2/8/22</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20"/>
                <w:szCs w:val="20"/>
                <w:color w:val="FA6400"/>
              </w:rPr>
              <w:t>5/3/22</w:t>
            </w:r>
          </w:p>
        </w:tc>
        <w:tc>
          <w:tcPr>
            <w:tcW w:w="1900" w:type="dxa"/>
            <w:vAlign w:val="bottom"/>
            <w:tcBorders>
              <w:bottom w:val="single" w:sz="8" w:color="FFECCC"/>
              <w:right w:val="single" w:sz="8" w:color="00B050"/>
            </w:tcBorders>
            <w:shd w:val="clear" w:color="auto" w:fill="FFECCC"/>
          </w:tcPr>
          <w:p>
            <w:pPr>
              <w:jc w:val="right"/>
              <w:ind w:right="515"/>
              <w:spacing w:after="0"/>
              <w:rPr>
                <w:sz w:val="20"/>
                <w:szCs w:val="20"/>
                <w:color w:val="auto"/>
              </w:rPr>
            </w:pPr>
            <w:r>
              <w:rPr>
                <w:rFonts w:ascii="Arial" w:cs="Arial" w:eastAsia="Arial" w:hAnsi="Arial"/>
                <w:sz w:val="20"/>
                <w:szCs w:val="20"/>
                <w:color w:val="0070C0"/>
              </w:rPr>
              <w:t>8/4/22</w:t>
            </w:r>
          </w:p>
        </w:tc>
        <w:tc>
          <w:tcPr>
            <w:tcW w:w="0" w:type="dxa"/>
            <w:vAlign w:val="bottom"/>
          </w:tcPr>
          <w:p>
            <w:pPr>
              <w:spacing w:after="0"/>
              <w:rPr>
                <w:sz w:val="1"/>
                <w:szCs w:val="1"/>
                <w:color w:val="auto"/>
              </w:rPr>
            </w:pPr>
          </w:p>
        </w:tc>
      </w:tr>
      <w:tr>
        <w:trPr>
          <w:trHeight w:val="277"/>
        </w:trPr>
        <w:tc>
          <w:tcPr>
            <w:tcW w:w="3820" w:type="dxa"/>
            <w:vAlign w:val="bottom"/>
            <w:tcBorders>
              <w:top w:val="single" w:sz="8" w:color="A6A6A6"/>
              <w:left w:val="single" w:sz="8" w:color="A6A6A6"/>
              <w:bottom w:val="single" w:sz="8" w:color="F2F2F2"/>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Total Revenue Growth</w:t>
            </w:r>
          </w:p>
        </w:tc>
        <w:tc>
          <w:tcPr>
            <w:tcW w:w="960" w:type="dxa"/>
            <w:vAlign w:val="bottom"/>
            <w:tcBorders>
              <w:top w:val="single" w:sz="8" w:color="A6A6A6"/>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4.0%</w:t>
            </w:r>
          </w:p>
        </w:tc>
        <w:tc>
          <w:tcPr>
            <w:tcW w:w="980" w:type="dxa"/>
            <w:vAlign w:val="bottom"/>
            <w:tcBorders>
              <w:top w:val="single" w:sz="8" w:color="A6A6A6"/>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- 5.0%</w:t>
            </w:r>
          </w:p>
        </w:tc>
        <w:tc>
          <w:tcPr>
            <w:tcW w:w="1960" w:type="dxa"/>
            <w:vAlign w:val="bottom"/>
            <w:tcBorders>
              <w:top w:val="single" w:sz="8" w:color="A6A6A6"/>
              <w:bottom w:val="single" w:sz="8" w:color="F2F2F2"/>
            </w:tcBorders>
            <w:shd w:val="clear" w:color="auto" w:fill="F2F2F2"/>
          </w:tcPr>
          <w:p>
            <w:pPr>
              <w:jc w:val="center"/>
              <w:ind w:right="55"/>
              <w:spacing w:after="0"/>
              <w:rPr>
                <w:sz w:val="20"/>
                <w:szCs w:val="20"/>
                <w:color w:val="auto"/>
              </w:rPr>
            </w:pPr>
            <w:r>
              <w:rPr>
                <w:rFonts w:ascii="Arial" w:cs="Arial" w:eastAsia="Arial" w:hAnsi="Arial"/>
                <w:sz w:val="16"/>
                <w:szCs w:val="16"/>
                <w:color w:val="auto"/>
              </w:rPr>
              <w:t>~ 5%</w:t>
            </w:r>
          </w:p>
        </w:tc>
        <w:tc>
          <w:tcPr>
            <w:tcW w:w="1640" w:type="dxa"/>
            <w:vAlign w:val="bottom"/>
            <w:tcBorders>
              <w:top w:val="single" w:sz="8" w:color="A6A6A6"/>
              <w:bottom w:val="single" w:sz="8" w:color="F2F2F2"/>
              <w:right w:val="single" w:sz="8" w:color="00B050"/>
            </w:tcBorders>
            <w:shd w:val="clear" w:color="auto" w:fill="F2F2F2"/>
          </w:tcPr>
          <w:p>
            <w:pPr>
              <w:jc w:val="center"/>
              <w:spacing w:after="0"/>
              <w:rPr>
                <w:sz w:val="20"/>
                <w:szCs w:val="20"/>
                <w:color w:val="auto"/>
              </w:rPr>
            </w:pPr>
            <w:r>
              <w:rPr>
                <w:rFonts w:ascii="Arial" w:cs="Arial" w:eastAsia="Arial" w:hAnsi="Arial"/>
                <w:sz w:val="16"/>
                <w:szCs w:val="16"/>
                <w:color w:val="auto"/>
              </w:rPr>
              <w:t>~ 5.5%</w:t>
            </w:r>
          </w:p>
        </w:tc>
        <w:tc>
          <w:tcPr>
            <w:tcW w:w="1900" w:type="dxa"/>
            <w:vAlign w:val="bottom"/>
            <w:tcBorders>
              <w:top w:val="single" w:sz="8" w:color="A6A6A6"/>
              <w:bottom w:val="single" w:sz="8" w:color="FFECCC"/>
              <w:right w:val="single" w:sz="8" w:color="00B050"/>
            </w:tcBorders>
            <w:shd w:val="clear" w:color="auto" w:fill="FFECCC"/>
          </w:tcPr>
          <w:p>
            <w:pPr>
              <w:jc w:val="right"/>
              <w:ind w:right="515"/>
              <w:spacing w:after="0"/>
              <w:rPr>
                <w:sz w:val="20"/>
                <w:szCs w:val="20"/>
                <w:color w:val="auto"/>
              </w:rPr>
            </w:pPr>
            <w:r>
              <w:rPr>
                <w:rFonts w:ascii="Arial" w:cs="Arial" w:eastAsia="Arial" w:hAnsi="Arial"/>
                <w:sz w:val="16"/>
                <w:szCs w:val="16"/>
                <w:color w:val="auto"/>
              </w:rPr>
              <w:t>~ 6.0%</w:t>
            </w:r>
          </w:p>
        </w:tc>
        <w:tc>
          <w:tcPr>
            <w:tcW w:w="0" w:type="dxa"/>
            <w:vAlign w:val="bottom"/>
          </w:tcPr>
          <w:p>
            <w:pPr>
              <w:spacing w:after="0"/>
              <w:rPr>
                <w:sz w:val="1"/>
                <w:szCs w:val="1"/>
                <w:color w:val="auto"/>
              </w:rPr>
            </w:pPr>
          </w:p>
        </w:tc>
      </w:tr>
      <w:tr>
        <w:trPr>
          <w:trHeight w:val="311"/>
        </w:trPr>
        <w:tc>
          <w:tcPr>
            <w:tcW w:w="382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Organic Revenue Growth</w:t>
            </w:r>
            <w:r>
              <w:rPr>
                <w:rFonts w:ascii="Arial" w:cs="Arial" w:eastAsia="Arial" w:hAnsi="Arial"/>
                <w:sz w:val="24"/>
                <w:szCs w:val="24"/>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980" w:type="dxa"/>
            <w:vAlign w:val="bottom"/>
          </w:tcPr>
          <w:p>
            <w:pPr>
              <w:ind w:left="20"/>
              <w:spacing w:after="0"/>
              <w:rPr>
                <w:sz w:val="20"/>
                <w:szCs w:val="20"/>
                <w:color w:val="auto"/>
              </w:rPr>
            </w:pPr>
            <w:r>
              <w:rPr>
                <w:rFonts w:ascii="Arial" w:cs="Arial" w:eastAsia="Arial" w:hAnsi="Arial"/>
                <w:sz w:val="16"/>
                <w:szCs w:val="16"/>
                <w:color w:val="auto"/>
              </w:rPr>
              <w:t>- 5.0%</w:t>
            </w:r>
          </w:p>
        </w:tc>
        <w:tc>
          <w:tcPr>
            <w:tcW w:w="1960" w:type="dxa"/>
            <w:vAlign w:val="bottom"/>
          </w:tcPr>
          <w:p>
            <w:pPr>
              <w:jc w:val="center"/>
              <w:ind w:right="55"/>
              <w:spacing w:after="0"/>
              <w:rPr>
                <w:sz w:val="20"/>
                <w:szCs w:val="20"/>
                <w:color w:val="auto"/>
              </w:rPr>
            </w:pPr>
            <w:r>
              <w:rPr>
                <w:rFonts w:ascii="Arial" w:cs="Arial" w:eastAsia="Arial" w:hAnsi="Arial"/>
                <w:sz w:val="16"/>
                <w:szCs w:val="16"/>
                <w:color w:val="auto"/>
              </w:rPr>
              <w:t>~ 5%</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6"/>
                <w:szCs w:val="16"/>
                <w:color w:val="auto"/>
              </w:rPr>
              <w:t>~ 5.5%</w:t>
            </w:r>
          </w:p>
        </w:tc>
        <w:tc>
          <w:tcPr>
            <w:tcW w:w="1900" w:type="dxa"/>
            <w:vAlign w:val="bottom"/>
            <w:tcBorders>
              <w:right w:val="single" w:sz="8" w:color="00B050"/>
            </w:tcBorders>
            <w:shd w:val="clear" w:color="auto" w:fill="FFECCC"/>
          </w:tcPr>
          <w:p>
            <w:pPr>
              <w:jc w:val="right"/>
              <w:ind w:right="515"/>
              <w:spacing w:after="0"/>
              <w:rPr>
                <w:sz w:val="20"/>
                <w:szCs w:val="20"/>
                <w:color w:val="auto"/>
              </w:rPr>
            </w:pPr>
            <w:r>
              <w:rPr>
                <w:rFonts w:ascii="Arial" w:cs="Arial" w:eastAsia="Arial" w:hAnsi="Arial"/>
                <w:sz w:val="16"/>
                <w:szCs w:val="16"/>
                <w:color w:val="auto"/>
              </w:rPr>
              <w:t>~ 6.0%</w:t>
            </w:r>
          </w:p>
        </w:tc>
        <w:tc>
          <w:tcPr>
            <w:tcW w:w="0" w:type="dxa"/>
            <w:vAlign w:val="bottom"/>
          </w:tcPr>
          <w:p>
            <w:pPr>
              <w:spacing w:after="0"/>
              <w:rPr>
                <w:sz w:val="1"/>
                <w:szCs w:val="1"/>
                <w:color w:val="auto"/>
              </w:rPr>
            </w:pPr>
          </w:p>
        </w:tc>
      </w:tr>
      <w:tr>
        <w:trPr>
          <w:trHeight w:val="310"/>
        </w:trPr>
        <w:tc>
          <w:tcPr>
            <w:tcW w:w="3820" w:type="dxa"/>
            <w:vAlign w:val="bottom"/>
            <w:tcBorders>
              <w:left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4"/>
                <w:szCs w:val="24"/>
                <w:color w:val="auto"/>
                <w:vertAlign w:val="superscript"/>
              </w:rPr>
              <w:t>(1)</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34%</w:t>
            </w:r>
          </w:p>
        </w:tc>
        <w:tc>
          <w:tcPr>
            <w:tcW w:w="980" w:type="dxa"/>
            <w:vAlign w:val="bottom"/>
            <w:shd w:val="clear" w:color="auto" w:fill="F2F2F2"/>
          </w:tcPr>
          <w:p>
            <w:pPr>
              <w:ind w:left="20"/>
              <w:spacing w:after="0"/>
              <w:rPr>
                <w:sz w:val="20"/>
                <w:szCs w:val="20"/>
                <w:color w:val="auto"/>
              </w:rPr>
            </w:pPr>
            <w:r>
              <w:rPr>
                <w:rFonts w:ascii="Arial" w:cs="Arial" w:eastAsia="Arial" w:hAnsi="Arial"/>
                <w:sz w:val="16"/>
                <w:szCs w:val="16"/>
                <w:color w:val="auto"/>
              </w:rPr>
              <w:t>- 35%</w:t>
            </w:r>
          </w:p>
        </w:tc>
        <w:tc>
          <w:tcPr>
            <w:tcW w:w="1960" w:type="dxa"/>
            <w:vAlign w:val="bottom"/>
            <w:shd w:val="clear" w:color="auto" w:fill="F2F2F2"/>
          </w:tcPr>
          <w:p>
            <w:pPr>
              <w:jc w:val="center"/>
              <w:ind w:right="55"/>
              <w:spacing w:after="0"/>
              <w:rPr>
                <w:sz w:val="20"/>
                <w:szCs w:val="20"/>
                <w:color w:val="auto"/>
              </w:rPr>
            </w:pPr>
            <w:r>
              <w:rPr>
                <w:rFonts w:ascii="Arial" w:cs="Arial" w:eastAsia="Arial" w:hAnsi="Arial"/>
                <w:sz w:val="16"/>
                <w:szCs w:val="16"/>
                <w:color w:val="auto"/>
              </w:rPr>
              <w:t>~ 35%</w:t>
            </w:r>
          </w:p>
        </w:tc>
        <w:tc>
          <w:tcPr>
            <w:tcW w:w="1640" w:type="dxa"/>
            <w:vAlign w:val="bottom"/>
            <w:tcBorders>
              <w:right w:val="single" w:sz="8" w:color="00B050"/>
            </w:tcBorders>
            <w:shd w:val="clear" w:color="auto" w:fill="F2F2F2"/>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right w:val="single" w:sz="8" w:color="00B050"/>
            </w:tcBorders>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47"/>
        </w:trPr>
        <w:tc>
          <w:tcPr>
            <w:tcW w:w="382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Corporate Costs</w:t>
            </w:r>
          </w:p>
        </w:tc>
        <w:tc>
          <w:tcPr>
            <w:tcW w:w="1940" w:type="dxa"/>
            <w:vAlign w:val="bottom"/>
            <w:gridSpan w:val="2"/>
          </w:tcPr>
          <w:p>
            <w:pPr>
              <w:jc w:val="center"/>
              <w:spacing w:after="0"/>
              <w:rPr>
                <w:sz w:val="20"/>
                <w:szCs w:val="20"/>
                <w:color w:val="auto"/>
              </w:rPr>
            </w:pPr>
            <w:r>
              <w:rPr>
                <w:rFonts w:ascii="Arial" w:cs="Arial" w:eastAsia="Arial" w:hAnsi="Arial"/>
                <w:sz w:val="16"/>
                <w:szCs w:val="16"/>
                <w:color w:val="auto"/>
              </w:rPr>
              <w:t>$245 - $280 million</w:t>
            </w:r>
          </w:p>
        </w:tc>
        <w:tc>
          <w:tcPr>
            <w:tcW w:w="1960" w:type="dxa"/>
            <w:vAlign w:val="bottom"/>
          </w:tcPr>
          <w:p>
            <w:pPr>
              <w:jc w:val="center"/>
              <w:ind w:right="55"/>
              <w:spacing w:after="0"/>
              <w:rPr>
                <w:sz w:val="20"/>
                <w:szCs w:val="20"/>
                <w:color w:val="auto"/>
              </w:rPr>
            </w:pPr>
            <w:r>
              <w:rPr>
                <w:rFonts w:ascii="Arial" w:cs="Arial" w:eastAsia="Arial" w:hAnsi="Arial"/>
                <w:sz w:val="16"/>
                <w:szCs w:val="16"/>
                <w:color w:val="auto"/>
              </w:rPr>
              <w:t>$280 - $330 million</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right w:val="single" w:sz="8" w:color="00B050"/>
            </w:tcBorders>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162"/>
        </w:trPr>
        <w:tc>
          <w:tcPr>
            <w:tcW w:w="3820" w:type="dxa"/>
            <w:vAlign w:val="bottom"/>
            <w:tcBorders>
              <w:left w:val="single" w:sz="8" w:color="A6A6A6"/>
              <w:right w:val="single" w:sz="8" w:color="A6A6A6"/>
            </w:tcBorders>
          </w:tcPr>
          <w:p>
            <w:pPr>
              <w:ind w:left="380"/>
              <w:spacing w:after="0"/>
              <w:rPr>
                <w:sz w:val="20"/>
                <w:szCs w:val="20"/>
                <w:color w:val="auto"/>
              </w:rPr>
            </w:pPr>
            <w:r>
              <w:rPr>
                <w:rFonts w:ascii="Arial" w:cs="Arial" w:eastAsia="Arial" w:hAnsi="Arial"/>
                <w:sz w:val="14"/>
                <w:szCs w:val="14"/>
                <w:color w:val="auto"/>
              </w:rPr>
              <w:t>Core Corporate Costs</w:t>
            </w: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rPr>
              <w:t>$120 - $130 million</w:t>
            </w:r>
          </w:p>
        </w:tc>
        <w:tc>
          <w:tcPr>
            <w:tcW w:w="1960" w:type="dxa"/>
            <w:vAlign w:val="bottom"/>
          </w:tcPr>
          <w:p>
            <w:pPr>
              <w:jc w:val="center"/>
              <w:ind w:right="55"/>
              <w:spacing w:after="0"/>
              <w:rPr>
                <w:sz w:val="20"/>
                <w:szCs w:val="20"/>
                <w:color w:val="auto"/>
              </w:rPr>
            </w:pPr>
            <w:r>
              <w:rPr>
                <w:rFonts w:ascii="Arial" w:cs="Arial" w:eastAsia="Arial" w:hAnsi="Arial"/>
                <w:sz w:val="14"/>
                <w:szCs w:val="14"/>
                <w:color w:val="auto"/>
              </w:rPr>
              <w:t>Unchanged</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4"/>
                <w:szCs w:val="14"/>
                <w:color w:val="auto"/>
              </w:rPr>
              <w:t>Unchanged</w:t>
            </w:r>
          </w:p>
        </w:tc>
        <w:tc>
          <w:tcPr>
            <w:tcW w:w="1900" w:type="dxa"/>
            <w:vAlign w:val="bottom"/>
            <w:tcBorders>
              <w:right w:val="single" w:sz="8" w:color="00B050"/>
            </w:tcBorders>
            <w:shd w:val="clear" w:color="auto" w:fill="FFECCC"/>
          </w:tcPr>
          <w:p>
            <w:pPr>
              <w:ind w:left="660"/>
              <w:spacing w:after="0"/>
              <w:rPr>
                <w:sz w:val="20"/>
                <w:szCs w:val="20"/>
                <w:color w:val="auto"/>
              </w:rPr>
            </w:pPr>
            <w:r>
              <w:rPr>
                <w:rFonts w:ascii="Arial" w:cs="Arial" w:eastAsia="Arial" w:hAnsi="Arial"/>
                <w:sz w:val="14"/>
                <w:szCs w:val="14"/>
                <w:color w:val="auto"/>
              </w:rPr>
              <w:t>Unchanged</w:t>
            </w:r>
          </w:p>
        </w:tc>
        <w:tc>
          <w:tcPr>
            <w:tcW w:w="0" w:type="dxa"/>
            <w:vAlign w:val="bottom"/>
          </w:tcPr>
          <w:p>
            <w:pPr>
              <w:spacing w:after="0"/>
              <w:rPr>
                <w:sz w:val="1"/>
                <w:szCs w:val="1"/>
                <w:color w:val="auto"/>
              </w:rPr>
            </w:pPr>
          </w:p>
        </w:tc>
      </w:tr>
      <w:tr>
        <w:trPr>
          <w:trHeight w:val="190"/>
        </w:trPr>
        <w:tc>
          <w:tcPr>
            <w:tcW w:w="3820" w:type="dxa"/>
            <w:vAlign w:val="bottom"/>
            <w:tcBorders>
              <w:left w:val="single" w:sz="8" w:color="A6A6A6"/>
              <w:right w:val="single" w:sz="8" w:color="A6A6A6"/>
            </w:tcBorders>
          </w:tcPr>
          <w:p>
            <w:pPr>
              <w:ind w:left="380"/>
              <w:spacing w:after="0"/>
              <w:rPr>
                <w:sz w:val="20"/>
                <w:szCs w:val="20"/>
                <w:color w:val="auto"/>
              </w:rPr>
            </w:pPr>
            <w:r>
              <w:rPr>
                <w:rFonts w:ascii="Arial" w:cs="Arial" w:eastAsia="Arial" w:hAnsi="Arial"/>
                <w:sz w:val="14"/>
                <w:szCs w:val="14"/>
                <w:color w:val="auto"/>
              </w:rPr>
              <w:t>Change Program Opex</w:t>
            </w: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rPr>
              <w:t>$125 - $150 million</w:t>
            </w:r>
          </w:p>
        </w:tc>
        <w:tc>
          <w:tcPr>
            <w:tcW w:w="1960" w:type="dxa"/>
            <w:vAlign w:val="bottom"/>
          </w:tcPr>
          <w:p>
            <w:pPr>
              <w:jc w:val="center"/>
              <w:ind w:right="55"/>
              <w:spacing w:after="0"/>
              <w:rPr>
                <w:sz w:val="20"/>
                <w:szCs w:val="20"/>
                <w:color w:val="auto"/>
              </w:rPr>
            </w:pPr>
            <w:r>
              <w:rPr>
                <w:rFonts w:ascii="Arial" w:cs="Arial" w:eastAsia="Arial" w:hAnsi="Arial"/>
                <w:sz w:val="14"/>
                <w:szCs w:val="14"/>
                <w:color w:val="auto"/>
              </w:rPr>
              <w:t>$160 - $200 million</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4"/>
                <w:szCs w:val="14"/>
                <w:color w:val="auto"/>
              </w:rPr>
              <w:t>Unchanged</w:t>
            </w:r>
          </w:p>
        </w:tc>
        <w:tc>
          <w:tcPr>
            <w:tcW w:w="1900" w:type="dxa"/>
            <w:vAlign w:val="bottom"/>
            <w:tcBorders>
              <w:right w:val="single" w:sz="8" w:color="00B050"/>
            </w:tcBorders>
            <w:shd w:val="clear" w:color="auto" w:fill="FFECCC"/>
          </w:tcPr>
          <w:p>
            <w:pPr>
              <w:ind w:left="660"/>
              <w:spacing w:after="0"/>
              <w:rPr>
                <w:sz w:val="20"/>
                <w:szCs w:val="20"/>
                <w:color w:val="auto"/>
              </w:rPr>
            </w:pPr>
            <w:r>
              <w:rPr>
                <w:rFonts w:ascii="Arial" w:cs="Arial" w:eastAsia="Arial" w:hAnsi="Arial"/>
                <w:sz w:val="14"/>
                <w:szCs w:val="14"/>
                <w:color w:val="auto"/>
              </w:rPr>
              <w:t>Unchanged</w:t>
            </w:r>
          </w:p>
        </w:tc>
        <w:tc>
          <w:tcPr>
            <w:tcW w:w="0" w:type="dxa"/>
            <w:vAlign w:val="bottom"/>
          </w:tcPr>
          <w:p>
            <w:pPr>
              <w:spacing w:after="0"/>
              <w:rPr>
                <w:sz w:val="1"/>
                <w:szCs w:val="1"/>
                <w:color w:val="auto"/>
              </w:rPr>
            </w:pPr>
          </w:p>
        </w:tc>
      </w:tr>
      <w:tr>
        <w:trPr>
          <w:trHeight w:val="49"/>
        </w:trPr>
        <w:tc>
          <w:tcPr>
            <w:tcW w:w="3820" w:type="dxa"/>
            <w:vAlign w:val="bottom"/>
            <w:tcBorders>
              <w:left w:val="single" w:sz="8" w:color="A6A6A6"/>
              <w:right w:val="single" w:sz="8" w:color="A6A6A6"/>
            </w:tcBorders>
          </w:tcPr>
          <w:p>
            <w:pPr>
              <w:spacing w:after="0"/>
              <w:rPr>
                <w:sz w:val="4"/>
                <w:szCs w:val="4"/>
                <w:color w:val="auto"/>
              </w:rPr>
            </w:pPr>
          </w:p>
        </w:tc>
        <w:tc>
          <w:tcPr>
            <w:tcW w:w="1940" w:type="dxa"/>
            <w:vAlign w:val="bottom"/>
            <w:gridSpan w:val="2"/>
          </w:tcPr>
          <w:p>
            <w:pPr>
              <w:spacing w:after="0"/>
              <w:rPr>
                <w:sz w:val="4"/>
                <w:szCs w:val="4"/>
                <w:color w:val="auto"/>
              </w:rPr>
            </w:pPr>
          </w:p>
        </w:tc>
        <w:tc>
          <w:tcPr>
            <w:tcW w:w="1960" w:type="dxa"/>
            <w:vAlign w:val="bottom"/>
          </w:tcPr>
          <w:p>
            <w:pPr>
              <w:spacing w:after="0"/>
              <w:rPr>
                <w:sz w:val="4"/>
                <w:szCs w:val="4"/>
                <w:color w:val="auto"/>
              </w:rPr>
            </w:pPr>
          </w:p>
        </w:tc>
        <w:tc>
          <w:tcPr>
            <w:tcW w:w="1640" w:type="dxa"/>
            <w:vAlign w:val="bottom"/>
            <w:tcBorders>
              <w:right w:val="single" w:sz="8" w:color="00B050"/>
            </w:tcBorders>
          </w:tcPr>
          <w:p>
            <w:pPr>
              <w:spacing w:after="0"/>
              <w:rPr>
                <w:sz w:val="4"/>
                <w:szCs w:val="4"/>
                <w:color w:val="auto"/>
              </w:rPr>
            </w:pPr>
          </w:p>
        </w:tc>
        <w:tc>
          <w:tcPr>
            <w:tcW w:w="1900" w:type="dxa"/>
            <w:vAlign w:val="bottom"/>
            <w:tcBorders>
              <w:right w:val="single" w:sz="8" w:color="00B050"/>
            </w:tcBorders>
            <w:shd w:val="clear" w:color="auto" w:fill="FFECCC"/>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3820" w:type="dxa"/>
            <w:vAlign w:val="bottom"/>
            <w:tcBorders>
              <w:left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(1)</w:t>
            </w:r>
          </w:p>
        </w:tc>
        <w:tc>
          <w:tcPr>
            <w:tcW w:w="1940" w:type="dxa"/>
            <w:vAlign w:val="bottom"/>
            <w:gridSpan w:val="2"/>
            <w:shd w:val="clear" w:color="auto" w:fill="F2F2F2"/>
          </w:tcPr>
          <w:p>
            <w:pPr>
              <w:jc w:val="center"/>
              <w:ind w:left="15"/>
              <w:spacing w:after="0"/>
              <w:rPr>
                <w:sz w:val="20"/>
                <w:szCs w:val="20"/>
                <w:color w:val="auto"/>
              </w:rPr>
            </w:pPr>
            <w:r>
              <w:rPr>
                <w:rFonts w:ascii="Arial" w:cs="Arial" w:eastAsia="Arial" w:hAnsi="Arial"/>
                <w:sz w:val="16"/>
                <w:szCs w:val="16"/>
                <w:color w:val="auto"/>
              </w:rPr>
              <w:t>$1.2 - $1.3 billion</w:t>
            </w:r>
          </w:p>
        </w:tc>
        <w:tc>
          <w:tcPr>
            <w:tcW w:w="1960" w:type="dxa"/>
            <w:vAlign w:val="bottom"/>
            <w:shd w:val="clear" w:color="auto" w:fill="F2F2F2"/>
          </w:tcPr>
          <w:p>
            <w:pPr>
              <w:jc w:val="center"/>
              <w:ind w:right="55"/>
              <w:spacing w:after="0"/>
              <w:rPr>
                <w:sz w:val="20"/>
                <w:szCs w:val="20"/>
                <w:color w:val="auto"/>
              </w:rPr>
            </w:pPr>
            <w:r>
              <w:rPr>
                <w:rFonts w:ascii="Arial" w:cs="Arial" w:eastAsia="Arial" w:hAnsi="Arial"/>
                <w:sz w:val="16"/>
                <w:szCs w:val="16"/>
                <w:color w:val="auto"/>
                <w:w w:val="99"/>
              </w:rPr>
              <w:t>~ $1.3 billion</w:t>
            </w:r>
          </w:p>
        </w:tc>
        <w:tc>
          <w:tcPr>
            <w:tcW w:w="1640" w:type="dxa"/>
            <w:vAlign w:val="bottom"/>
            <w:tcBorders>
              <w:right w:val="single" w:sz="8" w:color="00B050"/>
            </w:tcBorders>
            <w:shd w:val="clear" w:color="auto" w:fill="F2F2F2"/>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right w:val="single" w:sz="8" w:color="00B050"/>
            </w:tcBorders>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47"/>
        </w:trPr>
        <w:tc>
          <w:tcPr>
            <w:tcW w:w="3820" w:type="dxa"/>
            <w:vAlign w:val="bottom"/>
            <w:tcBorders>
              <w:left w:val="single" w:sz="8" w:color="A6A6A6"/>
              <w:right w:val="single" w:sz="8" w:color="A6A6A6"/>
            </w:tcBorders>
          </w:tcPr>
          <w:p>
            <w:pPr>
              <w:ind w:left="160"/>
              <w:spacing w:after="0" w:line="248" w:lineRule="exact"/>
              <w:rPr>
                <w:sz w:val="20"/>
                <w:szCs w:val="20"/>
                <w:color w:val="auto"/>
              </w:rPr>
            </w:pPr>
            <w:r>
              <w:rPr>
                <w:rFonts w:ascii="Arial" w:cs="Arial" w:eastAsia="Arial" w:hAnsi="Arial"/>
                <w:sz w:val="16"/>
                <w:szCs w:val="16"/>
                <w:color w:val="auto"/>
              </w:rPr>
              <w:t>Accrued Capex as % of Revenue</w:t>
            </w:r>
            <w:r>
              <w:rPr>
                <w:rFonts w:ascii="Arial" w:cs="Arial" w:eastAsia="Arial" w:hAnsi="Arial"/>
                <w:sz w:val="24"/>
                <w:szCs w:val="24"/>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980" w:type="dxa"/>
            <w:vAlign w:val="bottom"/>
          </w:tcPr>
          <w:p>
            <w:pPr>
              <w:ind w:left="20"/>
              <w:spacing w:after="0"/>
              <w:rPr>
                <w:sz w:val="20"/>
                <w:szCs w:val="20"/>
                <w:color w:val="auto"/>
              </w:rPr>
            </w:pPr>
            <w:r>
              <w:rPr>
                <w:rFonts w:ascii="Arial" w:cs="Arial" w:eastAsia="Arial" w:hAnsi="Arial"/>
                <w:sz w:val="16"/>
                <w:szCs w:val="16"/>
                <w:color w:val="auto"/>
              </w:rPr>
              <w:t>- 8.0%</w:t>
            </w:r>
          </w:p>
        </w:tc>
        <w:tc>
          <w:tcPr>
            <w:tcW w:w="1960" w:type="dxa"/>
            <w:vAlign w:val="bottom"/>
          </w:tcPr>
          <w:p>
            <w:pPr>
              <w:jc w:val="center"/>
              <w:ind w:right="55"/>
              <w:spacing w:after="0"/>
              <w:rPr>
                <w:sz w:val="20"/>
                <w:szCs w:val="20"/>
                <w:color w:val="auto"/>
              </w:rPr>
            </w:pPr>
            <w:r>
              <w:rPr>
                <w:rFonts w:ascii="Arial" w:cs="Arial" w:eastAsia="Arial" w:hAnsi="Arial"/>
                <w:sz w:val="16"/>
                <w:szCs w:val="16"/>
                <w:color w:val="auto"/>
              </w:rPr>
              <w:t>Unchanged</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right w:val="single" w:sz="8" w:color="00B050"/>
            </w:tcBorders>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190"/>
        </w:trPr>
        <w:tc>
          <w:tcPr>
            <w:tcW w:w="3820" w:type="dxa"/>
            <w:vAlign w:val="bottom"/>
            <w:tcBorders>
              <w:left w:val="single" w:sz="8" w:color="A6A6A6"/>
              <w:right w:val="single" w:sz="8" w:color="A6A6A6"/>
            </w:tcBorders>
          </w:tcPr>
          <w:p>
            <w:pPr>
              <w:ind w:left="380"/>
              <w:spacing w:after="0"/>
              <w:rPr>
                <w:sz w:val="20"/>
                <w:szCs w:val="20"/>
                <w:color w:val="auto"/>
              </w:rPr>
            </w:pPr>
            <w:r>
              <w:rPr>
                <w:rFonts w:ascii="Arial" w:cs="Arial" w:eastAsia="Arial" w:hAnsi="Arial"/>
                <w:sz w:val="14"/>
                <w:szCs w:val="14"/>
                <w:color w:val="auto"/>
              </w:rPr>
              <w:t>Change Program Accrued Capex</w:t>
            </w:r>
          </w:p>
        </w:tc>
        <w:tc>
          <w:tcPr>
            <w:tcW w:w="1940" w:type="dxa"/>
            <w:vAlign w:val="bottom"/>
            <w:gridSpan w:val="2"/>
          </w:tcPr>
          <w:p>
            <w:pPr>
              <w:ind w:left="400"/>
              <w:spacing w:after="0"/>
              <w:rPr>
                <w:sz w:val="20"/>
                <w:szCs w:val="20"/>
                <w:color w:val="auto"/>
              </w:rPr>
            </w:pPr>
            <w:r>
              <w:rPr>
                <w:rFonts w:ascii="Arial" w:cs="Arial" w:eastAsia="Arial" w:hAnsi="Arial"/>
                <w:sz w:val="14"/>
                <w:szCs w:val="14"/>
                <w:color w:val="auto"/>
              </w:rPr>
              <w:t>$75 - $100 million</w:t>
            </w:r>
          </w:p>
        </w:tc>
        <w:tc>
          <w:tcPr>
            <w:tcW w:w="1960" w:type="dxa"/>
            <w:vAlign w:val="bottom"/>
          </w:tcPr>
          <w:p>
            <w:pPr>
              <w:ind w:left="260"/>
              <w:spacing w:after="0"/>
              <w:rPr>
                <w:sz w:val="20"/>
                <w:szCs w:val="20"/>
                <w:color w:val="auto"/>
              </w:rPr>
            </w:pPr>
            <w:r>
              <w:rPr>
                <w:rFonts w:ascii="Arial" w:cs="Arial" w:eastAsia="Arial" w:hAnsi="Arial"/>
                <w:sz w:val="14"/>
                <w:szCs w:val="14"/>
                <w:color w:val="auto"/>
              </w:rPr>
              <w:t>$100 - $140 million</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4"/>
                <w:szCs w:val="14"/>
                <w:color w:val="auto"/>
              </w:rPr>
              <w:t>Unchanged</w:t>
            </w:r>
          </w:p>
        </w:tc>
        <w:tc>
          <w:tcPr>
            <w:tcW w:w="1900" w:type="dxa"/>
            <w:vAlign w:val="bottom"/>
            <w:tcBorders>
              <w:right w:val="single" w:sz="8" w:color="00B050"/>
            </w:tcBorders>
            <w:shd w:val="clear" w:color="auto" w:fill="FFECCC"/>
          </w:tcPr>
          <w:p>
            <w:pPr>
              <w:ind w:left="660"/>
              <w:spacing w:after="0"/>
              <w:rPr>
                <w:sz w:val="20"/>
                <w:szCs w:val="20"/>
                <w:color w:val="auto"/>
              </w:rPr>
            </w:pPr>
            <w:r>
              <w:rPr>
                <w:rFonts w:ascii="Arial" w:cs="Arial" w:eastAsia="Arial" w:hAnsi="Arial"/>
                <w:sz w:val="14"/>
                <w:szCs w:val="14"/>
                <w:color w:val="auto"/>
              </w:rPr>
              <w:t>Unchanged</w:t>
            </w:r>
          </w:p>
        </w:tc>
        <w:tc>
          <w:tcPr>
            <w:tcW w:w="0" w:type="dxa"/>
            <w:vAlign w:val="bottom"/>
          </w:tcPr>
          <w:p>
            <w:pPr>
              <w:spacing w:after="0"/>
              <w:rPr>
                <w:sz w:val="1"/>
                <w:szCs w:val="1"/>
                <w:color w:val="auto"/>
              </w:rPr>
            </w:pPr>
          </w:p>
        </w:tc>
      </w:tr>
      <w:tr>
        <w:trPr>
          <w:trHeight w:val="49"/>
        </w:trPr>
        <w:tc>
          <w:tcPr>
            <w:tcW w:w="3820" w:type="dxa"/>
            <w:vAlign w:val="bottom"/>
            <w:tcBorders>
              <w:left w:val="single" w:sz="8" w:color="A6A6A6"/>
              <w:right w:val="single" w:sz="8" w:color="A6A6A6"/>
            </w:tcBorders>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640" w:type="dxa"/>
            <w:vAlign w:val="bottom"/>
            <w:tcBorders>
              <w:right w:val="single" w:sz="8" w:color="00B050"/>
            </w:tcBorders>
          </w:tcPr>
          <w:p>
            <w:pPr>
              <w:spacing w:after="0"/>
              <w:rPr>
                <w:sz w:val="4"/>
                <w:szCs w:val="4"/>
                <w:color w:val="auto"/>
              </w:rPr>
            </w:pPr>
          </w:p>
        </w:tc>
        <w:tc>
          <w:tcPr>
            <w:tcW w:w="1900" w:type="dxa"/>
            <w:vAlign w:val="bottom"/>
            <w:tcBorders>
              <w:right w:val="single" w:sz="8" w:color="00B050"/>
            </w:tcBorders>
            <w:shd w:val="clear" w:color="auto" w:fill="FFECCC"/>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820" w:type="dxa"/>
            <w:vAlign w:val="bottom"/>
            <w:tcBorders>
              <w:left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Depreciation &amp; Amortization of</w:t>
            </w:r>
          </w:p>
        </w:tc>
        <w:tc>
          <w:tcPr>
            <w:tcW w:w="1940" w:type="dxa"/>
            <w:vAlign w:val="bottom"/>
            <w:gridSpan w:val="2"/>
            <w:vMerge w:val="restart"/>
            <w:shd w:val="clear" w:color="auto" w:fill="F2F2F2"/>
          </w:tcPr>
          <w:p>
            <w:pPr>
              <w:jc w:val="center"/>
              <w:spacing w:after="0"/>
              <w:rPr>
                <w:sz w:val="20"/>
                <w:szCs w:val="20"/>
                <w:color w:val="auto"/>
              </w:rPr>
            </w:pPr>
            <w:r>
              <w:rPr>
                <w:rFonts w:ascii="Arial" w:cs="Arial" w:eastAsia="Arial" w:hAnsi="Arial"/>
                <w:sz w:val="16"/>
                <w:szCs w:val="16"/>
                <w:color w:val="auto"/>
              </w:rPr>
              <w:t>$620 - $645 million</w:t>
            </w:r>
          </w:p>
        </w:tc>
        <w:tc>
          <w:tcPr>
            <w:tcW w:w="1960" w:type="dxa"/>
            <w:vAlign w:val="bottom"/>
            <w:vMerge w:val="restart"/>
            <w:shd w:val="clear" w:color="auto" w:fill="F2F2F2"/>
          </w:tcPr>
          <w:p>
            <w:pPr>
              <w:jc w:val="center"/>
              <w:ind w:right="55"/>
              <w:spacing w:after="0"/>
              <w:rPr>
                <w:sz w:val="20"/>
                <w:szCs w:val="20"/>
                <w:color w:val="auto"/>
              </w:rPr>
            </w:pPr>
            <w:r>
              <w:rPr>
                <w:rFonts w:ascii="Arial" w:cs="Arial" w:eastAsia="Arial" w:hAnsi="Arial"/>
                <w:sz w:val="16"/>
                <w:szCs w:val="16"/>
                <w:color w:val="auto"/>
              </w:rPr>
              <w:t>Unchanged</w:t>
            </w:r>
          </w:p>
        </w:tc>
        <w:tc>
          <w:tcPr>
            <w:tcW w:w="1640" w:type="dxa"/>
            <w:vAlign w:val="bottom"/>
            <w:tcBorders>
              <w:right w:val="single" w:sz="8" w:color="00B050"/>
            </w:tcBorders>
            <w:vMerge w:val="restart"/>
            <w:shd w:val="clear" w:color="auto" w:fill="F2F2F2"/>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right w:val="single" w:sz="8" w:color="00B050"/>
            </w:tcBorders>
            <w:vMerge w:val="restart"/>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120"/>
        </w:trPr>
        <w:tc>
          <w:tcPr>
            <w:tcW w:w="3820" w:type="dxa"/>
            <w:vAlign w:val="bottom"/>
            <w:tcBorders>
              <w:left w:val="single" w:sz="8" w:color="A6A6A6"/>
              <w:right w:val="single" w:sz="8" w:color="A6A6A6"/>
            </w:tcBorders>
            <w:vMerge w:val="restart"/>
            <w:shd w:val="clear" w:color="auto" w:fill="F2F2F2"/>
          </w:tcPr>
          <w:p>
            <w:pPr>
              <w:ind w:left="160"/>
              <w:spacing w:after="0"/>
              <w:rPr>
                <w:sz w:val="20"/>
                <w:szCs w:val="20"/>
                <w:color w:val="auto"/>
              </w:rPr>
            </w:pPr>
            <w:r>
              <w:rPr>
                <w:rFonts w:ascii="Arial" w:cs="Arial" w:eastAsia="Arial" w:hAnsi="Arial"/>
                <w:sz w:val="16"/>
                <w:szCs w:val="16"/>
                <w:color w:val="auto"/>
              </w:rPr>
              <w:t>Computer Software</w:t>
            </w:r>
          </w:p>
        </w:tc>
        <w:tc>
          <w:tcPr>
            <w:tcW w:w="1940" w:type="dxa"/>
            <w:vAlign w:val="bottom"/>
            <w:gridSpan w:val="2"/>
            <w:vMerge w:val="continue"/>
            <w:shd w:val="clear" w:color="auto" w:fill="F2F2F2"/>
          </w:tcPr>
          <w:p>
            <w:pPr>
              <w:spacing w:after="0"/>
              <w:rPr>
                <w:sz w:val="10"/>
                <w:szCs w:val="10"/>
                <w:color w:val="auto"/>
              </w:rPr>
            </w:pPr>
          </w:p>
        </w:tc>
        <w:tc>
          <w:tcPr>
            <w:tcW w:w="1960" w:type="dxa"/>
            <w:vAlign w:val="bottom"/>
            <w:vMerge w:val="continue"/>
            <w:shd w:val="clear" w:color="auto" w:fill="F2F2F2"/>
          </w:tcPr>
          <w:p>
            <w:pPr>
              <w:spacing w:after="0"/>
              <w:rPr>
                <w:sz w:val="10"/>
                <w:szCs w:val="10"/>
                <w:color w:val="auto"/>
              </w:rPr>
            </w:pPr>
          </w:p>
        </w:tc>
        <w:tc>
          <w:tcPr>
            <w:tcW w:w="1640" w:type="dxa"/>
            <w:vAlign w:val="bottom"/>
            <w:tcBorders>
              <w:right w:val="single" w:sz="8" w:color="00B050"/>
            </w:tcBorders>
            <w:vMerge w:val="continue"/>
            <w:shd w:val="clear" w:color="auto" w:fill="F2F2F2"/>
          </w:tcPr>
          <w:p>
            <w:pPr>
              <w:spacing w:after="0"/>
              <w:rPr>
                <w:sz w:val="10"/>
                <w:szCs w:val="10"/>
                <w:color w:val="auto"/>
              </w:rPr>
            </w:pPr>
          </w:p>
        </w:tc>
        <w:tc>
          <w:tcPr>
            <w:tcW w:w="1900" w:type="dxa"/>
            <w:vAlign w:val="bottom"/>
            <w:tcBorders>
              <w:right w:val="single" w:sz="8" w:color="00B050"/>
            </w:tcBorders>
            <w:vMerge w:val="continue"/>
            <w:shd w:val="clear" w:color="auto" w:fill="FFEC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20" w:type="dxa"/>
            <w:vAlign w:val="bottom"/>
            <w:tcBorders>
              <w:left w:val="single" w:sz="8" w:color="A6A6A6"/>
              <w:bottom w:val="single" w:sz="8" w:color="F2F2F2"/>
              <w:right w:val="single" w:sz="8" w:color="A6A6A6"/>
            </w:tcBorders>
            <w:vMerge w:val="continue"/>
            <w:shd w:val="clear" w:color="auto" w:fill="F2F2F2"/>
          </w:tcPr>
          <w:p>
            <w:pPr>
              <w:spacing w:after="0"/>
              <w:rPr>
                <w:sz w:val="11"/>
                <w:szCs w:val="11"/>
                <w:color w:val="auto"/>
              </w:rPr>
            </w:pPr>
          </w:p>
        </w:tc>
        <w:tc>
          <w:tcPr>
            <w:tcW w:w="960" w:type="dxa"/>
            <w:vAlign w:val="bottom"/>
            <w:tcBorders>
              <w:bottom w:val="single" w:sz="8" w:color="F2F2F2"/>
            </w:tcBorders>
            <w:shd w:val="clear" w:color="auto" w:fill="F2F2F2"/>
          </w:tcPr>
          <w:p>
            <w:pPr>
              <w:spacing w:after="0"/>
              <w:rPr>
                <w:sz w:val="11"/>
                <w:szCs w:val="11"/>
                <w:color w:val="auto"/>
              </w:rPr>
            </w:pPr>
          </w:p>
        </w:tc>
        <w:tc>
          <w:tcPr>
            <w:tcW w:w="980" w:type="dxa"/>
            <w:vAlign w:val="bottom"/>
            <w:tcBorders>
              <w:bottom w:val="single" w:sz="8" w:color="F2F2F2"/>
            </w:tcBorders>
            <w:shd w:val="clear" w:color="auto" w:fill="F2F2F2"/>
          </w:tcPr>
          <w:p>
            <w:pPr>
              <w:spacing w:after="0"/>
              <w:rPr>
                <w:sz w:val="11"/>
                <w:szCs w:val="11"/>
                <w:color w:val="auto"/>
              </w:rPr>
            </w:pPr>
          </w:p>
        </w:tc>
        <w:tc>
          <w:tcPr>
            <w:tcW w:w="1960" w:type="dxa"/>
            <w:vAlign w:val="bottom"/>
            <w:tcBorders>
              <w:bottom w:val="single" w:sz="8" w:color="F2F2F2"/>
            </w:tcBorders>
            <w:shd w:val="clear" w:color="auto" w:fill="F2F2F2"/>
          </w:tcPr>
          <w:p>
            <w:pPr>
              <w:spacing w:after="0"/>
              <w:rPr>
                <w:sz w:val="11"/>
                <w:szCs w:val="11"/>
                <w:color w:val="auto"/>
              </w:rPr>
            </w:pPr>
          </w:p>
        </w:tc>
        <w:tc>
          <w:tcPr>
            <w:tcW w:w="1640" w:type="dxa"/>
            <w:vAlign w:val="bottom"/>
            <w:tcBorders>
              <w:bottom w:val="single" w:sz="8" w:color="F2F2F2"/>
              <w:right w:val="single" w:sz="8" w:color="00B050"/>
            </w:tcBorders>
            <w:shd w:val="clear" w:color="auto" w:fill="F2F2F2"/>
          </w:tcPr>
          <w:p>
            <w:pPr>
              <w:spacing w:after="0"/>
              <w:rPr>
                <w:sz w:val="11"/>
                <w:szCs w:val="11"/>
                <w:color w:val="auto"/>
              </w:rPr>
            </w:pPr>
          </w:p>
        </w:tc>
        <w:tc>
          <w:tcPr>
            <w:tcW w:w="1900" w:type="dxa"/>
            <w:vAlign w:val="bottom"/>
            <w:tcBorders>
              <w:bottom w:val="single" w:sz="8" w:color="FFECCC"/>
              <w:right w:val="single" w:sz="8" w:color="00B050"/>
            </w:tcBorders>
            <w:shd w:val="clear" w:color="auto" w:fill="FFECCC"/>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82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Interest Expense (P&amp;L)</w:t>
            </w:r>
          </w:p>
        </w:tc>
        <w:tc>
          <w:tcPr>
            <w:tcW w:w="1940" w:type="dxa"/>
            <w:vAlign w:val="bottom"/>
            <w:gridSpan w:val="2"/>
          </w:tcPr>
          <w:p>
            <w:pPr>
              <w:jc w:val="center"/>
              <w:spacing w:after="0"/>
              <w:rPr>
                <w:sz w:val="20"/>
                <w:szCs w:val="20"/>
                <w:color w:val="auto"/>
              </w:rPr>
            </w:pPr>
            <w:r>
              <w:rPr>
                <w:rFonts w:ascii="Arial" w:cs="Arial" w:eastAsia="Arial" w:hAnsi="Arial"/>
                <w:sz w:val="16"/>
                <w:szCs w:val="16"/>
                <w:color w:val="auto"/>
              </w:rPr>
              <w:t>$190 - $210 million</w:t>
            </w:r>
          </w:p>
        </w:tc>
        <w:tc>
          <w:tcPr>
            <w:tcW w:w="1960" w:type="dxa"/>
            <w:vAlign w:val="bottom"/>
          </w:tcPr>
          <w:p>
            <w:pPr>
              <w:jc w:val="center"/>
              <w:ind w:right="55"/>
              <w:spacing w:after="0"/>
              <w:rPr>
                <w:sz w:val="20"/>
                <w:szCs w:val="20"/>
                <w:color w:val="auto"/>
              </w:rPr>
            </w:pPr>
            <w:r>
              <w:rPr>
                <w:rFonts w:ascii="Arial" w:cs="Arial" w:eastAsia="Arial" w:hAnsi="Arial"/>
                <w:sz w:val="16"/>
                <w:szCs w:val="16"/>
                <w:color w:val="auto"/>
              </w:rPr>
              <w:t>Unchanged</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right w:val="single" w:sz="8" w:color="00B050"/>
            </w:tcBorders>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43"/>
        </w:trPr>
        <w:tc>
          <w:tcPr>
            <w:tcW w:w="3820" w:type="dxa"/>
            <w:vAlign w:val="bottom"/>
            <w:tcBorders>
              <w:left w:val="single" w:sz="8" w:color="A6A6A6"/>
              <w:right w:val="single" w:sz="8" w:color="A6A6A6"/>
            </w:tcBorders>
          </w:tcPr>
          <w:p>
            <w:pPr>
              <w:spacing w:after="0"/>
              <w:rPr>
                <w:sz w:val="3"/>
                <w:szCs w:val="3"/>
                <w:color w:val="auto"/>
              </w:rPr>
            </w:pPr>
          </w:p>
        </w:tc>
        <w:tc>
          <w:tcPr>
            <w:tcW w:w="1940" w:type="dxa"/>
            <w:vAlign w:val="bottom"/>
            <w:gridSpan w:val="2"/>
          </w:tcPr>
          <w:p>
            <w:pPr>
              <w:spacing w:after="0"/>
              <w:rPr>
                <w:sz w:val="3"/>
                <w:szCs w:val="3"/>
                <w:color w:val="auto"/>
              </w:rPr>
            </w:pPr>
          </w:p>
        </w:tc>
        <w:tc>
          <w:tcPr>
            <w:tcW w:w="1960" w:type="dxa"/>
            <w:vAlign w:val="bottom"/>
          </w:tcPr>
          <w:p>
            <w:pPr>
              <w:spacing w:after="0"/>
              <w:rPr>
                <w:sz w:val="3"/>
                <w:szCs w:val="3"/>
                <w:color w:val="auto"/>
              </w:rPr>
            </w:pPr>
          </w:p>
        </w:tc>
        <w:tc>
          <w:tcPr>
            <w:tcW w:w="1640" w:type="dxa"/>
            <w:vAlign w:val="bottom"/>
            <w:tcBorders>
              <w:right w:val="single" w:sz="8" w:color="00B050"/>
            </w:tcBorders>
          </w:tcPr>
          <w:p>
            <w:pPr>
              <w:spacing w:after="0"/>
              <w:rPr>
                <w:sz w:val="3"/>
                <w:szCs w:val="3"/>
                <w:color w:val="auto"/>
              </w:rPr>
            </w:pPr>
          </w:p>
        </w:tc>
        <w:tc>
          <w:tcPr>
            <w:tcW w:w="1900" w:type="dxa"/>
            <w:vAlign w:val="bottom"/>
            <w:tcBorders>
              <w:right w:val="single" w:sz="8" w:color="00B050"/>
            </w:tcBorders>
            <w:shd w:val="clear" w:color="auto" w:fill="FFECCC"/>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820" w:type="dxa"/>
            <w:vAlign w:val="bottom"/>
            <w:tcBorders>
              <w:left w:val="single" w:sz="8" w:color="A6A6A6"/>
              <w:bottom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Effective Tax Rate on Adjusted Earnings</w:t>
            </w:r>
            <w:r>
              <w:rPr>
                <w:rFonts w:ascii="Arial" w:cs="Arial" w:eastAsia="Arial" w:hAnsi="Arial"/>
                <w:sz w:val="24"/>
                <w:szCs w:val="24"/>
                <w:color w:val="auto"/>
                <w:vertAlign w:val="superscript"/>
              </w:rPr>
              <w:t>(1)</w:t>
            </w:r>
          </w:p>
        </w:tc>
        <w:tc>
          <w:tcPr>
            <w:tcW w:w="1940" w:type="dxa"/>
            <w:vAlign w:val="bottom"/>
            <w:tcBorders>
              <w:bottom w:val="single" w:sz="8" w:color="A6A6A6"/>
            </w:tcBorders>
            <w:gridSpan w:val="2"/>
            <w:shd w:val="clear" w:color="auto" w:fill="F2F2F2"/>
          </w:tcPr>
          <w:p>
            <w:pPr>
              <w:jc w:val="center"/>
              <w:spacing w:after="0"/>
              <w:rPr>
                <w:sz w:val="20"/>
                <w:szCs w:val="20"/>
                <w:color w:val="auto"/>
              </w:rPr>
            </w:pPr>
            <w:r>
              <w:rPr>
                <w:rFonts w:ascii="Arial" w:cs="Arial" w:eastAsia="Arial" w:hAnsi="Arial"/>
                <w:sz w:val="16"/>
                <w:szCs w:val="16"/>
                <w:color w:val="auto"/>
                <w:w w:val="98"/>
              </w:rPr>
              <w:t>n/a</w:t>
            </w:r>
          </w:p>
        </w:tc>
        <w:tc>
          <w:tcPr>
            <w:tcW w:w="1960" w:type="dxa"/>
            <w:vAlign w:val="bottom"/>
            <w:tcBorders>
              <w:bottom w:val="single" w:sz="8" w:color="A6A6A6"/>
            </w:tcBorders>
            <w:shd w:val="clear" w:color="auto" w:fill="F2F2F2"/>
          </w:tcPr>
          <w:p>
            <w:pPr>
              <w:jc w:val="center"/>
              <w:ind w:right="55"/>
              <w:spacing w:after="0"/>
              <w:rPr>
                <w:sz w:val="20"/>
                <w:szCs w:val="20"/>
                <w:color w:val="auto"/>
              </w:rPr>
            </w:pPr>
            <w:r>
              <w:rPr>
                <w:rFonts w:ascii="Arial" w:cs="Arial" w:eastAsia="Arial" w:hAnsi="Arial"/>
                <w:sz w:val="16"/>
                <w:szCs w:val="16"/>
                <w:color w:val="auto"/>
                <w:w w:val="99"/>
              </w:rPr>
              <w:t>19% - 21%</w:t>
            </w:r>
          </w:p>
        </w:tc>
        <w:tc>
          <w:tcPr>
            <w:tcW w:w="1640" w:type="dxa"/>
            <w:vAlign w:val="bottom"/>
            <w:tcBorders>
              <w:bottom w:val="single" w:sz="8" w:color="A6A6A6"/>
              <w:right w:val="single" w:sz="8" w:color="00B050"/>
            </w:tcBorders>
            <w:shd w:val="clear" w:color="auto" w:fill="F2F2F2"/>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bottom w:val="single" w:sz="8" w:color="A6A6A6"/>
              <w:right w:val="single" w:sz="8" w:color="00B050"/>
            </w:tcBorders>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46"/>
        </w:trPr>
        <w:tc>
          <w:tcPr>
            <w:tcW w:w="3820" w:type="dxa"/>
            <w:vAlign w:val="bottom"/>
            <w:tcBorders>
              <w:left w:val="single" w:sz="8" w:color="A6A6A6"/>
              <w:right w:val="single" w:sz="8" w:color="A6A6A6"/>
            </w:tcBorders>
            <w:vMerge w:val="restart"/>
          </w:tcPr>
          <w:p>
            <w:pPr>
              <w:ind w:left="160"/>
              <w:spacing w:after="0"/>
              <w:rPr>
                <w:sz w:val="20"/>
                <w:szCs w:val="20"/>
                <w:color w:val="auto"/>
              </w:rPr>
            </w:pPr>
            <w:r>
              <w:rPr>
                <w:rFonts w:ascii="Arial" w:cs="Arial" w:eastAsia="Arial" w:hAnsi="Arial"/>
                <w:sz w:val="20"/>
                <w:szCs w:val="20"/>
                <w:b w:val="1"/>
                <w:bCs w:val="1"/>
                <w:color w:val="FA6400"/>
              </w:rPr>
              <w:t>“Big 3” Segments</w:t>
            </w:r>
            <w:r>
              <w:rPr>
                <w:rFonts w:ascii="Arial" w:cs="Arial" w:eastAsia="Arial" w:hAnsi="Arial"/>
                <w:sz w:val="29"/>
                <w:szCs w:val="29"/>
                <w:b w:val="1"/>
                <w:bCs w:val="1"/>
                <w:color w:val="FA6400"/>
                <w:vertAlign w:val="superscript"/>
              </w:rPr>
              <w:t>(1)</w:t>
            </w:r>
          </w:p>
        </w:tc>
        <w:tc>
          <w:tcPr>
            <w:tcW w:w="1940" w:type="dxa"/>
            <w:vAlign w:val="bottom"/>
            <w:gridSpan w:val="2"/>
          </w:tcPr>
          <w:p>
            <w:pPr>
              <w:jc w:val="center"/>
              <w:spacing w:after="0"/>
              <w:rPr>
                <w:sz w:val="20"/>
                <w:szCs w:val="20"/>
                <w:color w:val="auto"/>
              </w:rPr>
            </w:pPr>
            <w:r>
              <w:rPr>
                <w:rFonts w:ascii="Arial" w:cs="Arial" w:eastAsia="Arial" w:hAnsi="Arial"/>
                <w:sz w:val="20"/>
                <w:szCs w:val="20"/>
                <w:b w:val="1"/>
                <w:bCs w:val="1"/>
                <w:color w:val="FA6400"/>
                <w:w w:val="97"/>
              </w:rPr>
              <w:t>FY 2022</w:t>
            </w:r>
          </w:p>
        </w:tc>
        <w:tc>
          <w:tcPr>
            <w:tcW w:w="1960" w:type="dxa"/>
            <w:vAlign w:val="bottom"/>
          </w:tcPr>
          <w:p>
            <w:pPr>
              <w:jc w:val="center"/>
              <w:ind w:right="55"/>
              <w:spacing w:after="0"/>
              <w:rPr>
                <w:sz w:val="20"/>
                <w:szCs w:val="20"/>
                <w:color w:val="auto"/>
              </w:rPr>
            </w:pPr>
            <w:r>
              <w:rPr>
                <w:rFonts w:ascii="Arial" w:cs="Arial" w:eastAsia="Arial" w:hAnsi="Arial"/>
                <w:sz w:val="20"/>
                <w:szCs w:val="20"/>
                <w:b w:val="1"/>
                <w:bCs w:val="1"/>
                <w:color w:val="FA6400"/>
                <w:w w:val="97"/>
              </w:rPr>
              <w:t>FY 2022</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20"/>
                <w:szCs w:val="20"/>
                <w:b w:val="1"/>
                <w:bCs w:val="1"/>
                <w:color w:val="FA6400"/>
              </w:rPr>
              <w:t>FY 2022</w:t>
            </w:r>
          </w:p>
        </w:tc>
        <w:tc>
          <w:tcPr>
            <w:tcW w:w="1900" w:type="dxa"/>
            <w:vAlign w:val="bottom"/>
            <w:tcBorders>
              <w:right w:val="single" w:sz="8" w:color="00B050"/>
            </w:tcBorders>
            <w:shd w:val="clear" w:color="auto" w:fill="FFECCC"/>
          </w:tcPr>
          <w:p>
            <w:pPr>
              <w:ind w:left="640"/>
              <w:spacing w:after="0"/>
              <w:rPr>
                <w:sz w:val="20"/>
                <w:szCs w:val="20"/>
                <w:color w:val="auto"/>
              </w:rPr>
            </w:pPr>
            <w:r>
              <w:rPr>
                <w:rFonts w:ascii="Arial" w:cs="Arial" w:eastAsia="Arial" w:hAnsi="Arial"/>
                <w:sz w:val="20"/>
                <w:szCs w:val="20"/>
                <w:b w:val="1"/>
                <w:bCs w:val="1"/>
                <w:color w:val="0070C0"/>
              </w:rPr>
              <w:t>FY 2022</w:t>
            </w:r>
          </w:p>
        </w:tc>
        <w:tc>
          <w:tcPr>
            <w:tcW w:w="0" w:type="dxa"/>
            <w:vAlign w:val="bottom"/>
          </w:tcPr>
          <w:p>
            <w:pPr>
              <w:spacing w:after="0"/>
              <w:rPr>
                <w:sz w:val="1"/>
                <w:szCs w:val="1"/>
                <w:color w:val="auto"/>
              </w:rPr>
            </w:pPr>
          </w:p>
        </w:tc>
      </w:tr>
      <w:tr>
        <w:trPr>
          <w:trHeight w:val="218"/>
        </w:trPr>
        <w:tc>
          <w:tcPr>
            <w:tcW w:w="3820" w:type="dxa"/>
            <w:vAlign w:val="bottom"/>
            <w:tcBorders>
              <w:left w:val="single" w:sz="8" w:color="A6A6A6"/>
              <w:right w:val="single" w:sz="8" w:color="A6A6A6"/>
            </w:tcBorders>
            <w:vMerge w:val="continue"/>
          </w:tcPr>
          <w:p>
            <w:pPr>
              <w:spacing w:after="0"/>
              <w:rPr>
                <w:sz w:val="18"/>
                <w:szCs w:val="18"/>
                <w:color w:val="auto"/>
              </w:rPr>
            </w:pPr>
          </w:p>
        </w:tc>
        <w:tc>
          <w:tcPr>
            <w:tcW w:w="1940" w:type="dxa"/>
            <w:vAlign w:val="bottom"/>
            <w:gridSpan w:val="2"/>
          </w:tcPr>
          <w:p>
            <w:pPr>
              <w:jc w:val="center"/>
              <w:spacing w:after="0" w:line="218" w:lineRule="exact"/>
              <w:rPr>
                <w:sz w:val="20"/>
                <w:szCs w:val="20"/>
                <w:color w:val="auto"/>
              </w:rPr>
            </w:pPr>
            <w:r>
              <w:rPr>
                <w:rFonts w:ascii="Arial" w:cs="Arial" w:eastAsia="Arial" w:hAnsi="Arial"/>
                <w:sz w:val="20"/>
                <w:szCs w:val="20"/>
                <w:b w:val="1"/>
                <w:bCs w:val="1"/>
                <w:color w:val="FA6400"/>
                <w:w w:val="97"/>
              </w:rPr>
              <w:t>Outlook</w:t>
            </w:r>
          </w:p>
        </w:tc>
        <w:tc>
          <w:tcPr>
            <w:tcW w:w="1960" w:type="dxa"/>
            <w:vAlign w:val="bottom"/>
          </w:tcPr>
          <w:p>
            <w:pPr>
              <w:jc w:val="center"/>
              <w:ind w:right="55"/>
              <w:spacing w:after="0" w:line="218" w:lineRule="exact"/>
              <w:rPr>
                <w:sz w:val="20"/>
                <w:szCs w:val="20"/>
                <w:color w:val="auto"/>
              </w:rPr>
            </w:pPr>
            <w:r>
              <w:rPr>
                <w:rFonts w:ascii="Arial" w:cs="Arial" w:eastAsia="Arial" w:hAnsi="Arial"/>
                <w:sz w:val="20"/>
                <w:szCs w:val="20"/>
                <w:b w:val="1"/>
                <w:bCs w:val="1"/>
                <w:color w:val="FA6400"/>
                <w:w w:val="97"/>
              </w:rPr>
              <w:t>Outlook</w:t>
            </w:r>
          </w:p>
        </w:tc>
        <w:tc>
          <w:tcPr>
            <w:tcW w:w="1640" w:type="dxa"/>
            <w:vAlign w:val="bottom"/>
            <w:tcBorders>
              <w:right w:val="single" w:sz="8" w:color="00B050"/>
            </w:tcBorders>
          </w:tcPr>
          <w:p>
            <w:pPr>
              <w:jc w:val="center"/>
              <w:spacing w:after="0" w:line="218" w:lineRule="exact"/>
              <w:rPr>
                <w:sz w:val="20"/>
                <w:szCs w:val="20"/>
                <w:color w:val="auto"/>
              </w:rPr>
            </w:pPr>
            <w:r>
              <w:rPr>
                <w:rFonts w:ascii="Arial" w:cs="Arial" w:eastAsia="Arial" w:hAnsi="Arial"/>
                <w:sz w:val="20"/>
                <w:szCs w:val="20"/>
                <w:b w:val="1"/>
                <w:bCs w:val="1"/>
                <w:color w:val="FA6400"/>
              </w:rPr>
              <w:t>Outlook</w:t>
            </w:r>
          </w:p>
        </w:tc>
        <w:tc>
          <w:tcPr>
            <w:tcW w:w="1900" w:type="dxa"/>
            <w:vAlign w:val="bottom"/>
            <w:tcBorders>
              <w:right w:val="single" w:sz="8" w:color="00B050"/>
            </w:tcBorders>
            <w:shd w:val="clear" w:color="auto" w:fill="FFECCC"/>
          </w:tcPr>
          <w:p>
            <w:pPr>
              <w:ind w:left="640"/>
              <w:spacing w:after="0" w:line="218" w:lineRule="exact"/>
              <w:rPr>
                <w:sz w:val="20"/>
                <w:szCs w:val="20"/>
                <w:color w:val="auto"/>
              </w:rPr>
            </w:pPr>
            <w:r>
              <w:rPr>
                <w:rFonts w:ascii="Arial" w:cs="Arial" w:eastAsia="Arial" w:hAnsi="Arial"/>
                <w:sz w:val="20"/>
                <w:szCs w:val="20"/>
                <w:b w:val="1"/>
                <w:bCs w:val="1"/>
                <w:color w:val="0070C0"/>
              </w:rPr>
              <w:t>Outlook</w:t>
            </w:r>
          </w:p>
        </w:tc>
        <w:tc>
          <w:tcPr>
            <w:tcW w:w="0" w:type="dxa"/>
            <w:vAlign w:val="bottom"/>
          </w:tcPr>
          <w:p>
            <w:pPr>
              <w:spacing w:after="0"/>
              <w:rPr>
                <w:sz w:val="1"/>
                <w:szCs w:val="1"/>
                <w:color w:val="auto"/>
              </w:rPr>
            </w:pPr>
          </w:p>
        </w:tc>
      </w:tr>
      <w:tr>
        <w:trPr>
          <w:trHeight w:val="312"/>
        </w:trPr>
        <w:tc>
          <w:tcPr>
            <w:tcW w:w="3820" w:type="dxa"/>
            <w:vAlign w:val="bottom"/>
            <w:tcBorders>
              <w:left w:val="single" w:sz="8" w:color="A6A6A6"/>
              <w:right w:val="single" w:sz="8" w:color="A6A6A6"/>
            </w:tcBorders>
          </w:tcPr>
          <w:p>
            <w:pPr>
              <w:spacing w:after="0"/>
              <w:rPr>
                <w:sz w:val="24"/>
                <w:szCs w:val="24"/>
                <w:color w:val="auto"/>
              </w:rPr>
            </w:pPr>
          </w:p>
        </w:tc>
        <w:tc>
          <w:tcPr>
            <w:tcW w:w="1940" w:type="dxa"/>
            <w:vAlign w:val="bottom"/>
            <w:gridSpan w:val="2"/>
          </w:tcPr>
          <w:p>
            <w:pPr>
              <w:jc w:val="center"/>
              <w:spacing w:after="0"/>
              <w:rPr>
                <w:sz w:val="20"/>
                <w:szCs w:val="20"/>
                <w:color w:val="auto"/>
              </w:rPr>
            </w:pPr>
            <w:r>
              <w:rPr>
                <w:rFonts w:ascii="Arial" w:cs="Arial" w:eastAsia="Arial" w:hAnsi="Arial"/>
                <w:sz w:val="20"/>
                <w:szCs w:val="20"/>
                <w:color w:val="FA6400"/>
                <w:w w:val="98"/>
              </w:rPr>
              <w:t>2/23/21</w:t>
            </w:r>
          </w:p>
        </w:tc>
        <w:tc>
          <w:tcPr>
            <w:tcW w:w="1960" w:type="dxa"/>
            <w:vAlign w:val="bottom"/>
          </w:tcPr>
          <w:p>
            <w:pPr>
              <w:jc w:val="center"/>
              <w:ind w:right="55"/>
              <w:spacing w:after="0"/>
              <w:rPr>
                <w:sz w:val="20"/>
                <w:szCs w:val="20"/>
                <w:color w:val="auto"/>
              </w:rPr>
            </w:pPr>
            <w:r>
              <w:rPr>
                <w:rFonts w:ascii="Arial" w:cs="Arial" w:eastAsia="Arial" w:hAnsi="Arial"/>
                <w:sz w:val="20"/>
                <w:szCs w:val="20"/>
                <w:color w:val="FA6400"/>
                <w:w w:val="97"/>
              </w:rPr>
              <w:t>2/8/22</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20"/>
                <w:szCs w:val="20"/>
                <w:color w:val="FA6400"/>
              </w:rPr>
              <w:t>5/3/22</w:t>
            </w:r>
          </w:p>
        </w:tc>
        <w:tc>
          <w:tcPr>
            <w:tcW w:w="1900" w:type="dxa"/>
            <w:vAlign w:val="bottom"/>
            <w:tcBorders>
              <w:bottom w:val="single" w:sz="8" w:color="FFECCC"/>
              <w:right w:val="single" w:sz="8" w:color="00B050"/>
            </w:tcBorders>
            <w:shd w:val="clear" w:color="auto" w:fill="FFECCC"/>
          </w:tcPr>
          <w:p>
            <w:pPr>
              <w:jc w:val="right"/>
              <w:ind w:right="515"/>
              <w:spacing w:after="0"/>
              <w:rPr>
                <w:sz w:val="20"/>
                <w:szCs w:val="20"/>
                <w:color w:val="auto"/>
              </w:rPr>
            </w:pPr>
            <w:r>
              <w:rPr>
                <w:rFonts w:ascii="Arial" w:cs="Arial" w:eastAsia="Arial" w:hAnsi="Arial"/>
                <w:sz w:val="20"/>
                <w:szCs w:val="20"/>
                <w:color w:val="0070C0"/>
              </w:rPr>
              <w:t>8/4/22</w:t>
            </w:r>
          </w:p>
        </w:tc>
        <w:tc>
          <w:tcPr>
            <w:tcW w:w="0" w:type="dxa"/>
            <w:vAlign w:val="bottom"/>
          </w:tcPr>
          <w:p>
            <w:pPr>
              <w:spacing w:after="0"/>
              <w:rPr>
                <w:sz w:val="1"/>
                <w:szCs w:val="1"/>
                <w:color w:val="auto"/>
              </w:rPr>
            </w:pPr>
          </w:p>
        </w:tc>
      </w:tr>
      <w:tr>
        <w:trPr>
          <w:trHeight w:val="277"/>
        </w:trPr>
        <w:tc>
          <w:tcPr>
            <w:tcW w:w="3820" w:type="dxa"/>
            <w:vAlign w:val="bottom"/>
            <w:tcBorders>
              <w:top w:val="single" w:sz="8" w:color="A6A6A6"/>
              <w:left w:val="single" w:sz="8" w:color="A6A6A6"/>
              <w:bottom w:val="single" w:sz="8" w:color="F2F2F2"/>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Total Revenue Growth</w:t>
            </w:r>
          </w:p>
        </w:tc>
        <w:tc>
          <w:tcPr>
            <w:tcW w:w="960" w:type="dxa"/>
            <w:vAlign w:val="bottom"/>
            <w:tcBorders>
              <w:top w:val="single" w:sz="8" w:color="A6A6A6"/>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5.5%</w:t>
            </w:r>
          </w:p>
        </w:tc>
        <w:tc>
          <w:tcPr>
            <w:tcW w:w="980" w:type="dxa"/>
            <w:vAlign w:val="bottom"/>
            <w:tcBorders>
              <w:top w:val="single" w:sz="8" w:color="A6A6A6"/>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- 6.5%</w:t>
            </w:r>
          </w:p>
        </w:tc>
        <w:tc>
          <w:tcPr>
            <w:tcW w:w="1960" w:type="dxa"/>
            <w:vAlign w:val="bottom"/>
            <w:tcBorders>
              <w:top w:val="single" w:sz="8" w:color="A6A6A6"/>
              <w:bottom w:val="single" w:sz="8" w:color="F2F2F2"/>
            </w:tcBorders>
            <w:shd w:val="clear" w:color="auto" w:fill="F2F2F2"/>
          </w:tcPr>
          <w:p>
            <w:pPr>
              <w:jc w:val="center"/>
              <w:ind w:right="55"/>
              <w:spacing w:after="0"/>
              <w:rPr>
                <w:sz w:val="20"/>
                <w:szCs w:val="20"/>
                <w:color w:val="auto"/>
              </w:rPr>
            </w:pPr>
            <w:r>
              <w:rPr>
                <w:rFonts w:ascii="Arial" w:cs="Arial" w:eastAsia="Arial" w:hAnsi="Arial"/>
                <w:sz w:val="16"/>
                <w:szCs w:val="16"/>
                <w:color w:val="auto"/>
              </w:rPr>
              <w:t>6.0% - 6.5%</w:t>
            </w:r>
          </w:p>
        </w:tc>
        <w:tc>
          <w:tcPr>
            <w:tcW w:w="1640" w:type="dxa"/>
            <w:vAlign w:val="bottom"/>
            <w:tcBorders>
              <w:top w:val="single" w:sz="8" w:color="A6A6A6"/>
              <w:bottom w:val="single" w:sz="8" w:color="F2F2F2"/>
              <w:right w:val="single" w:sz="8" w:color="00B050"/>
            </w:tcBorders>
            <w:shd w:val="clear" w:color="auto" w:fill="F2F2F2"/>
          </w:tcPr>
          <w:p>
            <w:pPr>
              <w:jc w:val="center"/>
              <w:spacing w:after="0"/>
              <w:rPr>
                <w:sz w:val="20"/>
                <w:szCs w:val="20"/>
                <w:color w:val="auto"/>
              </w:rPr>
            </w:pPr>
            <w:r>
              <w:rPr>
                <w:rFonts w:ascii="Arial" w:cs="Arial" w:eastAsia="Arial" w:hAnsi="Arial"/>
                <w:sz w:val="16"/>
                <w:szCs w:val="16"/>
                <w:color w:val="auto"/>
              </w:rPr>
              <w:t>~ 6.5%</w:t>
            </w:r>
          </w:p>
        </w:tc>
        <w:tc>
          <w:tcPr>
            <w:tcW w:w="1900" w:type="dxa"/>
            <w:vAlign w:val="bottom"/>
            <w:tcBorders>
              <w:top w:val="single" w:sz="8" w:color="A6A6A6"/>
              <w:bottom w:val="single" w:sz="8" w:color="FFECCC"/>
              <w:right w:val="single" w:sz="8" w:color="00B050"/>
            </w:tcBorders>
            <w:shd w:val="clear" w:color="auto" w:fill="FFECCC"/>
          </w:tcPr>
          <w:p>
            <w:pPr>
              <w:jc w:val="right"/>
              <w:ind w:right="515"/>
              <w:spacing w:after="0"/>
              <w:rPr>
                <w:sz w:val="20"/>
                <w:szCs w:val="20"/>
                <w:color w:val="auto"/>
              </w:rPr>
            </w:pPr>
            <w:r>
              <w:rPr>
                <w:rFonts w:ascii="Arial" w:cs="Arial" w:eastAsia="Arial" w:hAnsi="Arial"/>
                <w:sz w:val="16"/>
                <w:szCs w:val="16"/>
                <w:color w:val="auto"/>
              </w:rPr>
              <w:t>~ 7.0%</w:t>
            </w:r>
          </w:p>
        </w:tc>
        <w:tc>
          <w:tcPr>
            <w:tcW w:w="0" w:type="dxa"/>
            <w:vAlign w:val="bottom"/>
          </w:tcPr>
          <w:p>
            <w:pPr>
              <w:spacing w:after="0"/>
              <w:rPr>
                <w:sz w:val="1"/>
                <w:szCs w:val="1"/>
                <w:color w:val="auto"/>
              </w:rPr>
            </w:pPr>
          </w:p>
        </w:tc>
      </w:tr>
      <w:tr>
        <w:trPr>
          <w:trHeight w:val="268"/>
        </w:trPr>
        <w:tc>
          <w:tcPr>
            <w:tcW w:w="382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Organic Revenue Growth</w:t>
            </w: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c>
          <w:tcPr>
            <w:tcW w:w="980" w:type="dxa"/>
            <w:vAlign w:val="bottom"/>
          </w:tcPr>
          <w:p>
            <w:pPr>
              <w:ind w:left="20"/>
              <w:spacing w:after="0"/>
              <w:rPr>
                <w:sz w:val="20"/>
                <w:szCs w:val="20"/>
                <w:color w:val="auto"/>
              </w:rPr>
            </w:pPr>
            <w:r>
              <w:rPr>
                <w:rFonts w:ascii="Arial" w:cs="Arial" w:eastAsia="Arial" w:hAnsi="Arial"/>
                <w:sz w:val="16"/>
                <w:szCs w:val="16"/>
                <w:color w:val="auto"/>
              </w:rPr>
              <w:t>- 6.5%</w:t>
            </w:r>
          </w:p>
        </w:tc>
        <w:tc>
          <w:tcPr>
            <w:tcW w:w="1960" w:type="dxa"/>
            <w:vAlign w:val="bottom"/>
          </w:tcPr>
          <w:p>
            <w:pPr>
              <w:jc w:val="center"/>
              <w:ind w:right="55"/>
              <w:spacing w:after="0"/>
              <w:rPr>
                <w:sz w:val="20"/>
                <w:szCs w:val="20"/>
                <w:color w:val="auto"/>
              </w:rPr>
            </w:pPr>
            <w:r>
              <w:rPr>
                <w:rFonts w:ascii="Arial" w:cs="Arial" w:eastAsia="Arial" w:hAnsi="Arial"/>
                <w:sz w:val="16"/>
                <w:szCs w:val="16"/>
                <w:color w:val="auto"/>
              </w:rPr>
              <w:t>6.0% - 6.5%</w:t>
            </w:r>
          </w:p>
        </w:tc>
        <w:tc>
          <w:tcPr>
            <w:tcW w:w="1640" w:type="dxa"/>
            <w:vAlign w:val="bottom"/>
            <w:tcBorders>
              <w:right w:val="single" w:sz="8" w:color="00B050"/>
            </w:tcBorders>
          </w:tcPr>
          <w:p>
            <w:pPr>
              <w:jc w:val="center"/>
              <w:spacing w:after="0"/>
              <w:rPr>
                <w:sz w:val="20"/>
                <w:szCs w:val="20"/>
                <w:color w:val="auto"/>
              </w:rPr>
            </w:pPr>
            <w:r>
              <w:rPr>
                <w:rFonts w:ascii="Arial" w:cs="Arial" w:eastAsia="Arial" w:hAnsi="Arial"/>
                <w:sz w:val="16"/>
                <w:szCs w:val="16"/>
                <w:color w:val="auto"/>
              </w:rPr>
              <w:t>~ 6.5%</w:t>
            </w:r>
          </w:p>
        </w:tc>
        <w:tc>
          <w:tcPr>
            <w:tcW w:w="1900" w:type="dxa"/>
            <w:vAlign w:val="bottom"/>
            <w:tcBorders>
              <w:right w:val="single" w:sz="8" w:color="00B050"/>
            </w:tcBorders>
            <w:shd w:val="clear" w:color="auto" w:fill="FFECCC"/>
          </w:tcPr>
          <w:p>
            <w:pPr>
              <w:jc w:val="right"/>
              <w:ind w:right="515"/>
              <w:spacing w:after="0"/>
              <w:rPr>
                <w:sz w:val="20"/>
                <w:szCs w:val="20"/>
                <w:color w:val="auto"/>
              </w:rPr>
            </w:pPr>
            <w:r>
              <w:rPr>
                <w:rFonts w:ascii="Arial" w:cs="Arial" w:eastAsia="Arial" w:hAnsi="Arial"/>
                <w:sz w:val="16"/>
                <w:szCs w:val="16"/>
                <w:color w:val="auto"/>
              </w:rPr>
              <w:t>~ 7.0%</w:t>
            </w:r>
          </w:p>
        </w:tc>
        <w:tc>
          <w:tcPr>
            <w:tcW w:w="0" w:type="dxa"/>
            <w:vAlign w:val="bottom"/>
          </w:tcPr>
          <w:p>
            <w:pPr>
              <w:spacing w:after="0"/>
              <w:rPr>
                <w:sz w:val="1"/>
                <w:szCs w:val="1"/>
                <w:color w:val="auto"/>
              </w:rPr>
            </w:pPr>
          </w:p>
        </w:tc>
      </w:tr>
      <w:tr>
        <w:trPr>
          <w:trHeight w:val="43"/>
        </w:trPr>
        <w:tc>
          <w:tcPr>
            <w:tcW w:w="3820" w:type="dxa"/>
            <w:vAlign w:val="bottom"/>
            <w:tcBorders>
              <w:left w:val="single" w:sz="8" w:color="A6A6A6"/>
              <w:right w:val="single" w:sz="8" w:color="A6A6A6"/>
            </w:tcBorders>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40" w:type="dxa"/>
            <w:vAlign w:val="bottom"/>
            <w:tcBorders>
              <w:right w:val="single" w:sz="8" w:color="00B050"/>
            </w:tcBorders>
          </w:tcPr>
          <w:p>
            <w:pPr>
              <w:spacing w:after="0"/>
              <w:rPr>
                <w:sz w:val="3"/>
                <w:szCs w:val="3"/>
                <w:color w:val="auto"/>
              </w:rPr>
            </w:pPr>
          </w:p>
        </w:tc>
        <w:tc>
          <w:tcPr>
            <w:tcW w:w="1900" w:type="dxa"/>
            <w:vAlign w:val="bottom"/>
            <w:tcBorders>
              <w:right w:val="single" w:sz="8" w:color="00B050"/>
            </w:tcBorders>
            <w:shd w:val="clear" w:color="auto" w:fill="FFECCC"/>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820" w:type="dxa"/>
            <w:vAlign w:val="bottom"/>
            <w:tcBorders>
              <w:left w:val="single" w:sz="8" w:color="A6A6A6"/>
              <w:bottom w:val="single" w:sz="8" w:color="F2F2F2"/>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Adjusted EBITDA Margin</w:t>
            </w:r>
          </w:p>
        </w:tc>
        <w:tc>
          <w:tcPr>
            <w:tcW w:w="9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- 42%</w:t>
            </w:r>
          </w:p>
        </w:tc>
        <w:tc>
          <w:tcPr>
            <w:tcW w:w="1960" w:type="dxa"/>
            <w:vAlign w:val="bottom"/>
            <w:tcBorders>
              <w:bottom w:val="single" w:sz="8" w:color="F2F2F2"/>
            </w:tcBorders>
            <w:shd w:val="clear" w:color="auto" w:fill="F2F2F2"/>
          </w:tcPr>
          <w:p>
            <w:pPr>
              <w:jc w:val="center"/>
              <w:ind w:right="55"/>
              <w:spacing w:after="0"/>
              <w:rPr>
                <w:sz w:val="20"/>
                <w:szCs w:val="20"/>
                <w:color w:val="auto"/>
              </w:rPr>
            </w:pPr>
            <w:r>
              <w:rPr>
                <w:rFonts w:ascii="Arial" w:cs="Arial" w:eastAsia="Arial" w:hAnsi="Arial"/>
                <w:sz w:val="16"/>
                <w:szCs w:val="16"/>
                <w:color w:val="auto"/>
              </w:rPr>
              <w:t>~ 42%</w:t>
            </w:r>
          </w:p>
        </w:tc>
        <w:tc>
          <w:tcPr>
            <w:tcW w:w="1640" w:type="dxa"/>
            <w:vAlign w:val="bottom"/>
            <w:tcBorders>
              <w:bottom w:val="single" w:sz="8" w:color="F2F2F2"/>
              <w:right w:val="single" w:sz="8" w:color="00B050"/>
            </w:tcBorders>
            <w:shd w:val="clear" w:color="auto" w:fill="F2F2F2"/>
          </w:tcPr>
          <w:p>
            <w:pPr>
              <w:jc w:val="center"/>
              <w:spacing w:after="0"/>
              <w:rPr>
                <w:sz w:val="20"/>
                <w:szCs w:val="20"/>
                <w:color w:val="auto"/>
              </w:rPr>
            </w:pPr>
            <w:r>
              <w:rPr>
                <w:rFonts w:ascii="Arial" w:cs="Arial" w:eastAsia="Arial" w:hAnsi="Arial"/>
                <w:sz w:val="16"/>
                <w:szCs w:val="16"/>
                <w:color w:val="auto"/>
              </w:rPr>
              <w:t>Unchanged</w:t>
            </w:r>
          </w:p>
        </w:tc>
        <w:tc>
          <w:tcPr>
            <w:tcW w:w="1900" w:type="dxa"/>
            <w:vAlign w:val="bottom"/>
            <w:tcBorders>
              <w:bottom w:val="single" w:sz="8" w:color="FFECCC"/>
              <w:right w:val="single" w:sz="8" w:color="00B050"/>
            </w:tcBorders>
            <w:shd w:val="clear" w:color="auto" w:fill="FFECCC"/>
          </w:tcPr>
          <w:p>
            <w:pPr>
              <w:ind w:left="620"/>
              <w:spacing w:after="0"/>
              <w:rPr>
                <w:sz w:val="20"/>
                <w:szCs w:val="20"/>
                <w:color w:val="auto"/>
              </w:rPr>
            </w:pPr>
            <w:r>
              <w:rPr>
                <w:rFonts w:ascii="Arial" w:cs="Arial" w:eastAsia="Arial" w:hAnsi="Arial"/>
                <w:sz w:val="16"/>
                <w:szCs w:val="16"/>
                <w:color w:val="auto"/>
              </w:rPr>
              <w:t>Unchanged</w:t>
            </w:r>
          </w:p>
        </w:tc>
        <w:tc>
          <w:tcPr>
            <w:tcW w:w="0" w:type="dxa"/>
            <w:vAlign w:val="bottom"/>
          </w:tcPr>
          <w:p>
            <w:pPr>
              <w:spacing w:after="0"/>
              <w:rPr>
                <w:sz w:val="1"/>
                <w:szCs w:val="1"/>
                <w:color w:val="auto"/>
              </w:rPr>
            </w:pPr>
          </w:p>
        </w:tc>
      </w:tr>
      <w:tr>
        <w:trPr>
          <w:trHeight w:val="27"/>
        </w:trPr>
        <w:tc>
          <w:tcPr>
            <w:tcW w:w="3820" w:type="dxa"/>
            <w:vAlign w:val="bottom"/>
            <w:tcBorders>
              <w:left w:val="single" w:sz="8" w:color="A6A6A6"/>
              <w:right w:val="single" w:sz="8" w:color="A6A6A6"/>
            </w:tcBorders>
            <w:shd w:val="clear" w:color="auto" w:fill="A6A6A6"/>
          </w:tcPr>
          <w:p>
            <w:pPr>
              <w:spacing w:after="0"/>
              <w:rPr>
                <w:sz w:val="2"/>
                <w:szCs w:val="2"/>
                <w:color w:val="auto"/>
              </w:rPr>
            </w:pPr>
          </w:p>
        </w:tc>
        <w:tc>
          <w:tcPr>
            <w:tcW w:w="960" w:type="dxa"/>
            <w:vAlign w:val="bottom"/>
            <w:shd w:val="clear" w:color="auto" w:fill="A6A6A6"/>
          </w:tcPr>
          <w:p>
            <w:pPr>
              <w:spacing w:after="0"/>
              <w:rPr>
                <w:sz w:val="2"/>
                <w:szCs w:val="2"/>
                <w:color w:val="auto"/>
              </w:rPr>
            </w:pPr>
          </w:p>
        </w:tc>
        <w:tc>
          <w:tcPr>
            <w:tcW w:w="980" w:type="dxa"/>
            <w:vAlign w:val="bottom"/>
            <w:shd w:val="clear" w:color="auto" w:fill="A6A6A6"/>
          </w:tcPr>
          <w:p>
            <w:pPr>
              <w:spacing w:after="0"/>
              <w:rPr>
                <w:sz w:val="2"/>
                <w:szCs w:val="2"/>
                <w:color w:val="auto"/>
              </w:rPr>
            </w:pPr>
          </w:p>
        </w:tc>
        <w:tc>
          <w:tcPr>
            <w:tcW w:w="1960" w:type="dxa"/>
            <w:vAlign w:val="bottom"/>
            <w:shd w:val="clear" w:color="auto" w:fill="A6A6A6"/>
          </w:tcPr>
          <w:p>
            <w:pPr>
              <w:spacing w:after="0"/>
              <w:rPr>
                <w:sz w:val="2"/>
                <w:szCs w:val="2"/>
                <w:color w:val="auto"/>
              </w:rPr>
            </w:pPr>
          </w:p>
        </w:tc>
        <w:tc>
          <w:tcPr>
            <w:tcW w:w="1640" w:type="dxa"/>
            <w:vAlign w:val="bottom"/>
            <w:tcBorders>
              <w:right w:val="single" w:sz="8" w:color="00B050"/>
            </w:tcBorders>
            <w:shd w:val="clear" w:color="auto" w:fill="A6A6A6"/>
          </w:tcPr>
          <w:p>
            <w:pPr>
              <w:spacing w:after="0"/>
              <w:rPr>
                <w:sz w:val="2"/>
                <w:szCs w:val="2"/>
                <w:color w:val="auto"/>
              </w:rPr>
            </w:pPr>
          </w:p>
        </w:tc>
        <w:tc>
          <w:tcPr>
            <w:tcW w:w="1900" w:type="dxa"/>
            <w:vAlign w:val="bottom"/>
            <w:tcBorders>
              <w:right w:val="single" w:sz="8" w:color="00B050"/>
            </w:tcBorders>
            <w:shd w:val="clear" w:color="auto" w:fill="00B05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60" w:right="560" w:hanging="452"/>
        <w:spacing w:after="0" w:line="285"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Non-IFRS financial measures. See the “Non-IFRS Financial Measures” section below as well as the tables and footnotes appended to this news release for more information.</w:t>
      </w:r>
    </w:p>
    <w:p>
      <w:pPr>
        <w:sectPr>
          <w:pgSz w:w="11900" w:h="16838" w:orient="portrait"/>
          <w:cols w:equalWidth="0" w:num="1">
            <w:col w:w="11260"/>
          </w:cols>
          <w:pgMar w:left="320" w:top="1012"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10 of 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Reported Full-Year 2021 and Updated Full-Year 2022 – 2023 Outlook</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330"/>
        </w:trPr>
        <w:tc>
          <w:tcPr>
            <w:tcW w:w="5080" w:type="dxa"/>
            <w:vAlign w:val="bottom"/>
            <w:tcBorders>
              <w:top w:val="single" w:sz="8" w:color="A6A6A6"/>
              <w:left w:val="single" w:sz="8" w:color="A6A6A6"/>
              <w:right w:val="single" w:sz="8" w:color="A6A6A6"/>
            </w:tcBorders>
          </w:tcPr>
          <w:p>
            <w:pPr>
              <w:spacing w:after="0"/>
              <w:rPr>
                <w:sz w:val="24"/>
                <w:szCs w:val="24"/>
                <w:color w:val="auto"/>
              </w:rPr>
            </w:pPr>
          </w:p>
        </w:tc>
        <w:tc>
          <w:tcPr>
            <w:tcW w:w="2160" w:type="dxa"/>
            <w:vAlign w:val="bottom"/>
            <w:tcBorders>
              <w:top w:val="single" w:sz="8" w:color="A6A6A6"/>
              <w:right w:val="single" w:sz="8" w:color="00B050"/>
            </w:tcBorders>
            <w:vMerge w:val="restart"/>
          </w:tcPr>
          <w:p>
            <w:pPr>
              <w:jc w:val="center"/>
              <w:ind w:left="37"/>
              <w:spacing w:after="0"/>
              <w:rPr>
                <w:sz w:val="20"/>
                <w:szCs w:val="20"/>
                <w:color w:val="auto"/>
              </w:rPr>
            </w:pPr>
            <w:r>
              <w:rPr>
                <w:rFonts w:ascii="Arial" w:cs="Arial" w:eastAsia="Arial" w:hAnsi="Arial"/>
                <w:sz w:val="20"/>
                <w:szCs w:val="20"/>
                <w:color w:val="auto"/>
              </w:rPr>
              <w:t>FY 2021</w:t>
            </w:r>
          </w:p>
        </w:tc>
        <w:tc>
          <w:tcPr>
            <w:tcW w:w="2060" w:type="dxa"/>
            <w:vAlign w:val="bottom"/>
            <w:tcBorders>
              <w:top w:val="single" w:sz="8" w:color="00B050"/>
            </w:tcBorders>
          </w:tcPr>
          <w:p>
            <w:pPr>
              <w:ind w:left="720"/>
              <w:spacing w:after="0"/>
              <w:rPr>
                <w:sz w:val="20"/>
                <w:szCs w:val="20"/>
                <w:color w:val="auto"/>
              </w:rPr>
            </w:pPr>
            <w:r>
              <w:rPr>
                <w:rFonts w:ascii="Arial" w:cs="Arial" w:eastAsia="Arial" w:hAnsi="Arial"/>
                <w:sz w:val="20"/>
                <w:szCs w:val="20"/>
                <w:b w:val="1"/>
                <w:bCs w:val="1"/>
                <w:color w:val="0070C0"/>
              </w:rPr>
              <w:t>FY 2022</w:t>
            </w:r>
          </w:p>
        </w:tc>
        <w:tc>
          <w:tcPr>
            <w:tcW w:w="1960" w:type="dxa"/>
            <w:vAlign w:val="bottom"/>
            <w:tcBorders>
              <w:top w:val="single" w:sz="8" w:color="00B050"/>
              <w:right w:val="single" w:sz="8" w:color="00B050"/>
            </w:tcBorders>
            <w:gridSpan w:val="2"/>
          </w:tcPr>
          <w:p>
            <w:pPr>
              <w:ind w:left="640"/>
              <w:spacing w:after="0"/>
              <w:rPr>
                <w:sz w:val="20"/>
                <w:szCs w:val="20"/>
                <w:color w:val="auto"/>
              </w:rPr>
            </w:pPr>
            <w:r>
              <w:rPr>
                <w:rFonts w:ascii="Arial" w:cs="Arial" w:eastAsia="Arial" w:hAnsi="Arial"/>
                <w:sz w:val="20"/>
                <w:szCs w:val="20"/>
                <w:b w:val="1"/>
                <w:bCs w:val="1"/>
                <w:color w:val="0070C0"/>
              </w:rPr>
              <w:t>FY 2023</w:t>
            </w:r>
          </w:p>
        </w:tc>
        <w:tc>
          <w:tcPr>
            <w:tcW w:w="0" w:type="dxa"/>
            <w:vAlign w:val="bottom"/>
          </w:tcPr>
          <w:p>
            <w:pPr>
              <w:spacing w:after="0"/>
              <w:rPr>
                <w:sz w:val="1"/>
                <w:szCs w:val="1"/>
                <w:color w:val="auto"/>
              </w:rPr>
            </w:pPr>
          </w:p>
        </w:tc>
      </w:tr>
      <w:tr>
        <w:trPr>
          <w:trHeight w:val="159"/>
        </w:trPr>
        <w:tc>
          <w:tcPr>
            <w:tcW w:w="5080" w:type="dxa"/>
            <w:vAlign w:val="bottom"/>
            <w:tcBorders>
              <w:left w:val="single" w:sz="8" w:color="A6A6A6"/>
              <w:right w:val="single" w:sz="8" w:color="A6A6A6"/>
            </w:tcBorders>
            <w:vMerge w:val="restart"/>
          </w:tcPr>
          <w:p>
            <w:pPr>
              <w:ind w:left="160"/>
              <w:spacing w:after="0"/>
              <w:rPr>
                <w:sz w:val="20"/>
                <w:szCs w:val="20"/>
                <w:color w:val="auto"/>
              </w:rPr>
            </w:pPr>
            <w:r>
              <w:rPr>
                <w:rFonts w:ascii="Arial" w:cs="Arial" w:eastAsia="Arial" w:hAnsi="Arial"/>
                <w:sz w:val="20"/>
                <w:szCs w:val="20"/>
                <w:b w:val="1"/>
                <w:bCs w:val="1"/>
                <w:color w:val="FA6400"/>
              </w:rPr>
              <w:t>Total Thomson Reuters</w:t>
            </w:r>
          </w:p>
        </w:tc>
        <w:tc>
          <w:tcPr>
            <w:tcW w:w="2160" w:type="dxa"/>
            <w:vAlign w:val="bottom"/>
            <w:tcBorders>
              <w:right w:val="single" w:sz="8" w:color="00B050"/>
            </w:tcBorders>
            <w:vMerge w:val="continue"/>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Borders>
              <w:right w:val="single" w:sz="8" w:color="00B050"/>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80" w:type="dxa"/>
            <w:vAlign w:val="bottom"/>
            <w:tcBorders>
              <w:left w:val="single" w:sz="8" w:color="A6A6A6"/>
              <w:right w:val="single" w:sz="8" w:color="A6A6A6"/>
            </w:tcBorders>
            <w:vMerge w:val="continue"/>
          </w:tcPr>
          <w:p>
            <w:pPr>
              <w:spacing w:after="0"/>
              <w:rPr>
                <w:sz w:val="14"/>
                <w:szCs w:val="14"/>
                <w:color w:val="auto"/>
              </w:rPr>
            </w:pPr>
          </w:p>
        </w:tc>
        <w:tc>
          <w:tcPr>
            <w:tcW w:w="2160" w:type="dxa"/>
            <w:vAlign w:val="bottom"/>
            <w:tcBorders>
              <w:right w:val="single" w:sz="8" w:color="00B050"/>
            </w:tcBorders>
            <w:vMerge w:val="restart"/>
          </w:tcPr>
          <w:p>
            <w:pPr>
              <w:jc w:val="center"/>
              <w:ind w:left="37"/>
              <w:spacing w:after="0" w:line="216" w:lineRule="exact"/>
              <w:rPr>
                <w:sz w:val="20"/>
                <w:szCs w:val="20"/>
                <w:color w:val="auto"/>
              </w:rPr>
            </w:pPr>
            <w:r>
              <w:rPr>
                <w:rFonts w:ascii="Arial" w:cs="Arial" w:eastAsia="Arial" w:hAnsi="Arial"/>
                <w:sz w:val="20"/>
                <w:szCs w:val="20"/>
                <w:b w:val="1"/>
                <w:bCs w:val="1"/>
                <w:color w:val="FA6400"/>
              </w:rPr>
              <w:t>Reported</w:t>
            </w:r>
          </w:p>
        </w:tc>
        <w:tc>
          <w:tcPr>
            <w:tcW w:w="2060" w:type="dxa"/>
            <w:vAlign w:val="bottom"/>
            <w:vMerge w:val="restart"/>
          </w:tcPr>
          <w:p>
            <w:pPr>
              <w:jc w:val="center"/>
              <w:spacing w:after="0" w:line="216" w:lineRule="exact"/>
              <w:rPr>
                <w:sz w:val="20"/>
                <w:szCs w:val="20"/>
                <w:color w:val="auto"/>
              </w:rPr>
            </w:pPr>
            <w:r>
              <w:rPr>
                <w:rFonts w:ascii="Arial" w:cs="Arial" w:eastAsia="Arial" w:hAnsi="Arial"/>
                <w:sz w:val="20"/>
                <w:szCs w:val="20"/>
                <w:b w:val="1"/>
                <w:bCs w:val="1"/>
                <w:color w:val="0070C0"/>
                <w:w w:val="97"/>
              </w:rPr>
              <w:t>Outlook</w:t>
            </w:r>
          </w:p>
        </w:tc>
        <w:tc>
          <w:tcPr>
            <w:tcW w:w="1960" w:type="dxa"/>
            <w:vAlign w:val="bottom"/>
            <w:tcBorders>
              <w:right w:val="single" w:sz="8" w:color="00B050"/>
            </w:tcBorders>
            <w:gridSpan w:val="2"/>
            <w:vMerge w:val="restart"/>
          </w:tcPr>
          <w:p>
            <w:pPr>
              <w:jc w:val="center"/>
              <w:spacing w:after="0" w:line="216" w:lineRule="exact"/>
              <w:rPr>
                <w:sz w:val="20"/>
                <w:szCs w:val="20"/>
                <w:color w:val="auto"/>
              </w:rPr>
            </w:pPr>
            <w:r>
              <w:rPr>
                <w:rFonts w:ascii="Arial" w:cs="Arial" w:eastAsia="Arial" w:hAnsi="Arial"/>
                <w:sz w:val="20"/>
                <w:szCs w:val="20"/>
                <w:b w:val="1"/>
                <w:bCs w:val="1"/>
                <w:color w:val="0070C0"/>
                <w:w w:val="97"/>
              </w:rPr>
              <w:t>Outlook</w:t>
            </w:r>
          </w:p>
        </w:tc>
        <w:tc>
          <w:tcPr>
            <w:tcW w:w="0" w:type="dxa"/>
            <w:vAlign w:val="bottom"/>
          </w:tcPr>
          <w:p>
            <w:pPr>
              <w:spacing w:after="0"/>
              <w:rPr>
                <w:sz w:val="1"/>
                <w:szCs w:val="1"/>
                <w:color w:val="auto"/>
              </w:rPr>
            </w:pPr>
          </w:p>
        </w:tc>
      </w:tr>
      <w:tr>
        <w:trPr>
          <w:trHeight w:val="51"/>
        </w:trPr>
        <w:tc>
          <w:tcPr>
            <w:tcW w:w="5080" w:type="dxa"/>
            <w:vAlign w:val="bottom"/>
            <w:tcBorders>
              <w:left w:val="single" w:sz="8" w:color="A6A6A6"/>
              <w:right w:val="single" w:sz="8" w:color="A6A6A6"/>
            </w:tcBorders>
          </w:tcPr>
          <w:p>
            <w:pPr>
              <w:spacing w:after="0"/>
              <w:rPr>
                <w:sz w:val="4"/>
                <w:szCs w:val="4"/>
                <w:color w:val="auto"/>
              </w:rPr>
            </w:pPr>
          </w:p>
        </w:tc>
        <w:tc>
          <w:tcPr>
            <w:tcW w:w="2160" w:type="dxa"/>
            <w:vAlign w:val="bottom"/>
            <w:tcBorders>
              <w:right w:val="single" w:sz="8" w:color="00B050"/>
            </w:tcBorders>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1960" w:type="dxa"/>
            <w:vAlign w:val="bottom"/>
            <w:tcBorders>
              <w:right w:val="single" w:sz="8" w:color="00B050"/>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5080" w:type="dxa"/>
            <w:vAlign w:val="bottom"/>
            <w:tcBorders>
              <w:left w:val="single" w:sz="8" w:color="A6A6A6"/>
              <w:right w:val="single" w:sz="8" w:color="A6A6A6"/>
            </w:tcBorders>
          </w:tcPr>
          <w:p>
            <w:pPr>
              <w:spacing w:after="0"/>
              <w:rPr>
                <w:sz w:val="23"/>
                <w:szCs w:val="23"/>
                <w:color w:val="auto"/>
              </w:rPr>
            </w:pPr>
          </w:p>
        </w:tc>
        <w:tc>
          <w:tcPr>
            <w:tcW w:w="2160" w:type="dxa"/>
            <w:vAlign w:val="bottom"/>
            <w:tcBorders>
              <w:right w:val="single" w:sz="8" w:color="00B050"/>
            </w:tcBorders>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20"/>
                <w:szCs w:val="20"/>
                <w:b w:val="1"/>
                <w:bCs w:val="1"/>
                <w:color w:val="0070C0"/>
                <w:w w:val="99"/>
              </w:rPr>
              <w:t>Updated</w:t>
            </w:r>
          </w:p>
        </w:tc>
        <w:tc>
          <w:tcPr>
            <w:tcW w:w="1960" w:type="dxa"/>
            <w:vAlign w:val="bottom"/>
            <w:tcBorders>
              <w:right w:val="single" w:sz="8" w:color="00B050"/>
            </w:tcBorders>
            <w:gridSpan w:val="2"/>
          </w:tcPr>
          <w:p>
            <w:pPr>
              <w:jc w:val="center"/>
              <w:spacing w:after="0"/>
              <w:rPr>
                <w:sz w:val="20"/>
                <w:szCs w:val="20"/>
                <w:color w:val="auto"/>
              </w:rPr>
            </w:pPr>
            <w:r>
              <w:rPr>
                <w:rFonts w:ascii="Arial" w:cs="Arial" w:eastAsia="Arial" w:hAnsi="Arial"/>
                <w:sz w:val="20"/>
                <w:szCs w:val="20"/>
                <w:b w:val="1"/>
                <w:bCs w:val="1"/>
                <w:color w:val="0070C0"/>
                <w:w w:val="97"/>
              </w:rPr>
              <w:t>Reaffirmed</w:t>
            </w:r>
          </w:p>
        </w:tc>
        <w:tc>
          <w:tcPr>
            <w:tcW w:w="0" w:type="dxa"/>
            <w:vAlign w:val="bottom"/>
          </w:tcPr>
          <w:p>
            <w:pPr>
              <w:spacing w:after="0"/>
              <w:rPr>
                <w:sz w:val="1"/>
                <w:szCs w:val="1"/>
                <w:color w:val="auto"/>
              </w:rPr>
            </w:pPr>
          </w:p>
        </w:tc>
      </w:tr>
      <w:tr>
        <w:trPr>
          <w:trHeight w:val="41"/>
        </w:trPr>
        <w:tc>
          <w:tcPr>
            <w:tcW w:w="5080" w:type="dxa"/>
            <w:vAlign w:val="bottom"/>
            <w:tcBorders>
              <w:left w:val="single" w:sz="8" w:color="A6A6A6"/>
              <w:bottom w:val="single" w:sz="8" w:color="A6A6A6"/>
              <w:right w:val="single" w:sz="8" w:color="A6A6A6"/>
            </w:tcBorders>
          </w:tcPr>
          <w:p>
            <w:pPr>
              <w:spacing w:after="0"/>
              <w:rPr>
                <w:sz w:val="3"/>
                <w:szCs w:val="3"/>
                <w:color w:val="auto"/>
              </w:rPr>
            </w:pPr>
          </w:p>
        </w:tc>
        <w:tc>
          <w:tcPr>
            <w:tcW w:w="2160" w:type="dxa"/>
            <w:vAlign w:val="bottom"/>
            <w:tcBorders>
              <w:bottom w:val="single" w:sz="8" w:color="A6A6A6"/>
              <w:right w:val="single" w:sz="8" w:color="00B050"/>
            </w:tcBorders>
          </w:tcPr>
          <w:p>
            <w:pPr>
              <w:spacing w:after="0"/>
              <w:rPr>
                <w:sz w:val="3"/>
                <w:szCs w:val="3"/>
                <w:color w:val="auto"/>
              </w:rPr>
            </w:pPr>
          </w:p>
        </w:tc>
        <w:tc>
          <w:tcPr>
            <w:tcW w:w="20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00" w:type="dxa"/>
            <w:vAlign w:val="bottom"/>
            <w:tcBorders>
              <w:bottom w:val="single" w:sz="8" w:color="A6A6A6"/>
              <w:right w:val="single" w:sz="8" w:color="00B050"/>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80" w:type="dxa"/>
            <w:vAlign w:val="bottom"/>
            <w:tcBorders>
              <w:left w:val="single" w:sz="8" w:color="A6A6A6"/>
              <w:bottom w:val="single" w:sz="8" w:color="F2F2F2"/>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Total Revenue Growth</w:t>
            </w:r>
          </w:p>
        </w:tc>
        <w:tc>
          <w:tcPr>
            <w:tcW w:w="2160" w:type="dxa"/>
            <w:vAlign w:val="bottom"/>
            <w:tcBorders>
              <w:bottom w:val="single" w:sz="8" w:color="F2F2F2"/>
              <w:right w:val="single" w:sz="8" w:color="00B050"/>
            </w:tcBorders>
            <w:shd w:val="clear" w:color="auto" w:fill="F2F2F2"/>
          </w:tcPr>
          <w:p>
            <w:pPr>
              <w:jc w:val="center"/>
              <w:ind w:left="37"/>
              <w:spacing w:after="0"/>
              <w:rPr>
                <w:sz w:val="20"/>
                <w:szCs w:val="20"/>
                <w:color w:val="auto"/>
              </w:rPr>
            </w:pPr>
            <w:r>
              <w:rPr>
                <w:rFonts w:ascii="Arial" w:cs="Arial" w:eastAsia="Arial" w:hAnsi="Arial"/>
                <w:sz w:val="16"/>
                <w:szCs w:val="16"/>
                <w:color w:val="auto"/>
                <w:w w:val="98"/>
              </w:rPr>
              <w:t>6.1%</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 6.0%</w:t>
            </w:r>
          </w:p>
        </w:tc>
        <w:tc>
          <w:tcPr>
            <w:tcW w:w="9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5.5%</w:t>
            </w:r>
          </w:p>
        </w:tc>
        <w:tc>
          <w:tcPr>
            <w:tcW w:w="1000" w:type="dxa"/>
            <w:vAlign w:val="bottom"/>
            <w:tcBorders>
              <w:bottom w:val="single" w:sz="8" w:color="F2F2F2"/>
              <w:right w:val="single" w:sz="8" w:color="00B050"/>
            </w:tcBorders>
            <w:shd w:val="clear" w:color="auto" w:fill="F2F2F2"/>
          </w:tcPr>
          <w:p>
            <w:pPr>
              <w:ind w:left="20"/>
              <w:spacing w:after="0"/>
              <w:rPr>
                <w:sz w:val="20"/>
                <w:szCs w:val="20"/>
                <w:color w:val="auto"/>
              </w:rPr>
            </w:pPr>
            <w:r>
              <w:rPr>
                <w:rFonts w:ascii="Arial" w:cs="Arial" w:eastAsia="Arial" w:hAnsi="Arial"/>
                <w:sz w:val="16"/>
                <w:szCs w:val="16"/>
                <w:color w:val="auto"/>
              </w:rPr>
              <w:t>- 6.0%</w:t>
            </w:r>
          </w:p>
        </w:tc>
        <w:tc>
          <w:tcPr>
            <w:tcW w:w="0" w:type="dxa"/>
            <w:vAlign w:val="bottom"/>
          </w:tcPr>
          <w:p>
            <w:pPr>
              <w:spacing w:after="0"/>
              <w:rPr>
                <w:sz w:val="1"/>
                <w:szCs w:val="1"/>
                <w:color w:val="auto"/>
              </w:rPr>
            </w:pPr>
          </w:p>
        </w:tc>
      </w:tr>
      <w:tr>
        <w:trPr>
          <w:trHeight w:val="311"/>
        </w:trPr>
        <w:tc>
          <w:tcPr>
            <w:tcW w:w="508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Organic Revenue Growth</w:t>
            </w:r>
            <w:r>
              <w:rPr>
                <w:rFonts w:ascii="Arial" w:cs="Arial" w:eastAsia="Arial" w:hAnsi="Arial"/>
                <w:sz w:val="24"/>
                <w:szCs w:val="24"/>
                <w:color w:val="auto"/>
                <w:vertAlign w:val="superscript"/>
              </w:rPr>
              <w:t>(1)</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6"/>
                <w:szCs w:val="16"/>
                <w:color w:val="auto"/>
                <w:w w:val="98"/>
              </w:rPr>
              <w:t>5.2%</w:t>
            </w:r>
          </w:p>
        </w:tc>
        <w:tc>
          <w:tcPr>
            <w:tcW w:w="2060" w:type="dxa"/>
            <w:vAlign w:val="bottom"/>
          </w:tcPr>
          <w:p>
            <w:pPr>
              <w:jc w:val="center"/>
              <w:spacing w:after="0"/>
              <w:rPr>
                <w:sz w:val="20"/>
                <w:szCs w:val="20"/>
                <w:color w:val="auto"/>
              </w:rPr>
            </w:pPr>
            <w:r>
              <w:rPr>
                <w:rFonts w:ascii="Arial" w:cs="Arial" w:eastAsia="Arial" w:hAnsi="Arial"/>
                <w:sz w:val="16"/>
                <w:szCs w:val="16"/>
                <w:color w:val="auto"/>
              </w:rPr>
              <w:t>~ 6.0%</w:t>
            </w: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c>
          <w:tcPr>
            <w:tcW w:w="1000" w:type="dxa"/>
            <w:vAlign w:val="bottom"/>
            <w:tcBorders>
              <w:right w:val="single" w:sz="8" w:color="00B050"/>
            </w:tcBorders>
          </w:tcPr>
          <w:p>
            <w:pPr>
              <w:ind w:left="20"/>
              <w:spacing w:after="0"/>
              <w:rPr>
                <w:sz w:val="20"/>
                <w:szCs w:val="20"/>
                <w:color w:val="auto"/>
              </w:rPr>
            </w:pPr>
            <w:r>
              <w:rPr>
                <w:rFonts w:ascii="Arial" w:cs="Arial" w:eastAsia="Arial" w:hAnsi="Arial"/>
                <w:sz w:val="16"/>
                <w:szCs w:val="16"/>
                <w:color w:val="auto"/>
              </w:rPr>
              <w:t>- 6.0%</w:t>
            </w:r>
          </w:p>
        </w:tc>
        <w:tc>
          <w:tcPr>
            <w:tcW w:w="0" w:type="dxa"/>
            <w:vAlign w:val="bottom"/>
          </w:tcPr>
          <w:p>
            <w:pPr>
              <w:spacing w:after="0"/>
              <w:rPr>
                <w:sz w:val="1"/>
                <w:szCs w:val="1"/>
                <w:color w:val="auto"/>
              </w:rPr>
            </w:pPr>
          </w:p>
        </w:tc>
      </w:tr>
      <w:tr>
        <w:trPr>
          <w:trHeight w:val="310"/>
        </w:trPr>
        <w:tc>
          <w:tcPr>
            <w:tcW w:w="5080" w:type="dxa"/>
            <w:vAlign w:val="bottom"/>
            <w:tcBorders>
              <w:left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4"/>
                <w:szCs w:val="24"/>
                <w:color w:val="auto"/>
                <w:vertAlign w:val="superscript"/>
              </w:rPr>
              <w:t>(1)</w:t>
            </w:r>
          </w:p>
        </w:tc>
        <w:tc>
          <w:tcPr>
            <w:tcW w:w="2160" w:type="dxa"/>
            <w:vAlign w:val="bottom"/>
            <w:tcBorders>
              <w:right w:val="single" w:sz="8" w:color="00B050"/>
            </w:tcBorders>
            <w:shd w:val="clear" w:color="auto" w:fill="F2F2F2"/>
          </w:tcPr>
          <w:p>
            <w:pPr>
              <w:jc w:val="center"/>
              <w:ind w:left="17"/>
              <w:spacing w:after="0"/>
              <w:rPr>
                <w:sz w:val="20"/>
                <w:szCs w:val="20"/>
                <w:color w:val="auto"/>
              </w:rPr>
            </w:pPr>
            <w:r>
              <w:rPr>
                <w:rFonts w:ascii="Arial" w:cs="Arial" w:eastAsia="Arial" w:hAnsi="Arial"/>
                <w:sz w:val="16"/>
                <w:szCs w:val="16"/>
                <w:color w:val="auto"/>
              </w:rPr>
              <w:t>31.0%</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 35%</w:t>
            </w:r>
          </w:p>
        </w:tc>
        <w:tc>
          <w:tcPr>
            <w:tcW w:w="960" w:type="dxa"/>
            <w:vAlign w:val="bottom"/>
            <w:shd w:val="clear" w:color="auto" w:fill="F2F2F2"/>
          </w:tcPr>
          <w:p>
            <w:pPr>
              <w:jc w:val="right"/>
              <w:spacing w:after="0"/>
              <w:rPr>
                <w:sz w:val="20"/>
                <w:szCs w:val="20"/>
                <w:color w:val="auto"/>
              </w:rPr>
            </w:pPr>
            <w:r>
              <w:rPr>
                <w:rFonts w:ascii="Arial" w:cs="Arial" w:eastAsia="Arial" w:hAnsi="Arial"/>
                <w:sz w:val="16"/>
                <w:szCs w:val="16"/>
                <w:color w:val="auto"/>
              </w:rPr>
              <w:t>39%</w:t>
            </w:r>
          </w:p>
        </w:tc>
        <w:tc>
          <w:tcPr>
            <w:tcW w:w="1000" w:type="dxa"/>
            <w:vAlign w:val="bottom"/>
            <w:tcBorders>
              <w:right w:val="single" w:sz="8" w:color="00B050"/>
            </w:tcBorders>
            <w:shd w:val="clear" w:color="auto" w:fill="F2F2F2"/>
          </w:tcPr>
          <w:p>
            <w:pPr>
              <w:ind w:left="20"/>
              <w:spacing w:after="0"/>
              <w:rPr>
                <w:sz w:val="20"/>
                <w:szCs w:val="20"/>
                <w:color w:val="auto"/>
              </w:rPr>
            </w:pPr>
            <w:r>
              <w:rPr>
                <w:rFonts w:ascii="Arial" w:cs="Arial" w:eastAsia="Arial" w:hAnsi="Arial"/>
                <w:sz w:val="16"/>
                <w:szCs w:val="16"/>
                <w:color w:val="auto"/>
              </w:rPr>
              <w:t>- 40%</w:t>
            </w:r>
          </w:p>
        </w:tc>
        <w:tc>
          <w:tcPr>
            <w:tcW w:w="0" w:type="dxa"/>
            <w:vAlign w:val="bottom"/>
          </w:tcPr>
          <w:p>
            <w:pPr>
              <w:spacing w:after="0"/>
              <w:rPr>
                <w:sz w:val="1"/>
                <w:szCs w:val="1"/>
                <w:color w:val="auto"/>
              </w:rPr>
            </w:pPr>
          </w:p>
        </w:tc>
      </w:tr>
      <w:tr>
        <w:trPr>
          <w:trHeight w:val="247"/>
        </w:trPr>
        <w:tc>
          <w:tcPr>
            <w:tcW w:w="508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Corporate Costs</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6"/>
                <w:szCs w:val="16"/>
                <w:color w:val="auto"/>
              </w:rPr>
              <w:t>$325 million</w:t>
            </w:r>
          </w:p>
        </w:tc>
        <w:tc>
          <w:tcPr>
            <w:tcW w:w="2060" w:type="dxa"/>
            <w:vAlign w:val="bottom"/>
          </w:tcPr>
          <w:p>
            <w:pPr>
              <w:jc w:val="center"/>
              <w:spacing w:after="0"/>
              <w:rPr>
                <w:sz w:val="20"/>
                <w:szCs w:val="20"/>
                <w:color w:val="auto"/>
              </w:rPr>
            </w:pPr>
            <w:r>
              <w:rPr>
                <w:rFonts w:ascii="Arial" w:cs="Arial" w:eastAsia="Arial" w:hAnsi="Arial"/>
                <w:sz w:val="16"/>
                <w:szCs w:val="16"/>
                <w:color w:val="auto"/>
              </w:rPr>
              <w:t>$280 - $330 million</w:t>
            </w:r>
          </w:p>
        </w:tc>
        <w:tc>
          <w:tcPr>
            <w:tcW w:w="1960" w:type="dxa"/>
            <w:vAlign w:val="bottom"/>
            <w:tcBorders>
              <w:right w:val="single" w:sz="8" w:color="00B050"/>
            </w:tcBorders>
            <w:gridSpan w:val="2"/>
          </w:tcPr>
          <w:p>
            <w:pPr>
              <w:jc w:val="center"/>
              <w:spacing w:after="0"/>
              <w:rPr>
                <w:sz w:val="20"/>
                <w:szCs w:val="20"/>
                <w:color w:val="auto"/>
              </w:rPr>
            </w:pPr>
            <w:r>
              <w:rPr>
                <w:rFonts w:ascii="Arial" w:cs="Arial" w:eastAsia="Arial" w:hAnsi="Arial"/>
                <w:sz w:val="16"/>
                <w:szCs w:val="16"/>
                <w:color w:val="auto"/>
                <w:w w:val="99"/>
              </w:rPr>
              <w:t>$110 - $120 million</w:t>
            </w:r>
          </w:p>
        </w:tc>
        <w:tc>
          <w:tcPr>
            <w:tcW w:w="0" w:type="dxa"/>
            <w:vAlign w:val="bottom"/>
          </w:tcPr>
          <w:p>
            <w:pPr>
              <w:spacing w:after="0"/>
              <w:rPr>
                <w:sz w:val="1"/>
                <w:szCs w:val="1"/>
                <w:color w:val="auto"/>
              </w:rPr>
            </w:pPr>
          </w:p>
        </w:tc>
      </w:tr>
      <w:tr>
        <w:trPr>
          <w:trHeight w:val="162"/>
        </w:trPr>
        <w:tc>
          <w:tcPr>
            <w:tcW w:w="5080" w:type="dxa"/>
            <w:vAlign w:val="bottom"/>
            <w:tcBorders>
              <w:left w:val="single" w:sz="8" w:color="A6A6A6"/>
              <w:right w:val="single" w:sz="8" w:color="A6A6A6"/>
            </w:tcBorders>
          </w:tcPr>
          <w:p>
            <w:pPr>
              <w:ind w:left="380"/>
              <w:spacing w:after="0"/>
              <w:rPr>
                <w:sz w:val="20"/>
                <w:szCs w:val="20"/>
                <w:color w:val="auto"/>
              </w:rPr>
            </w:pPr>
            <w:r>
              <w:rPr>
                <w:rFonts w:ascii="Arial" w:cs="Arial" w:eastAsia="Arial" w:hAnsi="Arial"/>
                <w:sz w:val="14"/>
                <w:szCs w:val="14"/>
                <w:color w:val="auto"/>
              </w:rPr>
              <w:t>Core Corporate Costs</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4"/>
                <w:szCs w:val="14"/>
                <w:color w:val="auto"/>
              </w:rPr>
              <w:t>$142 million</w:t>
            </w:r>
          </w:p>
        </w:tc>
        <w:tc>
          <w:tcPr>
            <w:tcW w:w="2060" w:type="dxa"/>
            <w:vAlign w:val="bottom"/>
          </w:tcPr>
          <w:p>
            <w:pPr>
              <w:jc w:val="center"/>
              <w:spacing w:after="0"/>
              <w:rPr>
                <w:sz w:val="20"/>
                <w:szCs w:val="20"/>
                <w:color w:val="auto"/>
              </w:rPr>
            </w:pPr>
            <w:r>
              <w:rPr>
                <w:rFonts w:ascii="Arial" w:cs="Arial" w:eastAsia="Arial" w:hAnsi="Arial"/>
                <w:sz w:val="14"/>
                <w:szCs w:val="14"/>
                <w:color w:val="auto"/>
              </w:rPr>
              <w:t>$120 - $130 million</w:t>
            </w:r>
          </w:p>
        </w:tc>
        <w:tc>
          <w:tcPr>
            <w:tcW w:w="1960" w:type="dxa"/>
            <w:vAlign w:val="bottom"/>
            <w:tcBorders>
              <w:right w:val="single" w:sz="8" w:color="00B050"/>
            </w:tcBorders>
            <w:gridSpan w:val="2"/>
          </w:tcPr>
          <w:p>
            <w:pPr>
              <w:jc w:val="center"/>
              <w:spacing w:after="0"/>
              <w:rPr>
                <w:sz w:val="20"/>
                <w:szCs w:val="20"/>
                <w:color w:val="auto"/>
              </w:rPr>
            </w:pPr>
            <w:r>
              <w:rPr>
                <w:rFonts w:ascii="Arial" w:cs="Arial" w:eastAsia="Arial" w:hAnsi="Arial"/>
                <w:sz w:val="14"/>
                <w:szCs w:val="14"/>
                <w:color w:val="auto"/>
              </w:rPr>
              <w:t>$110 - $120 million</w:t>
            </w:r>
          </w:p>
        </w:tc>
        <w:tc>
          <w:tcPr>
            <w:tcW w:w="0" w:type="dxa"/>
            <w:vAlign w:val="bottom"/>
          </w:tcPr>
          <w:p>
            <w:pPr>
              <w:spacing w:after="0"/>
              <w:rPr>
                <w:sz w:val="1"/>
                <w:szCs w:val="1"/>
                <w:color w:val="auto"/>
              </w:rPr>
            </w:pPr>
          </w:p>
        </w:tc>
      </w:tr>
      <w:tr>
        <w:trPr>
          <w:trHeight w:val="190"/>
        </w:trPr>
        <w:tc>
          <w:tcPr>
            <w:tcW w:w="5080" w:type="dxa"/>
            <w:vAlign w:val="bottom"/>
            <w:tcBorders>
              <w:left w:val="single" w:sz="8" w:color="A6A6A6"/>
              <w:right w:val="single" w:sz="8" w:color="A6A6A6"/>
            </w:tcBorders>
          </w:tcPr>
          <w:p>
            <w:pPr>
              <w:ind w:left="380"/>
              <w:spacing w:after="0"/>
              <w:rPr>
                <w:sz w:val="20"/>
                <w:szCs w:val="20"/>
                <w:color w:val="auto"/>
              </w:rPr>
            </w:pPr>
            <w:r>
              <w:rPr>
                <w:rFonts w:ascii="Arial" w:cs="Arial" w:eastAsia="Arial" w:hAnsi="Arial"/>
                <w:sz w:val="14"/>
                <w:szCs w:val="14"/>
                <w:color w:val="auto"/>
              </w:rPr>
              <w:t>Change Program Opex</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4"/>
                <w:szCs w:val="14"/>
                <w:color w:val="auto"/>
              </w:rPr>
              <w:t>$183 million</w:t>
            </w:r>
          </w:p>
        </w:tc>
        <w:tc>
          <w:tcPr>
            <w:tcW w:w="2060" w:type="dxa"/>
            <w:vAlign w:val="bottom"/>
          </w:tcPr>
          <w:p>
            <w:pPr>
              <w:jc w:val="center"/>
              <w:spacing w:after="0"/>
              <w:rPr>
                <w:sz w:val="20"/>
                <w:szCs w:val="20"/>
                <w:color w:val="auto"/>
              </w:rPr>
            </w:pPr>
            <w:r>
              <w:rPr>
                <w:rFonts w:ascii="Arial" w:cs="Arial" w:eastAsia="Arial" w:hAnsi="Arial"/>
                <w:sz w:val="14"/>
                <w:szCs w:val="14"/>
                <w:color w:val="auto"/>
              </w:rPr>
              <w:t>$160 - $200 million</w:t>
            </w:r>
          </w:p>
        </w:tc>
        <w:tc>
          <w:tcPr>
            <w:tcW w:w="1960" w:type="dxa"/>
            <w:vAlign w:val="bottom"/>
            <w:tcBorders>
              <w:right w:val="single" w:sz="8" w:color="00B050"/>
            </w:tcBorders>
            <w:gridSpan w:val="2"/>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8"/>
        </w:trPr>
        <w:tc>
          <w:tcPr>
            <w:tcW w:w="5080" w:type="dxa"/>
            <w:vAlign w:val="bottom"/>
            <w:tcBorders>
              <w:left w:val="single" w:sz="8" w:color="A6A6A6"/>
              <w:right w:val="single" w:sz="8" w:color="A6A6A6"/>
            </w:tcBorders>
          </w:tcPr>
          <w:p>
            <w:pPr>
              <w:spacing w:after="0"/>
              <w:rPr>
                <w:sz w:val="4"/>
                <w:szCs w:val="4"/>
                <w:color w:val="auto"/>
              </w:rPr>
            </w:pPr>
          </w:p>
        </w:tc>
        <w:tc>
          <w:tcPr>
            <w:tcW w:w="2160" w:type="dxa"/>
            <w:vAlign w:val="bottom"/>
            <w:tcBorders>
              <w:right w:val="single" w:sz="8" w:color="00B050"/>
            </w:tcBorders>
          </w:tcPr>
          <w:p>
            <w:pPr>
              <w:spacing w:after="0"/>
              <w:rPr>
                <w:sz w:val="4"/>
                <w:szCs w:val="4"/>
                <w:color w:val="auto"/>
              </w:rPr>
            </w:pPr>
          </w:p>
        </w:tc>
        <w:tc>
          <w:tcPr>
            <w:tcW w:w="2060" w:type="dxa"/>
            <w:vAlign w:val="bottom"/>
          </w:tcPr>
          <w:p>
            <w:pPr>
              <w:spacing w:after="0"/>
              <w:rPr>
                <w:sz w:val="4"/>
                <w:szCs w:val="4"/>
                <w:color w:val="auto"/>
              </w:rPr>
            </w:pPr>
          </w:p>
        </w:tc>
        <w:tc>
          <w:tcPr>
            <w:tcW w:w="1960" w:type="dxa"/>
            <w:vAlign w:val="bottom"/>
            <w:tcBorders>
              <w:right w:val="single" w:sz="8" w:color="00B05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080" w:type="dxa"/>
            <w:vAlign w:val="bottom"/>
            <w:tcBorders>
              <w:left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Free Cash Flow</w:t>
            </w:r>
            <w:r>
              <w:rPr>
                <w:rFonts w:ascii="Arial" w:cs="Arial" w:eastAsia="Arial" w:hAnsi="Arial"/>
                <w:sz w:val="24"/>
                <w:szCs w:val="24"/>
                <w:color w:val="auto"/>
                <w:vertAlign w:val="superscript"/>
              </w:rPr>
              <w:t>(1)</w:t>
            </w:r>
          </w:p>
        </w:tc>
        <w:tc>
          <w:tcPr>
            <w:tcW w:w="2160" w:type="dxa"/>
            <w:vAlign w:val="bottom"/>
            <w:tcBorders>
              <w:right w:val="single" w:sz="8" w:color="00B050"/>
            </w:tcBorders>
            <w:shd w:val="clear" w:color="auto" w:fill="F2F2F2"/>
          </w:tcPr>
          <w:p>
            <w:pPr>
              <w:jc w:val="center"/>
              <w:ind w:left="37"/>
              <w:spacing w:after="0"/>
              <w:rPr>
                <w:sz w:val="20"/>
                <w:szCs w:val="20"/>
                <w:color w:val="auto"/>
              </w:rPr>
            </w:pPr>
            <w:r>
              <w:rPr>
                <w:rFonts w:ascii="Arial" w:cs="Arial" w:eastAsia="Arial" w:hAnsi="Arial"/>
                <w:sz w:val="16"/>
                <w:szCs w:val="16"/>
                <w:color w:val="auto"/>
                <w:w w:val="99"/>
              </w:rPr>
              <w:t>$1.3 billion</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 $1.3 billion</w:t>
            </w:r>
          </w:p>
        </w:tc>
        <w:tc>
          <w:tcPr>
            <w:tcW w:w="1960" w:type="dxa"/>
            <w:vAlign w:val="bottom"/>
            <w:tcBorders>
              <w:right w:val="single" w:sz="8" w:color="00B050"/>
            </w:tcBorders>
            <w:gridSpan w:val="2"/>
            <w:shd w:val="clear" w:color="auto" w:fill="F2F2F2"/>
          </w:tcPr>
          <w:p>
            <w:pPr>
              <w:jc w:val="center"/>
              <w:spacing w:after="0"/>
              <w:rPr>
                <w:sz w:val="20"/>
                <w:szCs w:val="20"/>
                <w:color w:val="auto"/>
              </w:rPr>
            </w:pPr>
            <w:r>
              <w:rPr>
                <w:rFonts w:ascii="Arial" w:cs="Arial" w:eastAsia="Arial" w:hAnsi="Arial"/>
                <w:sz w:val="16"/>
                <w:szCs w:val="16"/>
                <w:color w:val="auto"/>
              </w:rPr>
              <w:t>$1.9 – $2.0 billion</w:t>
            </w:r>
          </w:p>
        </w:tc>
        <w:tc>
          <w:tcPr>
            <w:tcW w:w="0" w:type="dxa"/>
            <w:vAlign w:val="bottom"/>
          </w:tcPr>
          <w:p>
            <w:pPr>
              <w:spacing w:after="0"/>
              <w:rPr>
                <w:sz w:val="1"/>
                <w:szCs w:val="1"/>
                <w:color w:val="auto"/>
              </w:rPr>
            </w:pPr>
          </w:p>
        </w:tc>
      </w:tr>
      <w:tr>
        <w:trPr>
          <w:trHeight w:val="247"/>
        </w:trPr>
        <w:tc>
          <w:tcPr>
            <w:tcW w:w="5080" w:type="dxa"/>
            <w:vAlign w:val="bottom"/>
            <w:tcBorders>
              <w:left w:val="single" w:sz="8" w:color="A6A6A6"/>
              <w:right w:val="single" w:sz="8" w:color="A6A6A6"/>
            </w:tcBorders>
          </w:tcPr>
          <w:p>
            <w:pPr>
              <w:ind w:left="160"/>
              <w:spacing w:after="0" w:line="248" w:lineRule="exact"/>
              <w:rPr>
                <w:sz w:val="20"/>
                <w:szCs w:val="20"/>
                <w:color w:val="auto"/>
              </w:rPr>
            </w:pPr>
            <w:r>
              <w:rPr>
                <w:rFonts w:ascii="Arial" w:cs="Arial" w:eastAsia="Arial" w:hAnsi="Arial"/>
                <w:sz w:val="16"/>
                <w:szCs w:val="16"/>
                <w:color w:val="auto"/>
              </w:rPr>
              <w:t>Accrued Capex as % of Revenue</w:t>
            </w:r>
            <w:r>
              <w:rPr>
                <w:rFonts w:ascii="Arial" w:cs="Arial" w:eastAsia="Arial" w:hAnsi="Arial"/>
                <w:sz w:val="24"/>
                <w:szCs w:val="24"/>
                <w:color w:val="auto"/>
                <w:vertAlign w:val="superscript"/>
              </w:rPr>
              <w:t>(1)</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6"/>
                <w:szCs w:val="16"/>
                <w:color w:val="auto"/>
                <w:w w:val="98"/>
              </w:rPr>
              <w:t>8.5%</w:t>
            </w:r>
          </w:p>
        </w:tc>
        <w:tc>
          <w:tcPr>
            <w:tcW w:w="2060" w:type="dxa"/>
            <w:vAlign w:val="bottom"/>
          </w:tcPr>
          <w:p>
            <w:pPr>
              <w:jc w:val="center"/>
              <w:spacing w:after="0"/>
              <w:rPr>
                <w:sz w:val="20"/>
                <w:szCs w:val="20"/>
                <w:color w:val="auto"/>
              </w:rPr>
            </w:pPr>
            <w:r>
              <w:rPr>
                <w:rFonts w:ascii="Arial" w:cs="Arial" w:eastAsia="Arial" w:hAnsi="Arial"/>
                <w:sz w:val="16"/>
                <w:szCs w:val="16"/>
                <w:color w:val="auto"/>
              </w:rPr>
              <w:t>7.5% - 8.0%</w:t>
            </w: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1000" w:type="dxa"/>
            <w:vAlign w:val="bottom"/>
            <w:tcBorders>
              <w:right w:val="single" w:sz="8" w:color="00B050"/>
            </w:tcBorders>
          </w:tcPr>
          <w:p>
            <w:pPr>
              <w:ind w:left="20"/>
              <w:spacing w:after="0"/>
              <w:rPr>
                <w:sz w:val="20"/>
                <w:szCs w:val="20"/>
                <w:color w:val="auto"/>
              </w:rPr>
            </w:pPr>
            <w:r>
              <w:rPr>
                <w:rFonts w:ascii="Arial" w:cs="Arial" w:eastAsia="Arial" w:hAnsi="Arial"/>
                <w:sz w:val="16"/>
                <w:szCs w:val="16"/>
                <w:color w:val="auto"/>
              </w:rPr>
              <w:t>- 6.5%</w:t>
            </w:r>
          </w:p>
        </w:tc>
        <w:tc>
          <w:tcPr>
            <w:tcW w:w="0" w:type="dxa"/>
            <w:vAlign w:val="bottom"/>
          </w:tcPr>
          <w:p>
            <w:pPr>
              <w:spacing w:after="0"/>
              <w:rPr>
                <w:sz w:val="1"/>
                <w:szCs w:val="1"/>
                <w:color w:val="auto"/>
              </w:rPr>
            </w:pPr>
          </w:p>
        </w:tc>
      </w:tr>
      <w:tr>
        <w:trPr>
          <w:trHeight w:val="190"/>
        </w:trPr>
        <w:tc>
          <w:tcPr>
            <w:tcW w:w="5080" w:type="dxa"/>
            <w:vAlign w:val="bottom"/>
            <w:tcBorders>
              <w:left w:val="single" w:sz="8" w:color="A6A6A6"/>
              <w:right w:val="single" w:sz="8" w:color="A6A6A6"/>
            </w:tcBorders>
          </w:tcPr>
          <w:p>
            <w:pPr>
              <w:ind w:left="380"/>
              <w:spacing w:after="0"/>
              <w:rPr>
                <w:sz w:val="20"/>
                <w:szCs w:val="20"/>
                <w:color w:val="auto"/>
              </w:rPr>
            </w:pPr>
            <w:r>
              <w:rPr>
                <w:rFonts w:ascii="Arial" w:cs="Arial" w:eastAsia="Arial" w:hAnsi="Arial"/>
                <w:sz w:val="14"/>
                <w:szCs w:val="14"/>
                <w:color w:val="auto"/>
              </w:rPr>
              <w:t>Change Program Accrued Capex</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4"/>
                <w:szCs w:val="14"/>
                <w:color w:val="auto"/>
              </w:rPr>
              <w:t>$112 million</w:t>
            </w:r>
          </w:p>
        </w:tc>
        <w:tc>
          <w:tcPr>
            <w:tcW w:w="2060" w:type="dxa"/>
            <w:vAlign w:val="bottom"/>
          </w:tcPr>
          <w:p>
            <w:pPr>
              <w:jc w:val="center"/>
              <w:spacing w:after="0"/>
              <w:rPr>
                <w:sz w:val="20"/>
                <w:szCs w:val="20"/>
                <w:color w:val="auto"/>
              </w:rPr>
            </w:pPr>
            <w:r>
              <w:rPr>
                <w:rFonts w:ascii="Arial" w:cs="Arial" w:eastAsia="Arial" w:hAnsi="Arial"/>
                <w:sz w:val="14"/>
                <w:szCs w:val="14"/>
                <w:color w:val="auto"/>
              </w:rPr>
              <w:t>$100 - $140 million</w:t>
            </w:r>
          </w:p>
        </w:tc>
        <w:tc>
          <w:tcPr>
            <w:tcW w:w="1960" w:type="dxa"/>
            <w:vAlign w:val="bottom"/>
            <w:tcBorders>
              <w:right w:val="single" w:sz="8" w:color="00B050"/>
            </w:tcBorders>
            <w:gridSpan w:val="2"/>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9"/>
        </w:trPr>
        <w:tc>
          <w:tcPr>
            <w:tcW w:w="5080" w:type="dxa"/>
            <w:vAlign w:val="bottom"/>
            <w:tcBorders>
              <w:left w:val="single" w:sz="8" w:color="A6A6A6"/>
              <w:right w:val="single" w:sz="8" w:color="A6A6A6"/>
            </w:tcBorders>
          </w:tcPr>
          <w:p>
            <w:pPr>
              <w:spacing w:after="0"/>
              <w:rPr>
                <w:sz w:val="4"/>
                <w:szCs w:val="4"/>
                <w:color w:val="auto"/>
              </w:rPr>
            </w:pPr>
          </w:p>
        </w:tc>
        <w:tc>
          <w:tcPr>
            <w:tcW w:w="2160" w:type="dxa"/>
            <w:vAlign w:val="bottom"/>
            <w:tcBorders>
              <w:right w:val="single" w:sz="8" w:color="00B050"/>
            </w:tcBorders>
          </w:tcPr>
          <w:p>
            <w:pPr>
              <w:spacing w:after="0"/>
              <w:rPr>
                <w:sz w:val="4"/>
                <w:szCs w:val="4"/>
                <w:color w:val="auto"/>
              </w:rPr>
            </w:pPr>
          </w:p>
        </w:tc>
        <w:tc>
          <w:tcPr>
            <w:tcW w:w="2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Borders>
              <w:right w:val="single" w:sz="8" w:color="00B050"/>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080" w:type="dxa"/>
            <w:vAlign w:val="bottom"/>
            <w:tcBorders>
              <w:left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Depreciation &amp; Amortization of</w:t>
            </w:r>
          </w:p>
        </w:tc>
        <w:tc>
          <w:tcPr>
            <w:tcW w:w="2160" w:type="dxa"/>
            <w:vAlign w:val="bottom"/>
            <w:tcBorders>
              <w:right w:val="single" w:sz="8" w:color="00B050"/>
            </w:tcBorders>
            <w:vMerge w:val="restart"/>
            <w:shd w:val="clear" w:color="auto" w:fill="F2F2F2"/>
          </w:tcPr>
          <w:p>
            <w:pPr>
              <w:jc w:val="center"/>
              <w:ind w:left="37"/>
              <w:spacing w:after="0"/>
              <w:rPr>
                <w:sz w:val="20"/>
                <w:szCs w:val="20"/>
                <w:color w:val="auto"/>
              </w:rPr>
            </w:pPr>
            <w:r>
              <w:rPr>
                <w:rFonts w:ascii="Arial" w:cs="Arial" w:eastAsia="Arial" w:hAnsi="Arial"/>
                <w:sz w:val="16"/>
                <w:szCs w:val="16"/>
                <w:color w:val="auto"/>
              </w:rPr>
              <w:t>$651 million</w:t>
            </w:r>
          </w:p>
        </w:tc>
        <w:tc>
          <w:tcPr>
            <w:tcW w:w="20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$620 - $645 million</w:t>
            </w:r>
          </w:p>
        </w:tc>
        <w:tc>
          <w:tcPr>
            <w:tcW w:w="1960" w:type="dxa"/>
            <w:vAlign w:val="bottom"/>
            <w:tcBorders>
              <w:right w:val="single" w:sz="8" w:color="00B050"/>
            </w:tcBorders>
            <w:gridSpan w:val="2"/>
            <w:vMerge w:val="restart"/>
            <w:shd w:val="clear" w:color="auto" w:fill="F2F2F2"/>
          </w:tcPr>
          <w:p>
            <w:pPr>
              <w:jc w:val="center"/>
              <w:spacing w:after="0"/>
              <w:rPr>
                <w:sz w:val="20"/>
                <w:szCs w:val="20"/>
                <w:color w:val="auto"/>
              </w:rPr>
            </w:pPr>
            <w:r>
              <w:rPr>
                <w:rFonts w:ascii="Arial" w:cs="Arial" w:eastAsia="Arial" w:hAnsi="Arial"/>
                <w:sz w:val="16"/>
                <w:szCs w:val="16"/>
                <w:color w:val="auto"/>
              </w:rPr>
              <w:t>$580 - $605 million</w:t>
            </w:r>
          </w:p>
        </w:tc>
        <w:tc>
          <w:tcPr>
            <w:tcW w:w="0" w:type="dxa"/>
            <w:vAlign w:val="bottom"/>
          </w:tcPr>
          <w:p>
            <w:pPr>
              <w:spacing w:after="0"/>
              <w:rPr>
                <w:sz w:val="1"/>
                <w:szCs w:val="1"/>
                <w:color w:val="auto"/>
              </w:rPr>
            </w:pPr>
          </w:p>
        </w:tc>
      </w:tr>
      <w:tr>
        <w:trPr>
          <w:trHeight w:val="120"/>
        </w:trPr>
        <w:tc>
          <w:tcPr>
            <w:tcW w:w="5080" w:type="dxa"/>
            <w:vAlign w:val="bottom"/>
            <w:tcBorders>
              <w:left w:val="single" w:sz="8" w:color="A6A6A6"/>
              <w:right w:val="single" w:sz="8" w:color="A6A6A6"/>
            </w:tcBorders>
            <w:vMerge w:val="restart"/>
            <w:shd w:val="clear" w:color="auto" w:fill="F2F2F2"/>
          </w:tcPr>
          <w:p>
            <w:pPr>
              <w:ind w:left="160"/>
              <w:spacing w:after="0"/>
              <w:rPr>
                <w:sz w:val="20"/>
                <w:szCs w:val="20"/>
                <w:color w:val="auto"/>
              </w:rPr>
            </w:pPr>
            <w:r>
              <w:rPr>
                <w:rFonts w:ascii="Arial" w:cs="Arial" w:eastAsia="Arial" w:hAnsi="Arial"/>
                <w:sz w:val="16"/>
                <w:szCs w:val="16"/>
                <w:color w:val="auto"/>
              </w:rPr>
              <w:t>Computer Software</w:t>
            </w:r>
          </w:p>
        </w:tc>
        <w:tc>
          <w:tcPr>
            <w:tcW w:w="2160" w:type="dxa"/>
            <w:vAlign w:val="bottom"/>
            <w:tcBorders>
              <w:right w:val="single" w:sz="8" w:color="00B050"/>
            </w:tcBorders>
            <w:vMerge w:val="continue"/>
            <w:shd w:val="clear" w:color="auto" w:fill="F2F2F2"/>
          </w:tcPr>
          <w:p>
            <w:pPr>
              <w:spacing w:after="0"/>
              <w:rPr>
                <w:sz w:val="10"/>
                <w:szCs w:val="10"/>
                <w:color w:val="auto"/>
              </w:rPr>
            </w:pPr>
          </w:p>
        </w:tc>
        <w:tc>
          <w:tcPr>
            <w:tcW w:w="2060" w:type="dxa"/>
            <w:vAlign w:val="bottom"/>
            <w:vMerge w:val="continue"/>
            <w:shd w:val="clear" w:color="auto" w:fill="F2F2F2"/>
          </w:tcPr>
          <w:p>
            <w:pPr>
              <w:spacing w:after="0"/>
              <w:rPr>
                <w:sz w:val="10"/>
                <w:szCs w:val="10"/>
                <w:color w:val="auto"/>
              </w:rPr>
            </w:pPr>
          </w:p>
        </w:tc>
        <w:tc>
          <w:tcPr>
            <w:tcW w:w="1960" w:type="dxa"/>
            <w:vAlign w:val="bottom"/>
            <w:tcBorders>
              <w:right w:val="single" w:sz="8" w:color="00B050"/>
            </w:tcBorders>
            <w:gridSpan w:val="2"/>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080" w:type="dxa"/>
            <w:vAlign w:val="bottom"/>
            <w:tcBorders>
              <w:left w:val="single" w:sz="8" w:color="A6A6A6"/>
              <w:bottom w:val="single" w:sz="8" w:color="F2F2F2"/>
              <w:right w:val="single" w:sz="8" w:color="A6A6A6"/>
            </w:tcBorders>
            <w:vMerge w:val="continue"/>
            <w:shd w:val="clear" w:color="auto" w:fill="F2F2F2"/>
          </w:tcPr>
          <w:p>
            <w:pPr>
              <w:spacing w:after="0"/>
              <w:rPr>
                <w:sz w:val="11"/>
                <w:szCs w:val="11"/>
                <w:color w:val="auto"/>
              </w:rPr>
            </w:pPr>
          </w:p>
        </w:tc>
        <w:tc>
          <w:tcPr>
            <w:tcW w:w="2160" w:type="dxa"/>
            <w:vAlign w:val="bottom"/>
            <w:tcBorders>
              <w:bottom w:val="single" w:sz="8" w:color="F2F2F2"/>
              <w:right w:val="single" w:sz="8" w:color="00B050"/>
            </w:tcBorders>
            <w:shd w:val="clear" w:color="auto" w:fill="F2F2F2"/>
          </w:tcPr>
          <w:p>
            <w:pPr>
              <w:spacing w:after="0"/>
              <w:rPr>
                <w:sz w:val="11"/>
                <w:szCs w:val="11"/>
                <w:color w:val="auto"/>
              </w:rPr>
            </w:pPr>
          </w:p>
        </w:tc>
        <w:tc>
          <w:tcPr>
            <w:tcW w:w="2060" w:type="dxa"/>
            <w:vAlign w:val="bottom"/>
            <w:tcBorders>
              <w:bottom w:val="single" w:sz="8" w:color="F2F2F2"/>
            </w:tcBorders>
            <w:shd w:val="clear" w:color="auto" w:fill="F2F2F2"/>
          </w:tcPr>
          <w:p>
            <w:pPr>
              <w:spacing w:after="0"/>
              <w:rPr>
                <w:sz w:val="11"/>
                <w:szCs w:val="11"/>
                <w:color w:val="auto"/>
              </w:rPr>
            </w:pPr>
          </w:p>
        </w:tc>
        <w:tc>
          <w:tcPr>
            <w:tcW w:w="960" w:type="dxa"/>
            <w:vAlign w:val="bottom"/>
            <w:tcBorders>
              <w:bottom w:val="single" w:sz="8" w:color="F2F2F2"/>
            </w:tcBorders>
            <w:shd w:val="clear" w:color="auto" w:fill="F2F2F2"/>
          </w:tcPr>
          <w:p>
            <w:pPr>
              <w:spacing w:after="0"/>
              <w:rPr>
                <w:sz w:val="11"/>
                <w:szCs w:val="11"/>
                <w:color w:val="auto"/>
              </w:rPr>
            </w:pPr>
          </w:p>
        </w:tc>
        <w:tc>
          <w:tcPr>
            <w:tcW w:w="1000" w:type="dxa"/>
            <w:vAlign w:val="bottom"/>
            <w:tcBorders>
              <w:bottom w:val="single" w:sz="8" w:color="F2F2F2"/>
              <w:right w:val="single" w:sz="8" w:color="00B050"/>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508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Interest Expense (P&amp;L)</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6"/>
                <w:szCs w:val="16"/>
                <w:color w:val="auto"/>
              </w:rPr>
              <w:t>$196 million</w:t>
            </w:r>
          </w:p>
        </w:tc>
        <w:tc>
          <w:tcPr>
            <w:tcW w:w="2060" w:type="dxa"/>
            <w:vAlign w:val="bottom"/>
          </w:tcPr>
          <w:p>
            <w:pPr>
              <w:jc w:val="center"/>
              <w:spacing w:after="0"/>
              <w:rPr>
                <w:sz w:val="20"/>
                <w:szCs w:val="20"/>
                <w:color w:val="auto"/>
              </w:rPr>
            </w:pPr>
            <w:r>
              <w:rPr>
                <w:rFonts w:ascii="Arial" w:cs="Arial" w:eastAsia="Arial" w:hAnsi="Arial"/>
                <w:sz w:val="16"/>
                <w:szCs w:val="16"/>
                <w:color w:val="auto"/>
              </w:rPr>
              <w:t>$190 - $210 million</w:t>
            </w:r>
          </w:p>
        </w:tc>
        <w:tc>
          <w:tcPr>
            <w:tcW w:w="1960" w:type="dxa"/>
            <w:vAlign w:val="bottom"/>
            <w:tcBorders>
              <w:right w:val="single" w:sz="8" w:color="00B050"/>
            </w:tcBorders>
            <w:gridSpan w:val="2"/>
          </w:tcPr>
          <w:p>
            <w:pPr>
              <w:jc w:val="center"/>
              <w:spacing w:after="0"/>
              <w:rPr>
                <w:sz w:val="20"/>
                <w:szCs w:val="20"/>
                <w:color w:val="auto"/>
              </w:rPr>
            </w:pPr>
            <w:r>
              <w:rPr>
                <w:rFonts w:ascii="Arial" w:cs="Arial" w:eastAsia="Arial" w:hAnsi="Arial"/>
                <w:sz w:val="16"/>
                <w:szCs w:val="16"/>
                <w:color w:val="auto"/>
              </w:rPr>
              <w:t>$190 - $210 million</w:t>
            </w:r>
          </w:p>
        </w:tc>
        <w:tc>
          <w:tcPr>
            <w:tcW w:w="0" w:type="dxa"/>
            <w:vAlign w:val="bottom"/>
          </w:tcPr>
          <w:p>
            <w:pPr>
              <w:spacing w:after="0"/>
              <w:rPr>
                <w:sz w:val="1"/>
                <w:szCs w:val="1"/>
                <w:color w:val="auto"/>
              </w:rPr>
            </w:pPr>
          </w:p>
        </w:tc>
      </w:tr>
      <w:tr>
        <w:trPr>
          <w:trHeight w:val="43"/>
        </w:trPr>
        <w:tc>
          <w:tcPr>
            <w:tcW w:w="5080" w:type="dxa"/>
            <w:vAlign w:val="bottom"/>
            <w:tcBorders>
              <w:left w:val="single" w:sz="8" w:color="A6A6A6"/>
              <w:right w:val="single" w:sz="8" w:color="A6A6A6"/>
            </w:tcBorders>
          </w:tcPr>
          <w:p>
            <w:pPr>
              <w:spacing w:after="0"/>
              <w:rPr>
                <w:sz w:val="3"/>
                <w:szCs w:val="3"/>
                <w:color w:val="auto"/>
              </w:rPr>
            </w:pPr>
          </w:p>
        </w:tc>
        <w:tc>
          <w:tcPr>
            <w:tcW w:w="2160" w:type="dxa"/>
            <w:vAlign w:val="bottom"/>
            <w:tcBorders>
              <w:right w:val="single" w:sz="8" w:color="00B050"/>
            </w:tcBorders>
          </w:tcPr>
          <w:p>
            <w:pPr>
              <w:spacing w:after="0"/>
              <w:rPr>
                <w:sz w:val="3"/>
                <w:szCs w:val="3"/>
                <w:color w:val="auto"/>
              </w:rPr>
            </w:pPr>
          </w:p>
        </w:tc>
        <w:tc>
          <w:tcPr>
            <w:tcW w:w="2060" w:type="dxa"/>
            <w:vAlign w:val="bottom"/>
          </w:tcPr>
          <w:p>
            <w:pPr>
              <w:spacing w:after="0"/>
              <w:rPr>
                <w:sz w:val="3"/>
                <w:szCs w:val="3"/>
                <w:color w:val="auto"/>
              </w:rPr>
            </w:pPr>
          </w:p>
        </w:tc>
        <w:tc>
          <w:tcPr>
            <w:tcW w:w="1960" w:type="dxa"/>
            <w:vAlign w:val="bottom"/>
            <w:tcBorders>
              <w:right w:val="single" w:sz="8" w:color="00B05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5080" w:type="dxa"/>
            <w:vAlign w:val="bottom"/>
            <w:tcBorders>
              <w:left w:val="single" w:sz="8" w:color="A6A6A6"/>
              <w:bottom w:val="single" w:sz="8" w:color="A6A6A6"/>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Effective Tax Rate on Adjusted Earnings</w:t>
            </w:r>
            <w:r>
              <w:rPr>
                <w:rFonts w:ascii="Arial" w:cs="Arial" w:eastAsia="Arial" w:hAnsi="Arial"/>
                <w:sz w:val="24"/>
                <w:szCs w:val="24"/>
                <w:color w:val="auto"/>
                <w:vertAlign w:val="superscript"/>
              </w:rPr>
              <w:t>(1)</w:t>
            </w:r>
          </w:p>
        </w:tc>
        <w:tc>
          <w:tcPr>
            <w:tcW w:w="2160" w:type="dxa"/>
            <w:vAlign w:val="bottom"/>
            <w:tcBorders>
              <w:bottom w:val="single" w:sz="8" w:color="A6A6A6"/>
              <w:right w:val="single" w:sz="8" w:color="00B050"/>
            </w:tcBorders>
            <w:shd w:val="clear" w:color="auto" w:fill="F2F2F2"/>
          </w:tcPr>
          <w:p>
            <w:pPr>
              <w:jc w:val="center"/>
              <w:ind w:left="17"/>
              <w:spacing w:after="0"/>
              <w:rPr>
                <w:sz w:val="20"/>
                <w:szCs w:val="20"/>
                <w:color w:val="auto"/>
              </w:rPr>
            </w:pPr>
            <w:r>
              <w:rPr>
                <w:rFonts w:ascii="Arial" w:cs="Arial" w:eastAsia="Arial" w:hAnsi="Arial"/>
                <w:sz w:val="16"/>
                <w:szCs w:val="16"/>
                <w:color w:val="auto"/>
              </w:rPr>
              <w:t>13.9%</w:t>
            </w:r>
          </w:p>
        </w:tc>
        <w:tc>
          <w:tcPr>
            <w:tcW w:w="2060" w:type="dxa"/>
            <w:vAlign w:val="bottom"/>
            <w:tcBorders>
              <w:bottom w:val="single" w:sz="8" w:color="A6A6A6"/>
            </w:tcBorders>
            <w:shd w:val="clear" w:color="auto" w:fill="F2F2F2"/>
          </w:tcPr>
          <w:p>
            <w:pPr>
              <w:jc w:val="center"/>
              <w:spacing w:after="0"/>
              <w:rPr>
                <w:sz w:val="20"/>
                <w:szCs w:val="20"/>
                <w:color w:val="auto"/>
              </w:rPr>
            </w:pPr>
            <w:r>
              <w:rPr>
                <w:rFonts w:ascii="Arial" w:cs="Arial" w:eastAsia="Arial" w:hAnsi="Arial"/>
                <w:sz w:val="16"/>
                <w:szCs w:val="16"/>
                <w:color w:val="auto"/>
              </w:rPr>
              <w:t>19% - 21%</w:t>
            </w:r>
          </w:p>
        </w:tc>
        <w:tc>
          <w:tcPr>
            <w:tcW w:w="1960" w:type="dxa"/>
            <w:vAlign w:val="bottom"/>
            <w:tcBorders>
              <w:bottom w:val="single" w:sz="8" w:color="A6A6A6"/>
              <w:right w:val="single" w:sz="8" w:color="00B050"/>
            </w:tcBorders>
            <w:gridSpan w:val="2"/>
            <w:shd w:val="clear" w:color="auto" w:fill="F2F2F2"/>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46"/>
        </w:trPr>
        <w:tc>
          <w:tcPr>
            <w:tcW w:w="5080" w:type="dxa"/>
            <w:vAlign w:val="bottom"/>
            <w:tcBorders>
              <w:left w:val="single" w:sz="8" w:color="A6A6A6"/>
              <w:right w:val="single" w:sz="8" w:color="A6A6A6"/>
            </w:tcBorders>
          </w:tcPr>
          <w:p>
            <w:pPr>
              <w:spacing w:after="0"/>
              <w:rPr>
                <w:sz w:val="21"/>
                <w:szCs w:val="21"/>
                <w:color w:val="auto"/>
              </w:rPr>
            </w:pPr>
          </w:p>
        </w:tc>
        <w:tc>
          <w:tcPr>
            <w:tcW w:w="2160" w:type="dxa"/>
            <w:vAlign w:val="bottom"/>
            <w:tcBorders>
              <w:right w:val="single" w:sz="8" w:color="00B050"/>
            </w:tcBorders>
            <w:vMerge w:val="restart"/>
          </w:tcPr>
          <w:p>
            <w:pPr>
              <w:jc w:val="center"/>
              <w:ind w:left="37"/>
              <w:spacing w:after="0"/>
              <w:rPr>
                <w:sz w:val="20"/>
                <w:szCs w:val="20"/>
                <w:color w:val="auto"/>
              </w:rPr>
            </w:pPr>
            <w:r>
              <w:rPr>
                <w:rFonts w:ascii="Arial" w:cs="Arial" w:eastAsia="Arial" w:hAnsi="Arial"/>
                <w:sz w:val="20"/>
                <w:szCs w:val="20"/>
                <w:color w:val="auto"/>
              </w:rPr>
              <w:t>FY 2021</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0070C0"/>
              </w:rPr>
              <w:t>FY 2022</w:t>
            </w:r>
          </w:p>
        </w:tc>
        <w:tc>
          <w:tcPr>
            <w:tcW w:w="1960" w:type="dxa"/>
            <w:vAlign w:val="bottom"/>
            <w:tcBorders>
              <w:right w:val="single" w:sz="8" w:color="00B050"/>
            </w:tcBorders>
            <w:gridSpan w:val="2"/>
          </w:tcPr>
          <w:p>
            <w:pPr>
              <w:jc w:val="center"/>
              <w:spacing w:after="0"/>
              <w:rPr>
                <w:sz w:val="20"/>
                <w:szCs w:val="20"/>
                <w:color w:val="auto"/>
              </w:rPr>
            </w:pPr>
            <w:r>
              <w:rPr>
                <w:rFonts w:ascii="Arial" w:cs="Arial" w:eastAsia="Arial" w:hAnsi="Arial"/>
                <w:sz w:val="20"/>
                <w:szCs w:val="20"/>
                <w:b w:val="1"/>
                <w:bCs w:val="1"/>
                <w:color w:val="0070C0"/>
                <w:w w:val="97"/>
              </w:rPr>
              <w:t>FY 2023</w:t>
            </w:r>
          </w:p>
        </w:tc>
        <w:tc>
          <w:tcPr>
            <w:tcW w:w="0" w:type="dxa"/>
            <w:vAlign w:val="bottom"/>
          </w:tcPr>
          <w:p>
            <w:pPr>
              <w:spacing w:after="0"/>
              <w:rPr>
                <w:sz w:val="1"/>
                <w:szCs w:val="1"/>
                <w:color w:val="auto"/>
              </w:rPr>
            </w:pPr>
          </w:p>
        </w:tc>
      </w:tr>
      <w:tr>
        <w:trPr>
          <w:trHeight w:val="108"/>
        </w:trPr>
        <w:tc>
          <w:tcPr>
            <w:tcW w:w="5080" w:type="dxa"/>
            <w:vAlign w:val="bottom"/>
            <w:tcBorders>
              <w:left w:val="single" w:sz="8" w:color="A6A6A6"/>
              <w:right w:val="single" w:sz="8" w:color="A6A6A6"/>
            </w:tcBorders>
            <w:vMerge w:val="restart"/>
          </w:tcPr>
          <w:p>
            <w:pPr>
              <w:ind w:left="160"/>
              <w:spacing w:after="0" w:line="216" w:lineRule="exact"/>
              <w:rPr>
                <w:sz w:val="20"/>
                <w:szCs w:val="20"/>
                <w:color w:val="auto"/>
              </w:rPr>
            </w:pPr>
            <w:r>
              <w:rPr>
                <w:rFonts w:ascii="Arial" w:cs="Arial" w:eastAsia="Arial" w:hAnsi="Arial"/>
                <w:sz w:val="17"/>
                <w:szCs w:val="17"/>
                <w:b w:val="1"/>
                <w:bCs w:val="1"/>
                <w:color w:val="FA6400"/>
              </w:rPr>
              <w:t>“Big 3” Segments</w:t>
            </w:r>
            <w:r>
              <w:rPr>
                <w:rFonts w:ascii="Arial" w:cs="Arial" w:eastAsia="Arial" w:hAnsi="Arial"/>
                <w:sz w:val="25"/>
                <w:szCs w:val="25"/>
                <w:b w:val="1"/>
                <w:bCs w:val="1"/>
                <w:color w:val="FA6400"/>
                <w:vertAlign w:val="superscript"/>
              </w:rPr>
              <w:t>(1)</w:t>
            </w:r>
          </w:p>
        </w:tc>
        <w:tc>
          <w:tcPr>
            <w:tcW w:w="2160" w:type="dxa"/>
            <w:vAlign w:val="bottom"/>
            <w:tcBorders>
              <w:right w:val="single" w:sz="8" w:color="00B050"/>
            </w:tcBorders>
            <w:vMerge w:val="continue"/>
          </w:tcPr>
          <w:p>
            <w:pPr>
              <w:spacing w:after="0"/>
              <w:rPr>
                <w:sz w:val="9"/>
                <w:szCs w:val="9"/>
                <w:color w:val="auto"/>
              </w:rPr>
            </w:pPr>
          </w:p>
        </w:tc>
        <w:tc>
          <w:tcPr>
            <w:tcW w:w="2060" w:type="dxa"/>
            <w:vAlign w:val="bottom"/>
            <w:vMerge w:val="restart"/>
          </w:tcPr>
          <w:p>
            <w:pPr>
              <w:jc w:val="center"/>
              <w:spacing w:after="0" w:line="216" w:lineRule="exact"/>
              <w:rPr>
                <w:sz w:val="20"/>
                <w:szCs w:val="20"/>
                <w:color w:val="auto"/>
              </w:rPr>
            </w:pPr>
            <w:r>
              <w:rPr>
                <w:rFonts w:ascii="Arial" w:cs="Arial" w:eastAsia="Arial" w:hAnsi="Arial"/>
                <w:sz w:val="20"/>
                <w:szCs w:val="20"/>
                <w:b w:val="1"/>
                <w:bCs w:val="1"/>
                <w:color w:val="0070C0"/>
                <w:w w:val="97"/>
              </w:rPr>
              <w:t>Outlook</w:t>
            </w:r>
          </w:p>
        </w:tc>
        <w:tc>
          <w:tcPr>
            <w:tcW w:w="1960" w:type="dxa"/>
            <w:vAlign w:val="bottom"/>
            <w:tcBorders>
              <w:right w:val="single" w:sz="8" w:color="00B050"/>
            </w:tcBorders>
            <w:gridSpan w:val="2"/>
            <w:vMerge w:val="restart"/>
          </w:tcPr>
          <w:p>
            <w:pPr>
              <w:jc w:val="center"/>
              <w:spacing w:after="0" w:line="216" w:lineRule="exact"/>
              <w:rPr>
                <w:sz w:val="20"/>
                <w:szCs w:val="20"/>
                <w:color w:val="auto"/>
              </w:rPr>
            </w:pPr>
            <w:r>
              <w:rPr>
                <w:rFonts w:ascii="Arial" w:cs="Arial" w:eastAsia="Arial" w:hAnsi="Arial"/>
                <w:sz w:val="20"/>
                <w:szCs w:val="20"/>
                <w:b w:val="1"/>
                <w:bCs w:val="1"/>
                <w:color w:val="0070C0"/>
                <w:w w:val="97"/>
              </w:rPr>
              <w:t>Outlook</w:t>
            </w:r>
          </w:p>
        </w:tc>
        <w:tc>
          <w:tcPr>
            <w:tcW w:w="0" w:type="dxa"/>
            <w:vAlign w:val="bottom"/>
          </w:tcPr>
          <w:p>
            <w:pPr>
              <w:spacing w:after="0"/>
              <w:rPr>
                <w:sz w:val="1"/>
                <w:szCs w:val="1"/>
                <w:color w:val="auto"/>
              </w:rPr>
            </w:pPr>
          </w:p>
        </w:tc>
      </w:tr>
      <w:tr>
        <w:trPr>
          <w:trHeight w:val="108"/>
        </w:trPr>
        <w:tc>
          <w:tcPr>
            <w:tcW w:w="5080" w:type="dxa"/>
            <w:vAlign w:val="bottom"/>
            <w:tcBorders>
              <w:left w:val="single" w:sz="8" w:color="A6A6A6"/>
              <w:right w:val="single" w:sz="8" w:color="A6A6A6"/>
            </w:tcBorders>
            <w:vMerge w:val="continue"/>
          </w:tcPr>
          <w:p>
            <w:pPr>
              <w:spacing w:after="0"/>
              <w:rPr>
                <w:sz w:val="9"/>
                <w:szCs w:val="9"/>
                <w:color w:val="auto"/>
              </w:rPr>
            </w:pPr>
          </w:p>
        </w:tc>
        <w:tc>
          <w:tcPr>
            <w:tcW w:w="2160" w:type="dxa"/>
            <w:vAlign w:val="bottom"/>
            <w:tcBorders>
              <w:right w:val="single" w:sz="8" w:color="00B050"/>
            </w:tcBorders>
            <w:vMerge w:val="restart"/>
          </w:tcPr>
          <w:p>
            <w:pPr>
              <w:jc w:val="center"/>
              <w:ind w:left="37"/>
              <w:spacing w:after="0"/>
              <w:rPr>
                <w:sz w:val="20"/>
                <w:szCs w:val="20"/>
                <w:color w:val="auto"/>
              </w:rPr>
            </w:pPr>
            <w:r>
              <w:rPr>
                <w:rFonts w:ascii="Arial" w:cs="Arial" w:eastAsia="Arial" w:hAnsi="Arial"/>
                <w:sz w:val="20"/>
                <w:szCs w:val="20"/>
                <w:b w:val="1"/>
                <w:bCs w:val="1"/>
                <w:color w:val="FA6400"/>
              </w:rPr>
              <w:t>Reported</w:t>
            </w:r>
          </w:p>
        </w:tc>
        <w:tc>
          <w:tcPr>
            <w:tcW w:w="2060" w:type="dxa"/>
            <w:vAlign w:val="bottom"/>
            <w:vMerge w:val="continue"/>
          </w:tcPr>
          <w:p>
            <w:pPr>
              <w:spacing w:after="0"/>
              <w:rPr>
                <w:sz w:val="9"/>
                <w:szCs w:val="9"/>
                <w:color w:val="auto"/>
              </w:rPr>
            </w:pPr>
          </w:p>
        </w:tc>
        <w:tc>
          <w:tcPr>
            <w:tcW w:w="1960" w:type="dxa"/>
            <w:vAlign w:val="bottom"/>
            <w:tcBorders>
              <w:right w:val="single" w:sz="8" w:color="00B05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080" w:type="dxa"/>
            <w:vAlign w:val="bottom"/>
            <w:tcBorders>
              <w:left w:val="single" w:sz="8" w:color="A6A6A6"/>
              <w:right w:val="single" w:sz="8" w:color="A6A6A6"/>
            </w:tcBorders>
          </w:tcPr>
          <w:p>
            <w:pPr>
              <w:spacing w:after="0"/>
              <w:rPr>
                <w:sz w:val="14"/>
                <w:szCs w:val="14"/>
                <w:color w:val="auto"/>
              </w:rPr>
            </w:pPr>
          </w:p>
        </w:tc>
        <w:tc>
          <w:tcPr>
            <w:tcW w:w="2160" w:type="dxa"/>
            <w:vAlign w:val="bottom"/>
            <w:tcBorders>
              <w:right w:val="single" w:sz="8" w:color="00B050"/>
            </w:tcBorders>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b w:val="1"/>
                <w:bCs w:val="1"/>
                <w:color w:val="0070C0"/>
                <w:w w:val="99"/>
              </w:rPr>
              <w:t>Updated</w:t>
            </w:r>
          </w:p>
        </w:tc>
        <w:tc>
          <w:tcPr>
            <w:tcW w:w="1960" w:type="dxa"/>
            <w:vAlign w:val="bottom"/>
            <w:tcBorders>
              <w:right w:val="single" w:sz="8" w:color="00B050"/>
            </w:tcBorders>
            <w:gridSpan w:val="2"/>
            <w:vMerge w:val="restart"/>
          </w:tcPr>
          <w:p>
            <w:pPr>
              <w:jc w:val="center"/>
              <w:spacing w:after="0"/>
              <w:rPr>
                <w:sz w:val="20"/>
                <w:szCs w:val="20"/>
                <w:color w:val="auto"/>
              </w:rPr>
            </w:pPr>
            <w:r>
              <w:rPr>
                <w:rFonts w:ascii="Arial" w:cs="Arial" w:eastAsia="Arial" w:hAnsi="Arial"/>
                <w:sz w:val="20"/>
                <w:szCs w:val="20"/>
                <w:b w:val="1"/>
                <w:bCs w:val="1"/>
                <w:color w:val="0070C0"/>
                <w:w w:val="97"/>
              </w:rPr>
              <w:t>Reaffirmed</w:t>
            </w:r>
          </w:p>
        </w:tc>
        <w:tc>
          <w:tcPr>
            <w:tcW w:w="0" w:type="dxa"/>
            <w:vAlign w:val="bottom"/>
          </w:tcPr>
          <w:p>
            <w:pPr>
              <w:spacing w:after="0"/>
              <w:rPr>
                <w:sz w:val="1"/>
                <w:szCs w:val="1"/>
                <w:color w:val="auto"/>
              </w:rPr>
            </w:pPr>
          </w:p>
        </w:tc>
      </w:tr>
      <w:tr>
        <w:trPr>
          <w:trHeight w:val="108"/>
        </w:trPr>
        <w:tc>
          <w:tcPr>
            <w:tcW w:w="5080" w:type="dxa"/>
            <w:vAlign w:val="bottom"/>
            <w:tcBorders>
              <w:left w:val="single" w:sz="8" w:color="A6A6A6"/>
              <w:right w:val="single" w:sz="8" w:color="A6A6A6"/>
            </w:tcBorders>
          </w:tcPr>
          <w:p>
            <w:pPr>
              <w:spacing w:after="0"/>
              <w:rPr>
                <w:sz w:val="9"/>
                <w:szCs w:val="9"/>
                <w:color w:val="auto"/>
              </w:rPr>
            </w:pPr>
          </w:p>
        </w:tc>
        <w:tc>
          <w:tcPr>
            <w:tcW w:w="2160" w:type="dxa"/>
            <w:vAlign w:val="bottom"/>
            <w:tcBorders>
              <w:right w:val="single" w:sz="8" w:color="00B050"/>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960" w:type="dxa"/>
            <w:vAlign w:val="bottom"/>
            <w:tcBorders>
              <w:right w:val="single" w:sz="8" w:color="00B05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080" w:type="dxa"/>
            <w:vAlign w:val="bottom"/>
            <w:tcBorders>
              <w:left w:val="single" w:sz="8" w:color="A6A6A6"/>
              <w:bottom w:val="single" w:sz="8" w:color="A6A6A6"/>
              <w:right w:val="single" w:sz="8" w:color="A6A6A6"/>
            </w:tcBorders>
          </w:tcPr>
          <w:p>
            <w:pPr>
              <w:spacing w:after="0"/>
              <w:rPr>
                <w:sz w:val="3"/>
                <w:szCs w:val="3"/>
                <w:color w:val="auto"/>
              </w:rPr>
            </w:pPr>
          </w:p>
        </w:tc>
        <w:tc>
          <w:tcPr>
            <w:tcW w:w="2160" w:type="dxa"/>
            <w:vAlign w:val="bottom"/>
            <w:tcBorders>
              <w:bottom w:val="single" w:sz="8" w:color="A6A6A6"/>
              <w:right w:val="single" w:sz="8" w:color="00B050"/>
            </w:tcBorders>
          </w:tcPr>
          <w:p>
            <w:pPr>
              <w:spacing w:after="0"/>
              <w:rPr>
                <w:sz w:val="3"/>
                <w:szCs w:val="3"/>
                <w:color w:val="auto"/>
              </w:rPr>
            </w:pPr>
          </w:p>
        </w:tc>
        <w:tc>
          <w:tcPr>
            <w:tcW w:w="2060" w:type="dxa"/>
            <w:vAlign w:val="bottom"/>
            <w:tcBorders>
              <w:bottom w:val="single" w:sz="8" w:color="A6A6A6"/>
            </w:tcBorders>
          </w:tcPr>
          <w:p>
            <w:pPr>
              <w:spacing w:after="0"/>
              <w:rPr>
                <w:sz w:val="3"/>
                <w:szCs w:val="3"/>
                <w:color w:val="auto"/>
              </w:rPr>
            </w:pPr>
          </w:p>
        </w:tc>
        <w:tc>
          <w:tcPr>
            <w:tcW w:w="960" w:type="dxa"/>
            <w:vAlign w:val="bottom"/>
            <w:tcBorders>
              <w:bottom w:val="single" w:sz="8" w:color="A6A6A6"/>
            </w:tcBorders>
          </w:tcPr>
          <w:p>
            <w:pPr>
              <w:spacing w:after="0"/>
              <w:rPr>
                <w:sz w:val="3"/>
                <w:szCs w:val="3"/>
                <w:color w:val="auto"/>
              </w:rPr>
            </w:pPr>
          </w:p>
        </w:tc>
        <w:tc>
          <w:tcPr>
            <w:tcW w:w="1000" w:type="dxa"/>
            <w:vAlign w:val="bottom"/>
            <w:tcBorders>
              <w:bottom w:val="single" w:sz="8" w:color="A6A6A6"/>
              <w:right w:val="single" w:sz="8" w:color="00B050"/>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080" w:type="dxa"/>
            <w:vAlign w:val="bottom"/>
            <w:tcBorders>
              <w:left w:val="single" w:sz="8" w:color="A6A6A6"/>
              <w:bottom w:val="single" w:sz="8" w:color="F2F2F2"/>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Total Revenue Growth</w:t>
            </w:r>
          </w:p>
        </w:tc>
        <w:tc>
          <w:tcPr>
            <w:tcW w:w="2160" w:type="dxa"/>
            <w:vAlign w:val="bottom"/>
            <w:tcBorders>
              <w:bottom w:val="single" w:sz="8" w:color="F2F2F2"/>
              <w:right w:val="single" w:sz="8" w:color="00B050"/>
            </w:tcBorders>
            <w:shd w:val="clear" w:color="auto" w:fill="F2F2F2"/>
          </w:tcPr>
          <w:p>
            <w:pPr>
              <w:jc w:val="center"/>
              <w:ind w:left="37"/>
              <w:spacing w:after="0"/>
              <w:rPr>
                <w:sz w:val="20"/>
                <w:szCs w:val="20"/>
                <w:color w:val="auto"/>
              </w:rPr>
            </w:pPr>
            <w:r>
              <w:rPr>
                <w:rFonts w:ascii="Arial" w:cs="Arial" w:eastAsia="Arial" w:hAnsi="Arial"/>
                <w:sz w:val="16"/>
                <w:szCs w:val="16"/>
                <w:color w:val="auto"/>
                <w:w w:val="98"/>
              </w:rPr>
              <w:t>6.9%</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 7.0%</w:t>
            </w:r>
          </w:p>
        </w:tc>
        <w:tc>
          <w:tcPr>
            <w:tcW w:w="9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6.5%</w:t>
            </w:r>
          </w:p>
        </w:tc>
        <w:tc>
          <w:tcPr>
            <w:tcW w:w="1000" w:type="dxa"/>
            <w:vAlign w:val="bottom"/>
            <w:tcBorders>
              <w:bottom w:val="single" w:sz="8" w:color="F2F2F2"/>
              <w:right w:val="single" w:sz="8" w:color="00B050"/>
            </w:tcBorders>
            <w:shd w:val="clear" w:color="auto" w:fill="F2F2F2"/>
          </w:tcPr>
          <w:p>
            <w:pPr>
              <w:ind w:left="20"/>
              <w:spacing w:after="0"/>
              <w:rPr>
                <w:sz w:val="20"/>
                <w:szCs w:val="20"/>
                <w:color w:val="auto"/>
              </w:rPr>
            </w:pPr>
            <w:r>
              <w:rPr>
                <w:rFonts w:ascii="Arial" w:cs="Arial" w:eastAsia="Arial" w:hAnsi="Arial"/>
                <w:sz w:val="16"/>
                <w:szCs w:val="16"/>
                <w:color w:val="auto"/>
              </w:rPr>
              <w:t>- 7.0%</w:t>
            </w:r>
          </w:p>
        </w:tc>
        <w:tc>
          <w:tcPr>
            <w:tcW w:w="0" w:type="dxa"/>
            <w:vAlign w:val="bottom"/>
          </w:tcPr>
          <w:p>
            <w:pPr>
              <w:spacing w:after="0"/>
              <w:rPr>
                <w:sz w:val="1"/>
                <w:szCs w:val="1"/>
                <w:color w:val="auto"/>
              </w:rPr>
            </w:pPr>
          </w:p>
        </w:tc>
      </w:tr>
      <w:tr>
        <w:trPr>
          <w:trHeight w:val="268"/>
        </w:trPr>
        <w:tc>
          <w:tcPr>
            <w:tcW w:w="5080" w:type="dxa"/>
            <w:vAlign w:val="bottom"/>
            <w:tcBorders>
              <w:left w:val="single" w:sz="8" w:color="A6A6A6"/>
              <w:right w:val="single" w:sz="8" w:color="A6A6A6"/>
            </w:tcBorders>
          </w:tcPr>
          <w:p>
            <w:pPr>
              <w:ind w:left="160"/>
              <w:spacing w:after="0"/>
              <w:rPr>
                <w:sz w:val="20"/>
                <w:szCs w:val="20"/>
                <w:color w:val="auto"/>
              </w:rPr>
            </w:pPr>
            <w:r>
              <w:rPr>
                <w:rFonts w:ascii="Arial" w:cs="Arial" w:eastAsia="Arial" w:hAnsi="Arial"/>
                <w:sz w:val="16"/>
                <w:szCs w:val="16"/>
                <w:color w:val="auto"/>
              </w:rPr>
              <w:t>Organic Revenue Growth</w:t>
            </w:r>
          </w:p>
        </w:tc>
        <w:tc>
          <w:tcPr>
            <w:tcW w:w="2160" w:type="dxa"/>
            <w:vAlign w:val="bottom"/>
            <w:tcBorders>
              <w:right w:val="single" w:sz="8" w:color="00B050"/>
            </w:tcBorders>
          </w:tcPr>
          <w:p>
            <w:pPr>
              <w:jc w:val="center"/>
              <w:ind w:left="37"/>
              <w:spacing w:after="0"/>
              <w:rPr>
                <w:sz w:val="20"/>
                <w:szCs w:val="20"/>
                <w:color w:val="auto"/>
              </w:rPr>
            </w:pPr>
            <w:r>
              <w:rPr>
                <w:rFonts w:ascii="Arial" w:cs="Arial" w:eastAsia="Arial" w:hAnsi="Arial"/>
                <w:sz w:val="16"/>
                <w:szCs w:val="16"/>
                <w:color w:val="auto"/>
                <w:w w:val="98"/>
              </w:rPr>
              <w:t>6.2%</w:t>
            </w:r>
          </w:p>
        </w:tc>
        <w:tc>
          <w:tcPr>
            <w:tcW w:w="2060" w:type="dxa"/>
            <w:vAlign w:val="bottom"/>
          </w:tcPr>
          <w:p>
            <w:pPr>
              <w:jc w:val="center"/>
              <w:spacing w:after="0"/>
              <w:rPr>
                <w:sz w:val="20"/>
                <w:szCs w:val="20"/>
                <w:color w:val="auto"/>
              </w:rPr>
            </w:pPr>
            <w:r>
              <w:rPr>
                <w:rFonts w:ascii="Arial" w:cs="Arial" w:eastAsia="Arial" w:hAnsi="Arial"/>
                <w:sz w:val="16"/>
                <w:szCs w:val="16"/>
                <w:color w:val="auto"/>
              </w:rPr>
              <w:t>~ 7.0%</w:t>
            </w: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c>
          <w:tcPr>
            <w:tcW w:w="1000" w:type="dxa"/>
            <w:vAlign w:val="bottom"/>
            <w:tcBorders>
              <w:right w:val="single" w:sz="8" w:color="00B050"/>
            </w:tcBorders>
          </w:tcPr>
          <w:p>
            <w:pPr>
              <w:ind w:left="20"/>
              <w:spacing w:after="0"/>
              <w:rPr>
                <w:sz w:val="20"/>
                <w:szCs w:val="20"/>
                <w:color w:val="auto"/>
              </w:rPr>
            </w:pPr>
            <w:r>
              <w:rPr>
                <w:rFonts w:ascii="Arial" w:cs="Arial" w:eastAsia="Arial" w:hAnsi="Arial"/>
                <w:sz w:val="16"/>
                <w:szCs w:val="16"/>
                <w:color w:val="auto"/>
              </w:rPr>
              <w:t>- 7.0%</w:t>
            </w:r>
          </w:p>
        </w:tc>
        <w:tc>
          <w:tcPr>
            <w:tcW w:w="0" w:type="dxa"/>
            <w:vAlign w:val="bottom"/>
          </w:tcPr>
          <w:p>
            <w:pPr>
              <w:spacing w:after="0"/>
              <w:rPr>
                <w:sz w:val="1"/>
                <w:szCs w:val="1"/>
                <w:color w:val="auto"/>
              </w:rPr>
            </w:pPr>
          </w:p>
        </w:tc>
      </w:tr>
      <w:tr>
        <w:trPr>
          <w:trHeight w:val="43"/>
        </w:trPr>
        <w:tc>
          <w:tcPr>
            <w:tcW w:w="5080" w:type="dxa"/>
            <w:vAlign w:val="bottom"/>
            <w:tcBorders>
              <w:left w:val="single" w:sz="8" w:color="A6A6A6"/>
              <w:right w:val="single" w:sz="8" w:color="A6A6A6"/>
            </w:tcBorders>
          </w:tcPr>
          <w:p>
            <w:pPr>
              <w:spacing w:after="0"/>
              <w:rPr>
                <w:sz w:val="3"/>
                <w:szCs w:val="3"/>
                <w:color w:val="auto"/>
              </w:rPr>
            </w:pPr>
          </w:p>
        </w:tc>
        <w:tc>
          <w:tcPr>
            <w:tcW w:w="2160" w:type="dxa"/>
            <w:vAlign w:val="bottom"/>
            <w:tcBorders>
              <w:right w:val="single" w:sz="8" w:color="00B050"/>
            </w:tcBorders>
          </w:tcPr>
          <w:p>
            <w:pPr>
              <w:spacing w:after="0"/>
              <w:rPr>
                <w:sz w:val="3"/>
                <w:szCs w:val="3"/>
                <w:color w:val="auto"/>
              </w:rPr>
            </w:pPr>
          </w:p>
        </w:tc>
        <w:tc>
          <w:tcPr>
            <w:tcW w:w="2060" w:type="dxa"/>
            <w:vAlign w:val="bottom"/>
          </w:tcPr>
          <w:p>
            <w:pPr>
              <w:spacing w:after="0"/>
              <w:rPr>
                <w:sz w:val="3"/>
                <w:szCs w:val="3"/>
                <w:color w:val="auto"/>
              </w:rPr>
            </w:pPr>
          </w:p>
        </w:tc>
        <w:tc>
          <w:tcPr>
            <w:tcW w:w="1960" w:type="dxa"/>
            <w:vAlign w:val="bottom"/>
            <w:tcBorders>
              <w:right w:val="single" w:sz="8" w:color="00B05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5080" w:type="dxa"/>
            <w:vAlign w:val="bottom"/>
            <w:tcBorders>
              <w:left w:val="single" w:sz="8" w:color="A6A6A6"/>
              <w:bottom w:val="single" w:sz="8" w:color="F2F2F2"/>
              <w:right w:val="single" w:sz="8" w:color="A6A6A6"/>
            </w:tcBorders>
            <w:shd w:val="clear" w:color="auto" w:fill="F2F2F2"/>
          </w:tcPr>
          <w:p>
            <w:pPr>
              <w:ind w:left="160"/>
              <w:spacing w:after="0"/>
              <w:rPr>
                <w:sz w:val="20"/>
                <w:szCs w:val="20"/>
                <w:color w:val="auto"/>
              </w:rPr>
            </w:pPr>
            <w:r>
              <w:rPr>
                <w:rFonts w:ascii="Arial" w:cs="Arial" w:eastAsia="Arial" w:hAnsi="Arial"/>
                <w:sz w:val="16"/>
                <w:szCs w:val="16"/>
                <w:color w:val="auto"/>
              </w:rPr>
              <w:t>Adjusted EBITDA Margin</w:t>
            </w:r>
          </w:p>
        </w:tc>
        <w:tc>
          <w:tcPr>
            <w:tcW w:w="2160" w:type="dxa"/>
            <w:vAlign w:val="bottom"/>
            <w:tcBorders>
              <w:bottom w:val="single" w:sz="8" w:color="F2F2F2"/>
              <w:right w:val="single" w:sz="8" w:color="00B050"/>
            </w:tcBorders>
            <w:shd w:val="clear" w:color="auto" w:fill="F2F2F2"/>
          </w:tcPr>
          <w:p>
            <w:pPr>
              <w:jc w:val="center"/>
              <w:ind w:left="17"/>
              <w:spacing w:after="0"/>
              <w:rPr>
                <w:sz w:val="20"/>
                <w:szCs w:val="20"/>
                <w:color w:val="auto"/>
              </w:rPr>
            </w:pPr>
            <w:r>
              <w:rPr>
                <w:rFonts w:ascii="Arial" w:cs="Arial" w:eastAsia="Arial" w:hAnsi="Arial"/>
                <w:sz w:val="16"/>
                <w:szCs w:val="16"/>
                <w:color w:val="auto"/>
              </w:rPr>
              <w:t>38.8%</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 42%</w:t>
            </w:r>
          </w:p>
        </w:tc>
        <w:tc>
          <w:tcPr>
            <w:tcW w:w="1960" w:type="dxa"/>
            <w:vAlign w:val="bottom"/>
            <w:tcBorders>
              <w:bottom w:val="single" w:sz="8" w:color="F2F2F2"/>
              <w:right w:val="single" w:sz="8" w:color="00B050"/>
            </w:tcBorders>
            <w:gridSpan w:val="2"/>
            <w:shd w:val="clear" w:color="auto" w:fill="F2F2F2"/>
          </w:tcPr>
          <w:p>
            <w:pPr>
              <w:jc w:val="center"/>
              <w:spacing w:after="0"/>
              <w:rPr>
                <w:sz w:val="20"/>
                <w:szCs w:val="20"/>
                <w:color w:val="auto"/>
              </w:rPr>
            </w:pPr>
            <w:r>
              <w:rPr>
                <w:rFonts w:ascii="Arial" w:cs="Arial" w:eastAsia="Arial" w:hAnsi="Arial"/>
                <w:sz w:val="16"/>
                <w:szCs w:val="16"/>
                <w:color w:val="auto"/>
              </w:rPr>
              <w:t>44% – 45%</w:t>
            </w:r>
          </w:p>
        </w:tc>
        <w:tc>
          <w:tcPr>
            <w:tcW w:w="0" w:type="dxa"/>
            <w:vAlign w:val="bottom"/>
          </w:tcPr>
          <w:p>
            <w:pPr>
              <w:spacing w:after="0"/>
              <w:rPr>
                <w:sz w:val="1"/>
                <w:szCs w:val="1"/>
                <w:color w:val="auto"/>
              </w:rPr>
            </w:pPr>
          </w:p>
        </w:tc>
      </w:tr>
      <w:tr>
        <w:trPr>
          <w:trHeight w:val="27"/>
        </w:trPr>
        <w:tc>
          <w:tcPr>
            <w:tcW w:w="5080" w:type="dxa"/>
            <w:vAlign w:val="bottom"/>
            <w:tcBorders>
              <w:left w:val="single" w:sz="8" w:color="A6A6A6"/>
              <w:right w:val="single" w:sz="8" w:color="A6A6A6"/>
            </w:tcBorders>
            <w:shd w:val="clear" w:color="auto" w:fill="A6A6A6"/>
          </w:tcPr>
          <w:p>
            <w:pPr>
              <w:spacing w:after="0"/>
              <w:rPr>
                <w:sz w:val="2"/>
                <w:szCs w:val="2"/>
                <w:color w:val="auto"/>
              </w:rPr>
            </w:pPr>
          </w:p>
        </w:tc>
        <w:tc>
          <w:tcPr>
            <w:tcW w:w="2160" w:type="dxa"/>
            <w:vAlign w:val="bottom"/>
            <w:tcBorders>
              <w:right w:val="single" w:sz="8" w:color="00B050"/>
            </w:tcBorders>
            <w:shd w:val="clear" w:color="auto" w:fill="A6A6A6"/>
          </w:tcPr>
          <w:p>
            <w:pPr>
              <w:spacing w:after="0"/>
              <w:rPr>
                <w:sz w:val="2"/>
                <w:szCs w:val="2"/>
                <w:color w:val="auto"/>
              </w:rPr>
            </w:pPr>
          </w:p>
        </w:tc>
        <w:tc>
          <w:tcPr>
            <w:tcW w:w="2060" w:type="dxa"/>
            <w:vAlign w:val="bottom"/>
            <w:shd w:val="clear" w:color="auto" w:fill="00B050"/>
          </w:tcPr>
          <w:p>
            <w:pPr>
              <w:spacing w:after="0"/>
              <w:rPr>
                <w:sz w:val="2"/>
                <w:szCs w:val="2"/>
                <w:color w:val="auto"/>
              </w:rPr>
            </w:pPr>
          </w:p>
        </w:tc>
        <w:tc>
          <w:tcPr>
            <w:tcW w:w="960" w:type="dxa"/>
            <w:vAlign w:val="bottom"/>
            <w:shd w:val="clear" w:color="auto" w:fill="00B050"/>
          </w:tcPr>
          <w:p>
            <w:pPr>
              <w:spacing w:after="0"/>
              <w:rPr>
                <w:sz w:val="2"/>
                <w:szCs w:val="2"/>
                <w:color w:val="auto"/>
              </w:rPr>
            </w:pPr>
          </w:p>
        </w:tc>
        <w:tc>
          <w:tcPr>
            <w:tcW w:w="1000" w:type="dxa"/>
            <w:vAlign w:val="bottom"/>
            <w:tcBorders>
              <w:right w:val="single" w:sz="8" w:color="00B050"/>
            </w:tcBorders>
            <w:shd w:val="clear" w:color="auto" w:fill="00B05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60" w:right="560" w:hanging="452"/>
        <w:spacing w:after="0" w:line="28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Non-IFRS financial measures. See the “Non-IFRS Financial Measures” section below as well as the tables and footnotes appended to this news release for more information.</w:t>
      </w:r>
    </w:p>
    <w:p>
      <w:pPr>
        <w:spacing w:after="0" w:line="25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The information in this section is forward-looking. Actual results, which will include the impact of currency and future acquisitions and dispositions completed during 2022 and 2023, may differ materially from the company’s outlook. The information in this section should also be read in conjunction with the section below entitled “Special Note Regarding Forward-Looking Statements, Material Risks and Material Assumptions.”</w:t>
      </w:r>
    </w:p>
    <w:p>
      <w:pPr>
        <w:sectPr>
          <w:pgSz w:w="11900" w:h="16838" w:orient="portrait"/>
          <w:cols w:equalWidth="0" w:num="1">
            <w:col w:w="11260"/>
          </w:cols>
          <w:pgMar w:left="320" w:top="1012"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11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Repurchases—Update on $2.0 Billion Buyback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June 2022, Thomson Reuters announced that it plans to buy back up to $2.0 billion of its common shares.</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From June 2022 through July 31, 2022, the company repurchased approximately 3.8 million of its common shares under the new buyback program, for a total spend of $394 million. As of July 31, 2022, Thomson Reuters had approximately 483.5 million common shares outstanding.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04"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In February 2022, the company announced a 10% or $0.16 per share annualized increase in the dividend to $1.78 per common share, representing the 29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consecutive year of dividend increases. A quarterly dividend of $0.445 per share is payable on September 15, 2022, to common shareholders of record as of August 18,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LSEG Ownership Interest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January 2021, Thomson Reuters and private equity funds affiliated with Blackstone sold Refinitiv to LSEG in an all-share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Thomson Reuters indirectly owns LSEG shares through an entity that it jointly owns with Blackstone’s consortium and a group of current</w:t>
      </w:r>
    </w:p>
    <w:p>
      <w:pPr>
        <w:spacing w:after="0"/>
        <w:rPr>
          <w:sz w:val="20"/>
          <w:szCs w:val="20"/>
          <w:color w:val="auto"/>
        </w:rPr>
      </w:pPr>
      <w:r>
        <w:rPr>
          <w:rFonts w:ascii="Arial" w:cs="Arial" w:eastAsia="Arial" w:hAnsi="Arial"/>
          <w:sz w:val="18"/>
          <w:szCs w:val="18"/>
          <w:color w:val="auto"/>
        </w:rPr>
        <w:t>LSEG and former Refinitiv senior management.</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July 31, 2022, Thomson Reuters indirectly owned approximately 72.4 million LSEG shares which had a market value of approximately $7.1 billion based on LSEG’s closing share price on that day. The company received $62 million of dividends from its LSEG investment in June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 Reuters</w:t>
      </w:r>
    </w:p>
    <w:p>
      <w:pPr>
        <w:spacing w:after="0" w:line="10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 xml:space="preserve">Thomson Reuters is a leading provider of business information services. Our products include highly specialized information-enabled software and tools for legal, tax, accounting and compliance professionals combined with the world’s most global news service – Reuters. For more information on Thomson Reuters, visit </w:t>
      </w:r>
      <w:r>
        <w:rPr>
          <w:rFonts w:ascii="Arial" w:cs="Arial" w:eastAsia="Arial" w:hAnsi="Arial"/>
          <w:sz w:val="18"/>
          <w:szCs w:val="18"/>
          <w:u w:val="single" w:color="auto"/>
          <w:color w:val="auto"/>
        </w:rPr>
        <w:t>tr.com</w:t>
      </w:r>
      <w:r>
        <w:rPr>
          <w:rFonts w:ascii="Arial" w:cs="Arial" w:eastAsia="Arial" w:hAnsi="Arial"/>
          <w:sz w:val="18"/>
          <w:szCs w:val="18"/>
          <w:color w:val="auto"/>
        </w:rPr>
        <w:t xml:space="preserve"> and for the latest world news, </w:t>
      </w:r>
      <w:r>
        <w:rPr>
          <w:rFonts w:ascii="Arial" w:cs="Arial" w:eastAsia="Arial" w:hAnsi="Arial"/>
          <w:sz w:val="18"/>
          <w:szCs w:val="18"/>
          <w:u w:val="single" w:color="auto"/>
          <w:color w:val="auto"/>
        </w:rPr>
        <w:t>reuters.com</w:t>
      </w:r>
      <w:r>
        <w:rPr>
          <w:rFonts w:ascii="Arial" w:cs="Arial" w:eastAsia="Arial" w:hAnsi="Arial"/>
          <w:sz w:val="18"/>
          <w:szCs w:val="18"/>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10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i w:val="1"/>
          <w:iCs w:val="1"/>
          <w:color w:val="auto"/>
        </w:rPr>
        <w:t>Thomson Reuters prepares its financial statements in accordance with International Financial Reporting Standards (IFRS), as issued by the International Accounting Standards Board (IASB).</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This news release includes certain non-IFRS financial measures, which include ratios that incorporate one or more non-IFRS financial measures, such as adjusted EBITDA and the related margin (other than at the customer segment level), free cash flow, adjusted EPS and the effective tax rate on adjusted EPS, accrued capital expenditures expressed as a percentage of revenues, selected measures excluding the impact of foreign currency, changes in revenues computed on an organic basis as well as all financial measures for the “Big 3” segments. Thomson Reuters uses these non-IFRS financial measures as supplemental indicators of its operating performance and financial position as well as for internal planning purposes and the company’s business outlook. Additionally, Thomson Reuters uses non-IFRS measures as the basis for management incentive programs. These measures do not have any standardized meanings prescribed by IFRS and therefore are unlikely to be comparable to the calculation of similar measures used by other companies and should not be viewed as alternatives to measures of financial performance calculated in accordance with IFRS. Non-IFRS financial measures are defined and reconciled to the most directly comparable IFRS measures in the appended tables.</w:t>
      </w:r>
    </w:p>
    <w:p>
      <w:pPr>
        <w:spacing w:after="0" w:line="18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The company’s outlook contains various non-IFRS financial measures. The company believes that providing reconciliations of forward-looking non-IFRS financial measures in its outlook would be potentially misleading and not practical due to the difficulty of projecting items that are not reflective of ongoing operations in any future period. The magnitude of these items may be significant. Consequently, for outlook purposes only, the company is unable to reconcile these non-IFRS measures to the most directly comparable IFRS measures because it cannot predict, with reasonable certainty, the 2022 and 2023 impacts of changes in foreign exchange rates which impact (i) the translation of its results reported at average foreign currency rates for the year, and (ii) other finance income or expense related to intercompany financing arrangements and foreign exchange contracts. Additionally, the company cannot reasonably predict (i) its share of post-tax earnings or losses in equity method investments, which is subject to changes in the stock price of LSEG or (ii) the occurrence or amount of other operating gains and losses that generally arise from business transactions that the company does not currently anticipate.</w:t>
      </w:r>
    </w:p>
    <w:p>
      <w:pPr>
        <w:sectPr>
          <w:pgSz w:w="11900" w:h="16838" w:orient="portrait"/>
          <w:cols w:equalWidth="0" w:num="1">
            <w:col w:w="11220"/>
          </w:cols>
          <w:pgMar w:left="320" w:top="101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12 of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06"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i w:val="1"/>
          <w:iCs w:val="1"/>
          <w:color w:val="auto"/>
        </w:rPr>
        <w:t>Other than EPS, the company reports its results in millions of U.S. dollars, but computes percentage changes and margins using whole dollars to be more precise. As a result, percentages and margins calculated from reported amounts may differ from those presented, and growth components may not total due to rounding.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TO PRIOR-YEAR SEGMENT RESULTS</w:t>
      </w:r>
    </w:p>
    <w:p>
      <w:pPr>
        <w:spacing w:after="0" w:line="10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i w:val="1"/>
          <w:iCs w:val="1"/>
          <w:color w:val="auto"/>
        </w:rPr>
        <w:t>In the first quarter of 2022, the company made two changes to its segment reporting to reflect how it currently manages its businesses. The changes (i) reflect the transfer of certain revenues from its Corporates business to its Tax &amp; Accounting Professionals business where they are better aligned; and (ii) record intercompany revenue in Reuters News for content-related services that it provides to Legal Professionals, Corporates and Tax &amp; Accounting Professionals. Previously, these services had been reported as a transfer of expense from Reuters News to these businesses. These changes impact the financial results of the company’s segments, but do not change the company’s consolidated financial results. The table below summarizes the changes 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40575" cy="2889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288925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3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(millions of U.S. dollars)</w:t>
            </w: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Three Months Ended June 30, 2021</w:t>
            </w: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Six Months Ended June 30, 2021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920" w:type="dxa"/>
            <w:vAlign w:val="bottom"/>
            <w:gridSpan w:val="4"/>
            <w:vMerge w:val="continue"/>
          </w:tcPr>
          <w:p>
            <w:pPr>
              <w:spacing w:after="0"/>
              <w:rPr>
                <w:sz w:val="13"/>
                <w:szCs w:val="13"/>
                <w:color w:val="auto"/>
              </w:rPr>
            </w:pPr>
          </w:p>
        </w:tc>
        <w:tc>
          <w:tcPr>
            <w:tcW w:w="11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As Revised</w:t>
            </w:r>
          </w:p>
        </w:tc>
        <w:tc>
          <w:tcPr>
            <w:tcW w:w="38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Revenues</w:t>
            </w:r>
          </w:p>
        </w:tc>
        <w:tc>
          <w:tcPr>
            <w:tcW w:w="30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9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673</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1,341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732</w:t>
            </w:r>
          </w:p>
        </w:tc>
        <w:tc>
          <w:tcPr>
            <w:tcW w:w="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9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1,218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1,218</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2,495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9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2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173</w:t>
            </w:r>
          </w:p>
        </w:tc>
        <w:tc>
          <w:tcPr>
            <w:tcW w:w="2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9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260" w:type="dxa"/>
            <w:vAlign w:val="bottom"/>
          </w:tcPr>
          <w:p>
            <w:pPr>
              <w:spacing w:after="0"/>
              <w:rPr>
                <w:sz w:val="17"/>
                <w:szCs w:val="17"/>
                <w:color w:val="auto"/>
              </w:rPr>
            </w:pPr>
          </w:p>
        </w:tc>
        <w:tc>
          <w:tcPr>
            <w:tcW w:w="8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1,532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1,532</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3,112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Adjusted EBITDA</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(1)</w:t>
            </w:r>
          </w:p>
        </w:tc>
        <w:tc>
          <w:tcPr>
            <w:tcW w:w="2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226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1500" w:type="dxa"/>
            <w:vAlign w:val="bottom"/>
            <w:tcBorders>
              <w:bottom w:val="single" w:sz="8" w:color="auto"/>
            </w:tcBorders>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285</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9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26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130</w:t>
            </w:r>
          </w:p>
        </w:tc>
        <w:tc>
          <w:tcPr>
            <w:tcW w:w="220" w:type="dxa"/>
            <w:vAlign w:val="bottom"/>
          </w:tcPr>
          <w:p>
            <w:pPr>
              <w:spacing w:after="0"/>
              <w:rPr>
                <w:sz w:val="17"/>
                <w:szCs w:val="17"/>
                <w:color w:val="auto"/>
              </w:rPr>
            </w:pPr>
          </w:p>
        </w:tc>
        <w:tc>
          <w:tcPr>
            <w:tcW w:w="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276</w:t>
            </w:r>
          </w:p>
        </w:tc>
        <w:tc>
          <w:tcPr>
            <w:tcW w:w="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920" w:type="dxa"/>
            <w:vAlign w:val="bottom"/>
            <w:gridSpan w:val="4"/>
          </w:tcPr>
          <w:p>
            <w:pPr>
              <w:ind w:left="360"/>
              <w:spacing w:after="0" w:line="210" w:lineRule="exact"/>
              <w:rPr>
                <w:sz w:val="20"/>
                <w:szCs w:val="20"/>
                <w:color w:val="auto"/>
              </w:rPr>
            </w:pPr>
            <w:r>
              <w:rPr>
                <w:rFonts w:ascii="Arial" w:cs="Arial" w:eastAsia="Arial" w:hAnsi="Arial"/>
                <w:sz w:val="17"/>
                <w:szCs w:val="17"/>
                <w:color w:val="auto"/>
              </w:rPr>
              <w:t>“Big 3” Segments Combined</w:t>
            </w:r>
            <w:r>
              <w:rPr>
                <w:rFonts w:ascii="Arial" w:cs="Arial" w:eastAsia="Arial" w:hAnsi="Arial"/>
                <w:sz w:val="24"/>
                <w:szCs w:val="24"/>
                <w:color w:val="auto"/>
                <w:vertAlign w:val="superscript"/>
              </w:rPr>
              <w:t>(1)</w:t>
            </w: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92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Global Print</w:t>
            </w:r>
          </w:p>
        </w:tc>
        <w:tc>
          <w:tcPr>
            <w:tcW w:w="260" w:type="dxa"/>
            <w:vAlign w:val="bottom"/>
          </w:tcPr>
          <w:p>
            <w:pPr>
              <w:spacing w:after="0"/>
              <w:rPr>
                <w:sz w:val="17"/>
                <w:szCs w:val="17"/>
                <w:color w:val="auto"/>
              </w:rPr>
            </w:pPr>
          </w:p>
        </w:tc>
        <w:tc>
          <w:tcPr>
            <w:tcW w:w="8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56</w:t>
            </w:r>
          </w:p>
        </w:tc>
        <w:tc>
          <w:tcPr>
            <w:tcW w:w="2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392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2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920" w:type="dxa"/>
            <w:vAlign w:val="bottom"/>
            <w:gridSpan w:val="4"/>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100"/>
        <w:spacing w:after="0" w:line="208" w:lineRule="auto"/>
        <w:rPr>
          <w:sz w:val="20"/>
          <w:szCs w:val="20"/>
          <w:color w:val="auto"/>
        </w:rPr>
      </w:pPr>
      <w:r>
        <w:rPr>
          <w:rFonts w:ascii="Arial" w:cs="Arial" w:eastAsia="Arial" w:hAnsi="Arial"/>
          <w:sz w:val="14"/>
          <w:szCs w:val="14"/>
          <w:i w:val="1"/>
          <w:iCs w:val="1"/>
          <w:color w:val="auto"/>
        </w:rPr>
        <w:t xml:space="preserve">   </w:t>
      </w:r>
    </w:p>
    <w:p>
      <w:pPr>
        <w:ind w:left="160"/>
        <w:spacing w:after="0"/>
        <w:rPr>
          <w:sz w:val="20"/>
          <w:szCs w:val="20"/>
          <w:color w:val="auto"/>
        </w:rPr>
      </w:pPr>
      <w:r>
        <w:rPr>
          <w:rFonts w:ascii="Arial" w:cs="Arial" w:eastAsia="Arial" w:hAnsi="Arial"/>
          <w:sz w:val="14"/>
          <w:szCs w:val="14"/>
          <w:i w:val="1"/>
          <w:iCs w:val="1"/>
          <w:color w:val="auto"/>
        </w:rPr>
        <w:t>(1)   See “Non-IFRS Financial Measures” section and the tables appended to this news release for additional information on these and other non-IFRS financial measures.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MATERIAL RISKS AND MATERIAL ASSUMPTIONS</w:t>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Certain statements in this news release, including, but not limited to, statements in Mr. Hasker’s comments and the “Change Program,” “2022 and 2023 Outlook” and “LSEG Ownership Interest” sections, are forward-looking. The words “will”, “expect”, “believe”, “target”, “estimate”, “could”, “should”, “intend”, “predict”, “project” and similar expressions identify forward-looking statements. While the company believes that it has a reasonable basis for making forward-looking statements in this news release, they are not a guarantee of future performance or outcomes and there is no assurance that any of the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w:t>
      </w:r>
    </w:p>
    <w:p>
      <w:pPr>
        <w:spacing w:after="0" w:line="18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i w:val="1"/>
          <w:iCs w:val="1"/>
          <w:color w:val="auto"/>
        </w:rPr>
        <w:t>Some of the material risk factors that could cause actual results or events to differ materially from those expressed in or implied by forward-looking statements in this news release include, but are not limited to, those discussed on pages 17-30 in the “Risk Factors” section of the company’s 2021 annual report. These and other risk factors are discussed in materials that Thomson Reuters from time to time files with, or furnishes to, the Canadian securities regulatory authorities and the U.S. Securities and</w:t>
      </w:r>
    </w:p>
    <w:p>
      <w:pPr>
        <w:sectPr>
          <w:pgSz w:w="11900" w:h="16838" w:orient="portrait"/>
          <w:cols w:equalWidth="0" w:num="1">
            <w:col w:w="11240"/>
          </w:cols>
          <w:pgMar w:left="320" w:top="10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13 of 23</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Exchange Commission (SEC). Thomson Reuters annual and quarterly reports are also available in the “Investor Relations” section of </w:t>
      </w:r>
      <w:r>
        <w:rPr>
          <w:rFonts w:ascii="Arial" w:cs="Arial" w:eastAsia="Arial" w:hAnsi="Arial"/>
          <w:sz w:val="17"/>
          <w:szCs w:val="17"/>
          <w:u w:val="single" w:color="auto"/>
          <w:color w:val="auto"/>
        </w:rPr>
        <w:t>tr.com</w:t>
      </w:r>
      <w:r>
        <w:rPr>
          <w:rFonts w:ascii="Arial" w:cs="Arial" w:eastAsia="Arial" w:hAnsi="Arial"/>
          <w:sz w:val="17"/>
          <w:szCs w:val="17"/>
          <w:i w:val="1"/>
          <w:iCs w:val="1"/>
          <w:u w:val="single" w:color="auto"/>
          <w:color w:val="auto"/>
        </w:rPr>
        <w:t>.</w:t>
      </w:r>
    </w:p>
    <w:p>
      <w:pPr>
        <w:spacing w:after="0" w:line="22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 xml:space="preserve">The company’s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Material assumptions and material risks may cause actual performance to differ from the company’s expectations underlying its business outlook. In particular, during the last quarter the global economy has experienced substantial disruption due to concerns regarding economic effects associated with the macroeconomic backdrop and ongoing geopolitical risks. Any worsening of the global economic or business environment could impact the company’s ability to achieve its outlook and affect its results and other expectations. For a discussion of material assumptions and material risks related to the company’s 2022 and 2023 outlook, please see pages 19-20 of the company’s first-quarter management’s discussion and analysis (MD&amp;A) for the period ended March 31, 2022. Material assumptions and material risks related to the company’s outlook will also be included in the company’s second-quarter management’s discussion and analysis for the period ended June 30, 2022, which is expected to be filed shortly. The company’s quarterly MD&amp;A and annual report are filed with, or furnished to, the Canadian securities regulatory authorities and the U.S. SEC and are also available in the “Investor Relations” section of </w:t>
      </w:r>
      <w:r>
        <w:rPr>
          <w:rFonts w:ascii="Arial" w:cs="Arial" w:eastAsia="Arial" w:hAnsi="Arial"/>
          <w:sz w:val="18"/>
          <w:szCs w:val="18"/>
          <w:u w:val="single" w:color="auto"/>
          <w:color w:val="auto"/>
        </w:rPr>
        <w:t>tr.com</w:t>
      </w:r>
      <w:r>
        <w:rPr>
          <w:rFonts w:ascii="Arial" w:cs="Arial" w:eastAsia="Arial" w:hAnsi="Arial"/>
          <w:sz w:val="18"/>
          <w:szCs w:val="18"/>
          <w:color w:val="auto"/>
        </w:rPr>
        <w:t>.</w:t>
      </w:r>
    </w:p>
    <w:p>
      <w:pPr>
        <w:spacing w:after="0" w:line="183"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i w:val="1"/>
          <w:iCs w:val="1"/>
          <w:color w:val="auto"/>
        </w:rPr>
        <w:t>The company has provided an outlook for the purpose of presenting information about current expectations for the periods presented. This information may not be appropriate for other purposes. You are cautioned not to place undue reliance on forward-looking statements which reflect expectations only as of the date of this news release.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Except as may be required by applicable law, Thomson Reuters disclaims any obligation to update or revise any forward-looking statements.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6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401"/>
        </w:trPr>
        <w:tc>
          <w:tcPr>
            <w:tcW w:w="4260" w:type="dxa"/>
            <w:vAlign w:val="bottom"/>
            <w:gridSpan w:val="2"/>
          </w:tcPr>
          <w:p>
            <w:pPr>
              <w:spacing w:after="0"/>
              <w:rPr>
                <w:sz w:val="20"/>
                <w:szCs w:val="20"/>
                <w:color w:val="auto"/>
              </w:rPr>
            </w:pPr>
            <w:r>
              <w:rPr>
                <w:rFonts w:ascii="Arial" w:cs="Arial" w:eastAsia="Arial" w:hAnsi="Arial"/>
                <w:sz w:val="18"/>
                <w:szCs w:val="18"/>
                <w:color w:val="auto"/>
              </w:rPr>
              <w:t>MEDIA</w:t>
            </w:r>
          </w:p>
        </w:tc>
        <w:tc>
          <w:tcPr>
            <w:tcW w:w="3720" w:type="dxa"/>
            <w:vAlign w:val="bottom"/>
            <w:gridSpan w:val="3"/>
          </w:tcPr>
          <w:p>
            <w:pPr>
              <w:ind w:left="1600"/>
              <w:spacing w:after="0"/>
              <w:rPr>
                <w:sz w:val="20"/>
                <w:szCs w:val="20"/>
                <w:color w:val="auto"/>
              </w:rPr>
            </w:pPr>
            <w:r>
              <w:rPr>
                <w:rFonts w:ascii="Arial" w:cs="Arial" w:eastAsia="Arial" w:hAnsi="Arial"/>
                <w:sz w:val="18"/>
                <w:szCs w:val="18"/>
                <w:color w:val="auto"/>
              </w:rPr>
              <w:t>INVESTORS</w:t>
            </w:r>
          </w:p>
        </w:tc>
      </w:tr>
      <w:tr>
        <w:trPr>
          <w:trHeight w:val="203"/>
        </w:trPr>
        <w:tc>
          <w:tcPr>
            <w:tcW w:w="4260" w:type="dxa"/>
            <w:vAlign w:val="bottom"/>
            <w:gridSpan w:val="2"/>
          </w:tcPr>
          <w:p>
            <w:pPr>
              <w:spacing w:after="0" w:line="202" w:lineRule="exact"/>
              <w:rPr>
                <w:sz w:val="20"/>
                <w:szCs w:val="20"/>
                <w:color w:val="auto"/>
              </w:rPr>
            </w:pPr>
            <w:r>
              <w:rPr>
                <w:rFonts w:ascii="Arial" w:cs="Arial" w:eastAsia="Arial" w:hAnsi="Arial"/>
                <w:sz w:val="18"/>
                <w:szCs w:val="18"/>
                <w:color w:val="auto"/>
              </w:rPr>
              <w:t>Andrew Green</w:t>
            </w:r>
          </w:p>
        </w:tc>
        <w:tc>
          <w:tcPr>
            <w:tcW w:w="3720" w:type="dxa"/>
            <w:vAlign w:val="bottom"/>
            <w:gridSpan w:val="3"/>
          </w:tcPr>
          <w:p>
            <w:pPr>
              <w:ind w:left="1600"/>
              <w:spacing w:after="0" w:line="202" w:lineRule="exact"/>
              <w:rPr>
                <w:sz w:val="20"/>
                <w:szCs w:val="20"/>
                <w:color w:val="auto"/>
              </w:rPr>
            </w:pPr>
            <w:r>
              <w:rPr>
                <w:rFonts w:ascii="Arial" w:cs="Arial" w:eastAsia="Arial" w:hAnsi="Arial"/>
                <w:sz w:val="18"/>
                <w:szCs w:val="18"/>
                <w:color w:val="auto"/>
              </w:rPr>
              <w:t>Gary Bisbee</w:t>
            </w:r>
          </w:p>
        </w:tc>
      </w:tr>
      <w:tr>
        <w:trPr>
          <w:trHeight w:val="203"/>
        </w:trPr>
        <w:tc>
          <w:tcPr>
            <w:tcW w:w="4260" w:type="dxa"/>
            <w:vAlign w:val="bottom"/>
            <w:gridSpan w:val="2"/>
          </w:tcPr>
          <w:p>
            <w:pPr>
              <w:spacing w:after="0" w:line="202" w:lineRule="exact"/>
              <w:rPr>
                <w:sz w:val="20"/>
                <w:szCs w:val="20"/>
                <w:color w:val="auto"/>
              </w:rPr>
            </w:pPr>
            <w:r>
              <w:rPr>
                <w:rFonts w:ascii="Arial" w:cs="Arial" w:eastAsia="Arial" w:hAnsi="Arial"/>
                <w:sz w:val="18"/>
                <w:szCs w:val="18"/>
                <w:color w:val="auto"/>
              </w:rPr>
              <w:t>Senior Director, Corporate Affairs</w:t>
            </w:r>
          </w:p>
        </w:tc>
        <w:tc>
          <w:tcPr>
            <w:tcW w:w="3720" w:type="dxa"/>
            <w:vAlign w:val="bottom"/>
            <w:gridSpan w:val="3"/>
          </w:tcPr>
          <w:p>
            <w:pPr>
              <w:ind w:left="1600"/>
              <w:spacing w:after="0" w:line="202" w:lineRule="exact"/>
              <w:rPr>
                <w:sz w:val="20"/>
                <w:szCs w:val="20"/>
                <w:color w:val="auto"/>
              </w:rPr>
            </w:pPr>
            <w:r>
              <w:rPr>
                <w:rFonts w:ascii="Arial" w:cs="Arial" w:eastAsia="Arial" w:hAnsi="Arial"/>
                <w:sz w:val="18"/>
                <w:szCs w:val="18"/>
                <w:color w:val="auto"/>
                <w:w w:val="98"/>
              </w:rPr>
              <w:t>Head of Investor Relations</w:t>
            </w:r>
          </w:p>
        </w:tc>
      </w:tr>
      <w:tr>
        <w:trPr>
          <w:trHeight w:val="202"/>
        </w:trPr>
        <w:tc>
          <w:tcPr>
            <w:tcW w:w="1780" w:type="dxa"/>
            <w:vAlign w:val="bottom"/>
          </w:tcPr>
          <w:p>
            <w:pPr>
              <w:spacing w:after="0" w:line="202" w:lineRule="exact"/>
              <w:rPr>
                <w:sz w:val="20"/>
                <w:szCs w:val="20"/>
                <w:color w:val="auto"/>
              </w:rPr>
            </w:pPr>
            <w:r>
              <w:rPr>
                <w:rFonts w:ascii="Arial" w:cs="Arial" w:eastAsia="Arial" w:hAnsi="Arial"/>
                <w:sz w:val="18"/>
                <w:szCs w:val="18"/>
                <w:color w:val="auto"/>
              </w:rPr>
              <w:t>+1 332 219 1511</w:t>
            </w:r>
          </w:p>
        </w:tc>
        <w:tc>
          <w:tcPr>
            <w:tcW w:w="2480" w:type="dxa"/>
            <w:vAlign w:val="bottom"/>
          </w:tcPr>
          <w:p>
            <w:pPr>
              <w:spacing w:after="0"/>
              <w:rPr>
                <w:sz w:val="17"/>
                <w:szCs w:val="17"/>
                <w:color w:val="auto"/>
              </w:rPr>
            </w:pPr>
          </w:p>
        </w:tc>
        <w:tc>
          <w:tcPr>
            <w:tcW w:w="31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+1 646 540 3249</w:t>
            </w:r>
          </w:p>
        </w:tc>
        <w:tc>
          <w:tcPr>
            <w:tcW w:w="540" w:type="dxa"/>
            <w:vAlign w:val="bottom"/>
          </w:tcPr>
          <w:p>
            <w:pPr>
              <w:spacing w:after="0"/>
              <w:rPr>
                <w:sz w:val="17"/>
                <w:szCs w:val="17"/>
                <w:color w:val="auto"/>
              </w:rPr>
            </w:pPr>
          </w:p>
        </w:tc>
      </w:tr>
      <w:tr>
        <w:trPr>
          <w:trHeight w:val="194"/>
        </w:trPr>
        <w:tc>
          <w:tcPr>
            <w:tcW w:w="1780" w:type="dxa"/>
            <w:vAlign w:val="bottom"/>
          </w:tcPr>
          <w:p>
            <w:pPr>
              <w:spacing w:after="0" w:line="195" w:lineRule="exact"/>
              <w:rPr>
                <w:sz w:val="20"/>
                <w:szCs w:val="20"/>
                <w:color w:val="auto"/>
              </w:rPr>
            </w:pPr>
            <w:r>
              <w:rPr>
                <w:rFonts w:ascii="Arial" w:cs="Arial" w:eastAsia="Arial" w:hAnsi="Arial"/>
                <w:sz w:val="18"/>
                <w:szCs w:val="18"/>
                <w:color w:val="auto"/>
                <w:w w:val="98"/>
              </w:rPr>
              <w:t>andrew.green@tr.com</w:t>
            </w:r>
          </w:p>
        </w:tc>
        <w:tc>
          <w:tcPr>
            <w:tcW w:w="2480" w:type="dxa"/>
            <w:vAlign w:val="bottom"/>
          </w:tcPr>
          <w:p>
            <w:pPr>
              <w:spacing w:after="0"/>
              <w:rPr>
                <w:sz w:val="16"/>
                <w:szCs w:val="16"/>
                <w:color w:val="auto"/>
              </w:rPr>
            </w:pPr>
          </w:p>
        </w:tc>
        <w:tc>
          <w:tcPr>
            <w:tcW w:w="3720" w:type="dxa"/>
            <w:vAlign w:val="bottom"/>
            <w:gridSpan w:val="3"/>
          </w:tcPr>
          <w:p>
            <w:pPr>
              <w:ind w:left="1600"/>
              <w:spacing w:after="0" w:line="195" w:lineRule="exact"/>
              <w:rPr>
                <w:sz w:val="20"/>
                <w:szCs w:val="20"/>
                <w:color w:val="auto"/>
              </w:rPr>
            </w:pPr>
            <w:r>
              <w:rPr>
                <w:rFonts w:ascii="Arial" w:cs="Arial" w:eastAsia="Arial" w:hAnsi="Arial"/>
                <w:sz w:val="18"/>
                <w:szCs w:val="18"/>
                <w:color w:val="auto"/>
              </w:rPr>
              <w:t>gary.bisbee@tr.com</w:t>
            </w:r>
          </w:p>
        </w:tc>
      </w:tr>
      <w:tr>
        <w:trPr>
          <w:trHeight w:val="20"/>
        </w:trPr>
        <w:tc>
          <w:tcPr>
            <w:tcW w:w="17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color w:val="auto"/>
        </w:rPr>
        <w:t xml:space="preserve">Thomson Reuters will webcast a discussion of its second-quarter 2022 results and its business outlook today beginning at 8:30 a.m. Eastern Daylight Time (EDT). You can access the webcast by visiting </w:t>
      </w:r>
      <w:r>
        <w:rPr>
          <w:rFonts w:ascii="Arial" w:cs="Arial" w:eastAsia="Arial" w:hAnsi="Arial"/>
          <w:sz w:val="18"/>
          <w:szCs w:val="18"/>
          <w:b w:val="1"/>
          <w:bCs w:val="1"/>
          <w:u w:val="single" w:color="auto"/>
          <w:color w:val="auto"/>
        </w:rPr>
        <w:t>ir.tr.com</w:t>
      </w:r>
      <w:r>
        <w:rPr>
          <w:rFonts w:ascii="Arial" w:cs="Arial" w:eastAsia="Arial" w:hAnsi="Arial"/>
          <w:sz w:val="18"/>
          <w:szCs w:val="18"/>
          <w:b w:val="1"/>
          <w:bCs w:val="1"/>
          <w:color w:val="auto"/>
        </w:rPr>
        <w:t>. An archive of the webcast will be available following the presentation.</w:t>
      </w:r>
    </w:p>
    <w:p>
      <w:pPr>
        <w:sectPr>
          <w:pgSz w:w="11900" w:h="16838" w:orient="portrait"/>
          <w:cols w:equalWidth="0" w:num="1">
            <w:col w:w="11180"/>
          </w:cols>
          <w:pgMar w:left="320" w:top="1012"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14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CONTINUING OPERATIONS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1,614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1,532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3,288</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164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(38)</w:t>
            </w:r>
          </w:p>
        </w:tc>
        <w:tc>
          <w:tcPr>
            <w:tcW w:w="12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6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computer software</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00" w:type="dxa"/>
            <w:vAlign w:val="bottom"/>
          </w:tcPr>
          <w:p>
            <w:pPr>
              <w:spacing w:after="0"/>
              <w:rPr>
                <w:sz w:val="17"/>
                <w:szCs w:val="17"/>
                <w:color w:val="auto"/>
              </w:rPr>
            </w:pPr>
          </w:p>
        </w:tc>
        <w:tc>
          <w:tcPr>
            <w:tcW w:w="164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16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gains, net</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costs,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100" w:type="dxa"/>
            <w:vAlign w:val="bottom"/>
          </w:tcPr>
          <w:p>
            <w:pPr>
              <w:spacing w:after="0"/>
              <w:rPr>
                <w:sz w:val="17"/>
                <w:szCs w:val="17"/>
                <w:color w:val="auto"/>
              </w:rPr>
            </w:pPr>
          </w:p>
        </w:tc>
        <w:tc>
          <w:tcPr>
            <w:tcW w:w="164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6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Income before tax and equity method investments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Share of post-tax (losses) earnings in equity method</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Tax benefit (expense)</w:t>
            </w: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(289)</w:t>
            </w:r>
          </w:p>
        </w:tc>
        <w:tc>
          <w:tcPr>
            <w:tcW w:w="120" w:type="dxa"/>
            <w:vAlign w:val="bottom"/>
          </w:tcPr>
          <w:p>
            <w:pPr>
              <w:spacing w:after="0"/>
              <w:rPr>
                <w:sz w:val="17"/>
                <w:szCs w:val="17"/>
                <w:color w:val="auto"/>
              </w:rPr>
            </w:pPr>
          </w:p>
        </w:tc>
        <w:tc>
          <w:tcPr>
            <w:tcW w:w="16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(148)</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earnings from continuing operations</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17"/>
                <w:szCs w:val="17"/>
                <w:color w:val="auto"/>
              </w:rPr>
            </w:pPr>
          </w:p>
        </w:tc>
        <w:tc>
          <w:tcPr>
            <w:tcW w:w="164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6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earnings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(Loss) earnings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488"/>
              <w:spacing w:after="0"/>
              <w:rPr>
                <w:sz w:val="20"/>
                <w:szCs w:val="20"/>
                <w:color w:val="auto"/>
              </w:rPr>
            </w:pPr>
            <w:r>
              <w:rPr>
                <w:rFonts w:ascii="Arial" w:cs="Arial" w:eastAsia="Arial" w:hAnsi="Arial"/>
                <w:sz w:val="18"/>
                <w:szCs w:val="18"/>
                <w:color w:val="auto"/>
              </w:rPr>
              <w:t>(115)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1,068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68"/>
              <w:spacing w:after="0"/>
              <w:rPr>
                <w:sz w:val="20"/>
                <w:szCs w:val="20"/>
                <w:color w:val="auto"/>
              </w:rPr>
            </w:pPr>
            <w:r>
              <w:rPr>
                <w:rFonts w:ascii="Arial" w:cs="Arial" w:eastAsia="Arial" w:hAnsi="Arial"/>
                <w:sz w:val="18"/>
                <w:szCs w:val="18"/>
                <w:color w:val="auto"/>
              </w:rPr>
              <w:t>892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earnings per share: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Basic (loss) earnings per share: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From continuing operations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3"/>
        </w:trPr>
        <w:tc>
          <w:tcPr>
            <w:tcW w:w="4740" w:type="dxa"/>
            <w:vAlign w:val="bottom"/>
          </w:tcPr>
          <w:p>
            <w:pPr>
              <w:ind w:left="360"/>
              <w:spacing w:after="0" w:line="202" w:lineRule="exact"/>
              <w:rPr>
                <w:sz w:val="20"/>
                <w:szCs w:val="20"/>
                <w:color w:val="auto"/>
              </w:rPr>
            </w:pPr>
            <w:r>
              <w:rPr>
                <w:rFonts w:ascii="Arial" w:cs="Arial" w:eastAsia="Arial" w:hAnsi="Arial"/>
                <w:sz w:val="18"/>
                <w:szCs w:val="18"/>
                <w:color w:val="auto"/>
              </w:rPr>
              <w:t>From discontinued operations</w:t>
            </w:r>
          </w:p>
        </w:tc>
        <w:tc>
          <w:tcPr>
            <w:tcW w:w="100" w:type="dxa"/>
            <w:vAlign w:val="bottom"/>
          </w:tcPr>
          <w:p>
            <w:pPr>
              <w:spacing w:after="0"/>
              <w:rPr>
                <w:sz w:val="17"/>
                <w:szCs w:val="17"/>
                <w:color w:val="auto"/>
              </w:rPr>
            </w:pPr>
          </w:p>
        </w:tc>
        <w:tc>
          <w:tcPr>
            <w:tcW w:w="164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(0.09)</w:t>
            </w:r>
          </w:p>
        </w:tc>
        <w:tc>
          <w:tcPr>
            <w:tcW w:w="12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16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(loss) earnings per share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Diluted (loss)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From continuing operations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3"/>
        </w:trPr>
        <w:tc>
          <w:tcPr>
            <w:tcW w:w="4740" w:type="dxa"/>
            <w:vAlign w:val="bottom"/>
          </w:tcPr>
          <w:p>
            <w:pPr>
              <w:ind w:left="360"/>
              <w:spacing w:after="0" w:line="202" w:lineRule="exact"/>
              <w:rPr>
                <w:sz w:val="20"/>
                <w:szCs w:val="20"/>
                <w:color w:val="auto"/>
              </w:rPr>
            </w:pPr>
            <w:r>
              <w:rPr>
                <w:rFonts w:ascii="Arial" w:cs="Arial" w:eastAsia="Arial" w:hAnsi="Arial"/>
                <w:sz w:val="18"/>
                <w:szCs w:val="18"/>
                <w:color w:val="auto"/>
              </w:rPr>
              <w:t>From discontinued operations</w:t>
            </w:r>
          </w:p>
        </w:tc>
        <w:tc>
          <w:tcPr>
            <w:tcW w:w="100" w:type="dxa"/>
            <w:vAlign w:val="bottom"/>
          </w:tcPr>
          <w:p>
            <w:pPr>
              <w:spacing w:after="0"/>
              <w:rPr>
                <w:sz w:val="17"/>
                <w:szCs w:val="17"/>
                <w:color w:val="auto"/>
              </w:rPr>
            </w:pPr>
          </w:p>
        </w:tc>
        <w:tc>
          <w:tcPr>
            <w:tcW w:w="1640" w:type="dxa"/>
            <w:vAlign w:val="bottom"/>
            <w:gridSpan w:val="2"/>
          </w:tcPr>
          <w:p>
            <w:pPr>
              <w:jc w:val="right"/>
              <w:ind w:right="488"/>
              <w:spacing w:after="0" w:line="202" w:lineRule="exact"/>
              <w:rPr>
                <w:sz w:val="20"/>
                <w:szCs w:val="20"/>
                <w:color w:val="auto"/>
              </w:rPr>
            </w:pPr>
            <w:r>
              <w:rPr>
                <w:rFonts w:ascii="Arial" w:cs="Arial" w:eastAsia="Arial" w:hAnsi="Arial"/>
                <w:sz w:val="18"/>
                <w:szCs w:val="18"/>
                <w:color w:val="auto"/>
              </w:rPr>
              <w:t>(0.09)</w:t>
            </w:r>
          </w:p>
        </w:tc>
        <w:tc>
          <w:tcPr>
            <w:tcW w:w="120" w:type="dxa"/>
            <w:vAlign w:val="bottom"/>
          </w:tcPr>
          <w:p>
            <w:pPr>
              <w:spacing w:after="0"/>
              <w:rPr>
                <w:sz w:val="17"/>
                <w:szCs w:val="17"/>
                <w:color w:val="auto"/>
              </w:rPr>
            </w:pPr>
          </w:p>
        </w:tc>
        <w:tc>
          <w:tcPr>
            <w:tcW w:w="16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16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(loss) earnings per share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Basic weighted-average common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487,171,400</w:t>
            </w:r>
          </w:p>
        </w:tc>
        <w:tc>
          <w:tcPr>
            <w:tcW w:w="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496,098,238</w:t>
            </w: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486,929,681</w:t>
            </w:r>
          </w:p>
        </w:tc>
        <w:tc>
          <w:tcPr>
            <w:tcW w:w="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496,016,467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weighted-average common shares</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48"/>
              <w:spacing w:after="0" w:line="196" w:lineRule="exact"/>
              <w:rPr>
                <w:sz w:val="20"/>
                <w:szCs w:val="20"/>
                <w:color w:val="auto"/>
              </w:rPr>
            </w:pPr>
            <w:r>
              <w:rPr>
                <w:rFonts w:ascii="Arial" w:cs="Arial" w:eastAsia="Arial" w:hAnsi="Arial"/>
                <w:sz w:val="18"/>
                <w:szCs w:val="18"/>
                <w:color w:val="auto"/>
                <w:w w:val="99"/>
              </w:rPr>
              <w:t>487,171,400</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w w:val="97"/>
              </w:rPr>
              <w:t>497,259,072</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68"/>
              <w:spacing w:after="0" w:line="196" w:lineRule="exact"/>
              <w:rPr>
                <w:sz w:val="20"/>
                <w:szCs w:val="20"/>
                <w:color w:val="auto"/>
              </w:rPr>
            </w:pPr>
            <w:r>
              <w:rPr>
                <w:rFonts w:ascii="Arial" w:cs="Arial" w:eastAsia="Arial" w:hAnsi="Arial"/>
                <w:sz w:val="18"/>
                <w:szCs w:val="18"/>
                <w:color w:val="auto"/>
                <w:w w:val="97"/>
              </w:rPr>
              <w:t>487,713,813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497,109,791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1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15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9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1"/>
              <w:spacing w:after="0" w:line="17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20"/>
                <w:szCs w:val="20"/>
                <w:b w:val="1"/>
                <w:bCs w:val="1"/>
                <w:color w:val="auto"/>
                <w:vertAlign w:val="superscript"/>
              </w:rPr>
              <w:t>(1)</w:t>
            </w:r>
          </w:p>
        </w:tc>
        <w:tc>
          <w:tcPr>
            <w:tcW w:w="120" w:type="dxa"/>
            <w:vAlign w:val="bottom"/>
            <w:tcBorders>
              <w:bottom w:val="single" w:sz="8" w:color="CCEEFF"/>
            </w:tcBorders>
          </w:tcPr>
          <w:p>
            <w:pPr>
              <w:spacing w:after="0"/>
              <w:rPr>
                <w:sz w:val="15"/>
                <w:szCs w:val="15"/>
                <w:color w:val="auto"/>
              </w:rPr>
            </w:pPr>
          </w:p>
        </w:tc>
      </w:tr>
      <w:tr>
        <w:trPr>
          <w:trHeight w:val="183"/>
        </w:trPr>
        <w:tc>
          <w:tcPr>
            <w:tcW w:w="90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461</w:t>
            </w:r>
          </w:p>
        </w:tc>
        <w:tc>
          <w:tcPr>
            <w:tcW w:w="220" w:type="dxa"/>
            <w:vAlign w:val="bottom"/>
          </w:tcPr>
          <w:p>
            <w:pPr>
              <w:spacing w:after="0"/>
              <w:rPr>
                <w:sz w:val="17"/>
                <w:szCs w:val="17"/>
                <w:color w:val="auto"/>
              </w:rPr>
            </w:pP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778</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1,057</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Other financial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462</w:t>
            </w:r>
          </w:p>
        </w:tc>
      </w:tr>
      <w:tr>
        <w:trPr>
          <w:trHeight w:val="210"/>
        </w:trPr>
        <w:tc>
          <w:tcPr>
            <w:tcW w:w="9080" w:type="dxa"/>
            <w:vAlign w:val="bottom"/>
          </w:tcPr>
          <w:p>
            <w:pPr>
              <w:ind w:left="360"/>
              <w:spacing w:after="0"/>
              <w:rPr>
                <w:sz w:val="20"/>
                <w:szCs w:val="20"/>
                <w:color w:val="auto"/>
              </w:rPr>
            </w:pPr>
            <w:r>
              <w:rPr>
                <w:rFonts w:ascii="Arial" w:cs="Arial" w:eastAsia="Arial" w:hAnsi="Arial"/>
                <w:sz w:val="18"/>
                <w:szCs w:val="18"/>
                <w:color w:val="auto"/>
              </w:rPr>
              <w:t>Current assets excluding assets held for sale</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w:t>
            </w:r>
          </w:p>
        </w:tc>
      </w:tr>
      <w:tr>
        <w:trPr>
          <w:trHeight w:val="209"/>
        </w:trPr>
        <w:tc>
          <w:tcPr>
            <w:tcW w:w="9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18"/>
                <w:szCs w:val="18"/>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502</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Computer software, net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822</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identifiable intangible assets, net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3,276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3,331</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5,940</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6,672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6,736</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1,226</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1,132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1,139</w:t>
            </w:r>
          </w:p>
        </w:tc>
      </w:tr>
      <w:tr>
        <w:trPr>
          <w:trHeight w:val="209"/>
        </w:trPr>
        <w:tc>
          <w:tcPr>
            <w:tcW w:w="90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21,799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22,149</w:t>
            </w:r>
          </w:p>
        </w:tc>
        <w:tc>
          <w:tcPr>
            <w:tcW w:w="120" w:type="dxa"/>
            <w:vAlign w:val="bottom"/>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indebtedness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Payables, accruals and provisions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953</w:t>
            </w:r>
          </w:p>
        </w:tc>
        <w:tc>
          <w:tcPr>
            <w:tcW w:w="220" w:type="dxa"/>
            <w:vAlign w:val="bottom"/>
          </w:tcPr>
          <w:p>
            <w:pPr>
              <w:spacing w:after="0"/>
              <w:rPr>
                <w:sz w:val="17"/>
                <w:szCs w:val="17"/>
                <w:color w:val="auto"/>
              </w:rPr>
            </w:pP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1,326</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169</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874</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financial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w:t>
            </w:r>
          </w:p>
        </w:tc>
      </w:tr>
      <w:tr>
        <w:trPr>
          <w:trHeight w:val="210"/>
        </w:trPr>
        <w:tc>
          <w:tcPr>
            <w:tcW w:w="9080" w:type="dxa"/>
            <w:vAlign w:val="bottom"/>
          </w:tcPr>
          <w:p>
            <w:pPr>
              <w:ind w:left="360"/>
              <w:spacing w:after="0"/>
              <w:rPr>
                <w:sz w:val="20"/>
                <w:szCs w:val="20"/>
                <w:color w:val="auto"/>
              </w:rPr>
            </w:pPr>
            <w:r>
              <w:rPr>
                <w:rFonts w:ascii="Arial" w:cs="Arial" w:eastAsia="Arial" w:hAnsi="Arial"/>
                <w:sz w:val="18"/>
                <w:szCs w:val="18"/>
                <w:color w:val="auto"/>
              </w:rPr>
              <w:t>Current liabilities excluding liabilities associated with assets held for sale</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18"/>
                <w:szCs w:val="18"/>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associated with assets held for sale</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r>
      <w:tr>
        <w:trPr>
          <w:trHeight w:val="209"/>
        </w:trPr>
        <w:tc>
          <w:tcPr>
            <w:tcW w:w="9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18"/>
                <w:szCs w:val="18"/>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indebtedness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3,786</w:t>
            </w: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Provisions and other non-current liabilities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943</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1,005</w:t>
            </w:r>
          </w:p>
        </w:tc>
      </w:tr>
      <w:tr>
        <w:trPr>
          <w:trHeight w:val="217"/>
        </w:trPr>
        <w:tc>
          <w:tcPr>
            <w:tcW w:w="90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8,315</w:t>
            </w:r>
          </w:p>
        </w:tc>
        <w:tc>
          <w:tcPr>
            <w:tcW w:w="120" w:type="dxa"/>
            <w:vAlign w:val="bottom"/>
          </w:tcPr>
          <w:p>
            <w:pPr>
              <w:spacing w:after="0"/>
              <w:rPr>
                <w:sz w:val="18"/>
                <w:szCs w:val="18"/>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5,496</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8,966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9,149</w:t>
            </w:r>
          </w:p>
        </w:tc>
      </w:tr>
      <w:tr>
        <w:trPr>
          <w:trHeight w:val="209"/>
        </w:trPr>
        <w:tc>
          <w:tcPr>
            <w:tcW w:w="908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(811)</w:t>
            </w: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13,353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13,834</w:t>
            </w:r>
          </w:p>
        </w:tc>
        <w:tc>
          <w:tcPr>
            <w:tcW w:w="120" w:type="dxa"/>
            <w:vAlign w:val="bottom"/>
            <w:shd w:val="clear" w:color="auto" w:fill="CCEEFF"/>
          </w:tcPr>
          <w:p>
            <w:pPr>
              <w:spacing w:after="0"/>
              <w:rPr>
                <w:sz w:val="17"/>
                <w:szCs w:val="17"/>
                <w:color w:val="auto"/>
              </w:rPr>
            </w:pPr>
          </w:p>
        </w:tc>
      </w:tr>
      <w:tr>
        <w:trPr>
          <w:trHeight w:val="210"/>
        </w:trPr>
        <w:tc>
          <w:tcPr>
            <w:tcW w:w="908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21,799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22,149</w:t>
            </w:r>
          </w:p>
        </w:tc>
        <w:tc>
          <w:tcPr>
            <w:tcW w:w="120" w:type="dxa"/>
            <w:vAlign w:val="bottom"/>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Prior-year period amounts have been reclassified to reflect the current period presentation.</w:t>
      </w:r>
    </w:p>
    <w:p>
      <w:pPr>
        <w:sectPr>
          <w:pgSz w:w="11900" w:h="16838" w:orient="portrait"/>
          <w:cols w:equalWidth="0" w:num="1">
            <w:col w:w="11240"/>
          </w:cols>
          <w:pgMar w:left="320" w:top="101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010"/>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16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83"/>
        </w:trPr>
        <w:tc>
          <w:tcPr>
            <w:tcW w:w="7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provided by (used in):</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1,072</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$ 947</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$ 6,105</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Adjustments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w:t>
            </w:r>
          </w:p>
        </w:tc>
      </w:tr>
      <w:tr>
        <w:trPr>
          <w:trHeight w:val="203"/>
        </w:trPr>
        <w:tc>
          <w:tcPr>
            <w:tcW w:w="78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computer software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122</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235</w:t>
            </w:r>
          </w:p>
        </w:tc>
        <w:tc>
          <w:tcPr>
            <w:tcW w:w="8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7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30</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w:t>
            </w:r>
          </w:p>
        </w:tc>
      </w:tr>
      <w:tr>
        <w:trPr>
          <w:trHeight w:val="203"/>
        </w:trPr>
        <w:tc>
          <w:tcPr>
            <w:tcW w:w="7800" w:type="dxa"/>
            <w:vAlign w:val="bottom"/>
          </w:tcPr>
          <w:p>
            <w:pPr>
              <w:ind w:left="360"/>
              <w:spacing w:after="0" w:line="202" w:lineRule="exact"/>
              <w:rPr>
                <w:sz w:val="20"/>
                <w:szCs w:val="20"/>
                <w:color w:val="auto"/>
              </w:rPr>
            </w:pPr>
            <w:r>
              <w:rPr>
                <w:rFonts w:ascii="Arial" w:cs="Arial" w:eastAsia="Arial" w:hAnsi="Arial"/>
                <w:sz w:val="18"/>
                <w:szCs w:val="18"/>
                <w:color w:val="auto"/>
              </w:rPr>
              <w:t>Share of post-tax losses (earnings) in equity method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(1,092)</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w:t>
            </w: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(7,389)</w:t>
            </w:r>
          </w:p>
        </w:tc>
      </w:tr>
      <w:tr>
        <w:trPr>
          <w:trHeight w:val="203"/>
        </w:trPr>
        <w:tc>
          <w:tcPr>
            <w:tcW w:w="7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249</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923</w:t>
            </w:r>
          </w:p>
        </w:tc>
      </w:tr>
      <w:tr>
        <w:trPr>
          <w:trHeight w:val="203"/>
        </w:trPr>
        <w:tc>
          <w:tcPr>
            <w:tcW w:w="78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(324)</w:t>
            </w:r>
          </w:p>
        </w:tc>
        <w:tc>
          <w:tcPr>
            <w:tcW w:w="8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63</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working capital and other items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(216)</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800</w:t>
            </w:r>
          </w:p>
        </w:tc>
      </w:tr>
      <w:tr>
        <w:trPr>
          <w:trHeight w:val="209"/>
        </w:trPr>
        <w:tc>
          <w:tcPr>
            <w:tcW w:w="7800" w:type="dxa"/>
            <w:vAlign w:val="bottom"/>
          </w:tcPr>
          <w:p>
            <w:pPr>
              <w:spacing w:after="0"/>
              <w:rPr>
                <w:sz w:val="20"/>
                <w:szCs w:val="20"/>
                <w:color w:val="auto"/>
              </w:rPr>
            </w:pPr>
            <w:r>
              <w:rPr>
                <w:rFonts w:ascii="Arial" w:cs="Arial" w:eastAsia="Arial" w:hAnsi="Arial"/>
                <w:sz w:val="18"/>
                <w:szCs w:val="18"/>
                <w:color w:val="auto"/>
              </w:rPr>
              <w:t>Operating cash flows from continuing operations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flows from discontinued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(71)</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17"/>
        </w:trPr>
        <w:tc>
          <w:tcPr>
            <w:tcW w:w="78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Acquisitions, net of cash acquired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(171)</w:t>
            </w: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disposals of businesses and investments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Dividend from sale of LSEG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994</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(308)</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(233)</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Other investing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62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52</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53</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paid on sale of Refinitiv and LSEG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(438)</w:t>
            </w: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(444)</w:t>
            </w:r>
          </w:p>
        </w:tc>
      </w:tr>
      <w:tr>
        <w:trPr>
          <w:trHeight w:val="209"/>
        </w:trPr>
        <w:tc>
          <w:tcPr>
            <w:tcW w:w="7800" w:type="dxa"/>
            <w:vAlign w:val="bottom"/>
          </w:tcPr>
          <w:p>
            <w:pPr>
              <w:spacing w:after="0"/>
              <w:rPr>
                <w:sz w:val="20"/>
                <w:szCs w:val="20"/>
                <w:color w:val="auto"/>
              </w:rPr>
            </w:pPr>
            <w:r>
              <w:rPr>
                <w:rFonts w:ascii="Arial" w:cs="Arial" w:eastAsia="Arial" w:hAnsi="Arial"/>
                <w:sz w:val="18"/>
                <w:szCs w:val="18"/>
                <w:color w:val="auto"/>
              </w:rPr>
              <w:t>Investing cash flows from continuing operations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cash flows from discontinued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r>
      <w:tr>
        <w:trPr>
          <w:trHeight w:val="217"/>
        </w:trPr>
        <w:tc>
          <w:tcPr>
            <w:tcW w:w="78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Net borrowings under short-term loan facilities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of lease principal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Repurchases of common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(194)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(194)</w:t>
            </w: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Dividends paid on common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(194)</w:t>
            </w: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(419)</w:t>
            </w: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(388)</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2,584</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778</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1,787</w:t>
            </w: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$ 2,342</w:t>
            </w:r>
          </w:p>
        </w:tc>
        <w:tc>
          <w:tcPr>
            <w:tcW w:w="12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240"/>
          </w:cols>
          <w:pgMar w:left="320" w:top="10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17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jc w:val="center"/>
        <w:spacing w:after="0" w:line="185" w:lineRule="auto"/>
        <w:rPr>
          <w:sz w:val="20"/>
          <w:szCs w:val="20"/>
          <w:color w:val="auto"/>
        </w:rPr>
      </w:pPr>
      <w:r>
        <w:rPr>
          <w:rFonts w:ascii="Arial" w:cs="Arial" w:eastAsia="Arial" w:hAnsi="Arial"/>
          <w:sz w:val="17"/>
          <w:szCs w:val="17"/>
          <w:b w:val="1"/>
          <w:bCs w:val="1"/>
          <w:color w:val="auto"/>
        </w:rPr>
        <w:t>Reconciliation of (Loss) Earnings from Continuing Operations to Adjusted EBITDA</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4"/>
          <w:szCs w:val="14"/>
          <w:color w:val="auto"/>
        </w:rPr>
        <w:t>(millions of U.S. dollars, except for margins)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590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earnings from continuing operations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947</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$ 6,105</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5,687</w:t>
            </w:r>
          </w:p>
        </w:tc>
        <w:tc>
          <w:tcPr>
            <w:tcW w:w="22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Tax (benefit) expense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148</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1,883</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1,607</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100" w:type="dxa"/>
            <w:vAlign w:val="bottom"/>
          </w:tcPr>
          <w:p>
            <w:pPr>
              <w:spacing w:after="0"/>
              <w:rPr>
                <w:sz w:val="17"/>
                <w:szCs w:val="17"/>
                <w:color w:val="auto"/>
              </w:rPr>
            </w:pPr>
          </w:p>
        </w:tc>
        <w:tc>
          <w:tcPr>
            <w:tcW w:w="84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w w:val="99"/>
              </w:rPr>
              <w:t>(320)</w:t>
            </w:r>
          </w:p>
        </w:tc>
        <w:tc>
          <w:tcPr>
            <w:tcW w:w="160" w:type="dxa"/>
            <w:vAlign w:val="bottom"/>
          </w:tcPr>
          <w:p>
            <w:pPr>
              <w:spacing w:after="0"/>
              <w:rPr>
                <w:sz w:val="17"/>
                <w:szCs w:val="17"/>
                <w:color w:val="auto"/>
              </w:rPr>
            </w:pPr>
          </w:p>
        </w:tc>
        <w:tc>
          <w:tcPr>
            <w:tcW w:w="9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(414)</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97</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196</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00" w:type="dxa"/>
            <w:vAlign w:val="bottom"/>
          </w:tcPr>
          <w:p>
            <w:pPr>
              <w:spacing w:after="0"/>
              <w:rPr>
                <w:sz w:val="17"/>
                <w:szCs w:val="17"/>
                <w:color w:val="auto"/>
              </w:rPr>
            </w:pPr>
          </w:p>
        </w:tc>
        <w:tc>
          <w:tcPr>
            <w:tcW w:w="840" w:type="dxa"/>
            <w:vAlign w:val="bottom"/>
            <w:gridSpan w:val="2"/>
          </w:tcPr>
          <w:p>
            <w:pPr>
              <w:jc w:val="right"/>
              <w:ind w:right="388"/>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9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51</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119</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computer software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235</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474</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840" w:type="dxa"/>
            <w:vAlign w:val="bottom"/>
            <w:gridSpan w:val="2"/>
          </w:tcPr>
          <w:p>
            <w:pPr>
              <w:jc w:val="right"/>
              <w:ind w:right="388"/>
              <w:spacing w:after="0" w:line="202"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7"/>
                <w:szCs w:val="17"/>
                <w:color w:val="auto"/>
              </w:rPr>
            </w:pPr>
          </w:p>
        </w:tc>
        <w:tc>
          <w:tcPr>
            <w:tcW w:w="9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76</w:t>
            </w:r>
          </w:p>
        </w:tc>
        <w:tc>
          <w:tcPr>
            <w:tcW w:w="10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88</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177</w:t>
            </w: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w w:val="99"/>
              </w:rPr>
              <w:t>(250)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7"/>
              </w:rPr>
              <w:t>1,140</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9"/>
              </w:rPr>
              <w:t>$ 8,478</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8,252</w:t>
            </w: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post-tax losses (earnings) in equity method investments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8"/>
              </w:rPr>
              <w:t>(1,092)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w:t>
            </w: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(7,389)</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(6,240)</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 operating gains, net</w:t>
            </w:r>
          </w:p>
        </w:tc>
        <w:tc>
          <w:tcPr>
            <w:tcW w:w="100" w:type="dxa"/>
            <w:vAlign w:val="bottom"/>
          </w:tcPr>
          <w:p>
            <w:pPr>
              <w:spacing w:after="0"/>
              <w:rPr>
                <w:sz w:val="17"/>
                <w:szCs w:val="17"/>
                <w:color w:val="auto"/>
              </w:rPr>
            </w:pPr>
          </w:p>
        </w:tc>
        <w:tc>
          <w:tcPr>
            <w:tcW w:w="84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9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9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r>
      <w:tr>
        <w:trPr>
          <w:trHeight w:val="217"/>
        </w:trPr>
        <w:tc>
          <w:tcPr>
            <w:tcW w:w="5900" w:type="dxa"/>
            <w:vAlign w:val="bottom"/>
          </w:tcPr>
          <w:p>
            <w:pPr>
              <w:spacing w:after="0" w:line="210"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4"/>
                <w:szCs w:val="24"/>
                <w:b w:val="1"/>
                <w:bCs w:val="1"/>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1,161</w:t>
            </w:r>
          </w:p>
        </w:tc>
        <w:tc>
          <w:tcPr>
            <w:tcW w:w="4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$ 1,060</w:t>
            </w:r>
          </w:p>
        </w:tc>
        <w:tc>
          <w:tcPr>
            <w:tcW w:w="4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1,970</w:t>
            </w:r>
          </w:p>
        </w:tc>
        <w:tc>
          <w:tcPr>
            <w:tcW w:w="220" w:type="dxa"/>
            <w:vAlign w:val="bottom"/>
          </w:tcPr>
          <w:p>
            <w:pPr>
              <w:spacing w:after="0"/>
              <w:rPr>
                <w:sz w:val="18"/>
                <w:szCs w:val="18"/>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 EBITDA margin</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b w:val="1"/>
                <w:bCs w:val="1"/>
                <w:color w:val="auto"/>
              </w:rPr>
              <w:t>34.7%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35.3%</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34.1%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31.0%</w:t>
            </w: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8" w:lineRule="exact"/>
        <w:rPr>
          <w:sz w:val="20"/>
          <w:szCs w:val="20"/>
          <w:color w:val="auto"/>
        </w:rPr>
      </w:pPr>
    </w:p>
    <w:p>
      <w:pPr>
        <w:ind w:left="460" w:right="160" w:hanging="452"/>
        <w:spacing w:after="0" w:line="282" w:lineRule="auto"/>
        <w:tabs>
          <w:tab w:leader="none" w:pos="46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Fair value adjustments, a component of operating expenses, primarily represent gains or losses on intercompany balances that arise in the ordinary course of business due to changes in foreign currency exchange rates.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jc w:val="center"/>
        <w:spacing w:after="0" w:line="185" w:lineRule="auto"/>
        <w:rPr>
          <w:sz w:val="20"/>
          <w:szCs w:val="20"/>
          <w:color w:val="auto"/>
        </w:rPr>
      </w:pPr>
      <w:r>
        <w:rPr>
          <w:rFonts w:ascii="Arial" w:cs="Arial" w:eastAsia="Arial" w:hAnsi="Arial"/>
          <w:sz w:val="17"/>
          <w:szCs w:val="17"/>
          <w:b w:val="1"/>
          <w:bCs w:val="1"/>
          <w:color w:val="auto"/>
        </w:rPr>
        <w:t>Reconciliation of Net Cash Provided By Operating Activities to Free Cash Flow</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(113)</w:t>
            </w:r>
          </w:p>
        </w:tc>
        <w:tc>
          <w:tcPr>
            <w:tcW w:w="10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(308)</w:t>
            </w:r>
          </w:p>
        </w:tc>
        <w:tc>
          <w:tcPr>
            <w:tcW w:w="120" w:type="dxa"/>
            <w:vAlign w:val="bottom"/>
          </w:tcPr>
          <w:p>
            <w:pPr>
              <w:spacing w:after="0"/>
              <w:rPr>
                <w:sz w:val="17"/>
                <w:szCs w:val="17"/>
                <w:color w:val="auto"/>
              </w:rPr>
            </w:pP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(233)</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Payments of lease principal</w:t>
            </w:r>
          </w:p>
        </w:tc>
        <w:tc>
          <w:tcPr>
            <w:tcW w:w="10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8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on preference shares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240" w:type="dxa"/>
            <w:vAlign w:val="bottom"/>
          </w:tcPr>
          <w:p>
            <w:pPr>
              <w:spacing w:after="0" w:line="210" w:lineRule="exact"/>
              <w:rPr>
                <w:sz w:val="20"/>
                <w:szCs w:val="20"/>
                <w:color w:val="auto"/>
              </w:rPr>
            </w:pPr>
            <w:r>
              <w:rPr>
                <w:rFonts w:ascii="Arial" w:cs="Arial" w:eastAsia="Arial" w:hAnsi="Arial"/>
                <w:sz w:val="17"/>
                <w:szCs w:val="17"/>
                <w:b w:val="1"/>
                <w:bCs w:val="1"/>
                <w:color w:val="auto"/>
              </w:rPr>
              <w:t>Free cash flow</w:t>
            </w:r>
            <w:r>
              <w:rPr>
                <w:rFonts w:ascii="Arial" w:cs="Arial" w:eastAsia="Arial" w:hAnsi="Arial"/>
                <w:sz w:val="24"/>
                <w:szCs w:val="24"/>
                <w:b w:val="1"/>
                <w:bCs w:val="1"/>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Remove: IFRS adjustment to cash basis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Accrued capital expenditures</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line="230" w:lineRule="exact"/>
              <w:rPr>
                <w:sz w:val="20"/>
                <w:szCs w:val="20"/>
                <w:color w:val="auto"/>
              </w:rPr>
            </w:pPr>
            <w:r>
              <w:rPr>
                <w:rFonts w:ascii="Arial" w:cs="Arial" w:eastAsia="Arial" w:hAnsi="Arial"/>
                <w:sz w:val="18"/>
                <w:szCs w:val="18"/>
                <w:b w:val="1"/>
                <w:bCs w:val="1"/>
                <w:color w:val="auto"/>
              </w:rPr>
              <w:t>Accrued capital expenditures as a percentage of revenues</w:t>
            </w:r>
            <w:r>
              <w:rPr>
                <w:rFonts w:ascii="Arial" w:cs="Arial" w:eastAsia="Arial" w:hAnsi="Arial"/>
                <w:sz w:val="26"/>
                <w:szCs w:val="26"/>
                <w:b w:val="1"/>
                <w:bCs w:val="1"/>
                <w:color w:val="auto"/>
                <w:vertAlign w:val="superscript"/>
              </w:rPr>
              <w:t>(1)</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ectPr>
          <w:pgSz w:w="11900" w:h="16838" w:orient="portrait"/>
          <w:cols w:equalWidth="0" w:num="1">
            <w:col w:w="11240"/>
          </w:cols>
          <w:pgMar w:left="320" w:top="101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18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jc w:val="center"/>
        <w:spacing w:after="0" w:line="180" w:lineRule="auto"/>
        <w:rPr>
          <w:sz w:val="20"/>
          <w:szCs w:val="20"/>
          <w:color w:val="auto"/>
        </w:rPr>
      </w:pPr>
      <w:r>
        <w:rPr>
          <w:rFonts w:ascii="Arial" w:cs="Arial" w:eastAsia="Arial" w:hAnsi="Arial"/>
          <w:sz w:val="17"/>
          <w:szCs w:val="17"/>
          <w:b w:val="1"/>
          <w:bCs w:val="1"/>
          <w:color w:val="auto"/>
        </w:rPr>
        <w:t>Reconciliation of Net (Loss) Earnings to Adjusted Earnings</w:t>
      </w:r>
      <w:r>
        <w:rPr>
          <w:rFonts w:ascii="Arial" w:cs="Arial" w:eastAsia="Arial" w:hAnsi="Arial"/>
          <w:sz w:val="25"/>
          <w:szCs w:val="25"/>
          <w:b w:val="1"/>
          <w:bCs w:val="1"/>
          <w:color w:val="auto"/>
          <w:vertAlign w:val="superscript"/>
        </w:rPr>
        <w:t>(1)</w:t>
      </w:r>
    </w:p>
    <w:p>
      <w:pPr>
        <w:jc w:val="center"/>
        <w:spacing w:after="0" w:line="181" w:lineRule="auto"/>
        <w:rPr>
          <w:sz w:val="20"/>
          <w:szCs w:val="20"/>
          <w:color w:val="auto"/>
        </w:rPr>
      </w:pPr>
      <w:r>
        <w:rPr>
          <w:rFonts w:ascii="Arial" w:cs="Arial" w:eastAsia="Arial" w:hAnsi="Arial"/>
          <w:sz w:val="17"/>
          <w:szCs w:val="17"/>
          <w:b w:val="1"/>
          <w:bCs w:val="1"/>
          <w:color w:val="auto"/>
        </w:rPr>
        <w:t>Reconciliation of Total Change in Adjusted EPS to Change in Constant Currency</w:t>
      </w:r>
      <w:r>
        <w:rPr>
          <w:rFonts w:ascii="Arial" w:cs="Arial" w:eastAsia="Arial" w:hAnsi="Arial"/>
          <w:sz w:val="24"/>
          <w:szCs w:val="24"/>
          <w:b w:val="1"/>
          <w:bCs w:val="1"/>
          <w:color w:val="auto"/>
          <w:vertAlign w:val="superscript"/>
        </w:rPr>
        <w:t>(1)</w:t>
      </w:r>
    </w:p>
    <w:p>
      <w:pPr>
        <w:jc w:val="center"/>
        <w:spacing w:after="0"/>
        <w:rPr>
          <w:sz w:val="20"/>
          <w:szCs w:val="20"/>
          <w:color w:val="auto"/>
        </w:rPr>
      </w:pPr>
      <w:r>
        <w:rPr>
          <w:rFonts w:ascii="Arial" w:cs="Arial" w:eastAsia="Arial" w:hAnsi="Arial"/>
          <w:sz w:val="14"/>
          <w:szCs w:val="14"/>
          <w:color w:val="auto"/>
        </w:rPr>
        <w:t>(millions of U.S. dollars, except for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earnings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(115)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6,104</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5,689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Adjustments to remove:</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adjustments*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gains, net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line="202" w:lineRule="exact"/>
              <w:rPr>
                <w:sz w:val="20"/>
                <w:szCs w:val="20"/>
                <w:color w:val="auto"/>
              </w:rPr>
            </w:pPr>
            <w:r>
              <w:rPr>
                <w:rFonts w:ascii="Arial" w:cs="Arial" w:eastAsia="Arial" w:hAnsi="Arial"/>
                <w:sz w:val="18"/>
                <w:szCs w:val="18"/>
                <w:color w:val="auto"/>
              </w:rPr>
              <w:t>Other finance (income) costs</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(414)</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post-tax losses (earnings) in equity method investments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(1,092)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(7,389)</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line="202" w:lineRule="exact"/>
              <w:rPr>
                <w:sz w:val="20"/>
                <w:szCs w:val="20"/>
                <w:color w:val="auto"/>
              </w:rPr>
            </w:pPr>
            <w:r>
              <w:rPr>
                <w:rFonts w:ascii="Arial" w:cs="Arial" w:eastAsia="Arial" w:hAnsi="Arial"/>
                <w:sz w:val="16"/>
                <w:szCs w:val="16"/>
                <w:color w:val="auto"/>
              </w:rPr>
              <w:t>Tax on above items</w:t>
            </w:r>
            <w:r>
              <w:rPr>
                <w:rFonts w:ascii="Arial" w:cs="Arial" w:eastAsia="Arial" w:hAnsi="Arial"/>
                <w:sz w:val="23"/>
                <w:szCs w:val="23"/>
                <w:color w:val="auto"/>
                <w:vertAlign w:val="superscript"/>
              </w:rPr>
              <w:t>(1)</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1,790</w:t>
            </w: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Tax items impacting comparability</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6000" w:type="dxa"/>
            <w:vAlign w:val="bottom"/>
          </w:tcPr>
          <w:p>
            <w:pPr>
              <w:ind w:left="360"/>
              <w:spacing w:after="0" w:line="202" w:lineRule="exact"/>
              <w:rPr>
                <w:sz w:val="20"/>
                <w:szCs w:val="20"/>
                <w:color w:val="auto"/>
              </w:rPr>
            </w:pPr>
            <w:r>
              <w:rPr>
                <w:rFonts w:ascii="Arial" w:cs="Arial" w:eastAsia="Arial" w:hAnsi="Arial"/>
                <w:sz w:val="18"/>
                <w:szCs w:val="18"/>
                <w:color w:val="auto"/>
              </w:rPr>
              <w:t>Loss (earnings) from discontinued operations, net of tax</w:t>
            </w: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Interim period effective tax rate normalization</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Dividends declared on preference shares</w:t>
            </w:r>
          </w:p>
        </w:tc>
        <w:tc>
          <w:tcPr>
            <w:tcW w:w="12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9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 earnings</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291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240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613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528</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965</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line="236" w:lineRule="exact"/>
              <w:rPr>
                <w:sz w:val="20"/>
                <w:szCs w:val="20"/>
                <w:color w:val="auto"/>
              </w:rPr>
            </w:pPr>
            <w:r>
              <w:rPr>
                <w:rFonts w:ascii="Arial" w:cs="Arial" w:eastAsia="Arial" w:hAnsi="Arial"/>
                <w:sz w:val="18"/>
                <w:szCs w:val="18"/>
                <w:b w:val="1"/>
                <w:bCs w:val="1"/>
                <w:color w:val="auto"/>
              </w:rPr>
              <w:t>Adjusted EPS</w:t>
            </w:r>
            <w:r>
              <w:rPr>
                <w:rFonts w:ascii="Arial" w:cs="Arial" w:eastAsia="Arial" w:hAnsi="Arial"/>
                <w:sz w:val="26"/>
                <w:szCs w:val="26"/>
                <w:b w:val="1"/>
                <w:bCs w:val="1"/>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0.60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1.26</w:t>
            </w:r>
          </w:p>
        </w:tc>
        <w:tc>
          <w:tcPr>
            <w:tcW w:w="4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1.06</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80"/>
              <w:spacing w:after="0" w:line="196" w:lineRule="exact"/>
              <w:rPr>
                <w:sz w:val="20"/>
                <w:szCs w:val="20"/>
                <w:color w:val="auto"/>
              </w:rPr>
            </w:pPr>
            <w:r>
              <w:rPr>
                <w:rFonts w:ascii="Arial" w:cs="Arial" w:eastAsia="Arial" w:hAnsi="Arial"/>
                <w:sz w:val="18"/>
                <w:szCs w:val="18"/>
                <w:b w:val="1"/>
                <w:bCs w:val="1"/>
                <w:color w:val="auto"/>
                <w:w w:val="92"/>
              </w:rPr>
              <w:t>n/a</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change</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Constant currency</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Diluted weighted-average common shares (millions)**</w:t>
            </w: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3"/>
              </w:rPr>
              <w:t>487.9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487.7</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497.1</w:t>
            </w:r>
          </w:p>
        </w:tc>
        <w:tc>
          <w:tcPr>
            <w:tcW w:w="200" w:type="dxa"/>
            <w:vAlign w:val="bottom"/>
          </w:tcPr>
          <w:p>
            <w:pPr>
              <w:spacing w:after="0"/>
              <w:rPr>
                <w:sz w:val="17"/>
                <w:szCs w:val="17"/>
                <w:color w:val="auto"/>
              </w:rPr>
            </w:pPr>
          </w:p>
        </w:tc>
        <w:tc>
          <w:tcPr>
            <w:tcW w:w="96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Year-ended</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earnings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965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Plus: Dividends declared on preference shares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Plus: Tax expense on adjusted earnings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8"/>
                <w:szCs w:val="18"/>
                <w:b w:val="1"/>
                <w:bCs w:val="1"/>
                <w:color w:val="auto"/>
              </w:rPr>
              <w:t>Pre-Tax Adjusted earnings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IFRS Tax expense</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1,607</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Remove tax related to:</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other identifiable intangible assets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Share of post-tax earnings in equity method investments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gains, net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Other items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Subtotal - Tax on pre-tax items removed from adjusted earnings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Remove: Tax items impacting comparability</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Remove all items above impacting comparability</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Tax expense on adjusted earnings</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Effective tax rate on adjusted earnings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n/a:</w:t>
        <w:tab/>
        <w:t>not applicable</w:t>
      </w:r>
    </w:p>
    <w:p>
      <w:pPr>
        <w:spacing w:after="0" w:line="15" w:lineRule="exact"/>
        <w:rPr>
          <w:sz w:val="20"/>
          <w:szCs w:val="20"/>
          <w:color w:val="auto"/>
        </w:rPr>
      </w:pPr>
    </w:p>
    <w:p>
      <w:pPr>
        <w:ind w:left="460" w:right="160" w:hanging="452"/>
        <w:spacing w:after="0" w:line="241" w:lineRule="auto"/>
        <w:tabs>
          <w:tab w:leader="none" w:pos="46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Fair value adjustments, a component of operating expenses, primarily represent gains or losses on intercompany balances that arise in the ordinary course of business due to changes in foreign currency exchange rates.</w:t>
      </w:r>
    </w:p>
    <w:p>
      <w:pPr>
        <w:spacing w:after="0" w:line="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ectPr>
          <w:pgSz w:w="11900" w:h="16838" w:orient="portrait"/>
          <w:cols w:equalWidth="0" w:num="1">
            <w:col w:w="11240"/>
          </w:cols>
          <w:pgMar w:left="320" w:top="101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19 of 23</w:t>
      </w:r>
    </w:p>
    <w:p>
      <w:pPr>
        <w:spacing w:after="0" w:line="230" w:lineRule="exact"/>
        <w:rPr>
          <w:sz w:val="20"/>
          <w:szCs w:val="20"/>
          <w:color w:val="auto"/>
        </w:rPr>
      </w:pPr>
    </w:p>
    <w:p>
      <w:pPr>
        <w:ind w:left="460" w:right="100" w:hanging="452"/>
        <w:spacing w:after="0" w:line="256"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Because Thomson Reuters reported a net loss for continuing operations under IFRS for the three months ended June 30, 2022, the weighted-average number of common shares used for basic and diluted loss per share is the same for all per-share calculations in the period, as the effect of stock options and other equity incentive awards would reduce the loss per share, and therefore be anti-dilutive. Since the company’s non-IFRS measure “adjusted earnings” is a profit, potential common shares are included, as they lower adjusted EPS and are therefore 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IFRS and non-IFRS common share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Three Months</w:t>
            </w:r>
          </w:p>
        </w:tc>
      </w:tr>
      <w:tr>
        <w:trPr>
          <w:trHeight w:val="171"/>
        </w:trPr>
        <w:tc>
          <w:tcPr>
            <w:tcW w:w="9760" w:type="dxa"/>
            <w:vAlign w:val="bottom"/>
          </w:tcPr>
          <w:p>
            <w:pPr>
              <w:spacing w:after="0"/>
              <w:rPr>
                <w:sz w:val="20"/>
                <w:szCs w:val="20"/>
                <w:color w:val="auto"/>
              </w:rPr>
            </w:pPr>
            <w:r>
              <w:rPr>
                <w:rFonts w:ascii="Arial" w:cs="Arial" w:eastAsia="Arial" w:hAnsi="Arial"/>
                <w:sz w:val="14"/>
                <w:szCs w:val="14"/>
                <w:b w:val="1"/>
                <w:bCs w:val="1"/>
                <w:color w:val="auto"/>
              </w:rPr>
              <w:t>(weighted-average common shares)</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Ended June 30, 2022</w:t>
            </w:r>
          </w:p>
        </w:tc>
      </w:tr>
      <w:tr>
        <w:trPr>
          <w:trHeight w:val="196"/>
        </w:trPr>
        <w:tc>
          <w:tcPr>
            <w:tcW w:w="9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IFRS: Basic and Diluted</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487,171,400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760" w:type="dxa"/>
            <w:vAlign w:val="bottom"/>
          </w:tcPr>
          <w:p>
            <w:pPr>
              <w:spacing w:after="0" w:line="202" w:lineRule="exact"/>
              <w:rPr>
                <w:sz w:val="20"/>
                <w:szCs w:val="20"/>
                <w:color w:val="auto"/>
              </w:rPr>
            </w:pPr>
            <w:r>
              <w:rPr>
                <w:rFonts w:ascii="Arial" w:cs="Arial" w:eastAsia="Arial" w:hAnsi="Arial"/>
                <w:sz w:val="18"/>
                <w:szCs w:val="18"/>
                <w:color w:val="auto"/>
              </w:rPr>
              <w:t>Effect of stock options and other equity incentive awards</w:t>
            </w: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772,342</w:t>
            </w:r>
          </w:p>
        </w:tc>
      </w:tr>
      <w:tr>
        <w:trPr>
          <w:trHeight w:val="27"/>
        </w:trPr>
        <w:tc>
          <w:tcPr>
            <w:tcW w:w="97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Non-IFRS Diluted</w:t>
            </w:r>
          </w:p>
        </w:tc>
        <w:tc>
          <w:tcPr>
            <w:tcW w:w="1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487,943,742</w:t>
            </w:r>
          </w:p>
        </w:tc>
      </w:tr>
      <w:tr>
        <w:trPr>
          <w:trHeight w:val="20"/>
        </w:trPr>
        <w:tc>
          <w:tcPr>
            <w:tcW w:w="97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jc w:val="center"/>
        <w:spacing w:after="0" w:line="185" w:lineRule="auto"/>
        <w:rPr>
          <w:sz w:val="20"/>
          <w:szCs w:val="20"/>
          <w:color w:val="auto"/>
        </w:rPr>
      </w:pPr>
      <w:r>
        <w:rPr>
          <w:rFonts w:ascii="Arial" w:cs="Arial" w:eastAsia="Arial" w:hAnsi="Arial"/>
          <w:sz w:val="17"/>
          <w:szCs w:val="17"/>
          <w:b w:val="1"/>
          <w:bCs w:val="1"/>
          <w:color w:val="auto"/>
        </w:rPr>
        <w:t>Reconciliation of Changes in Revenues to Changes in Revenues on a Constant Currency</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Organic Basis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Foreign</w:t>
            </w:r>
          </w:p>
        </w:tc>
        <w:tc>
          <w:tcPr>
            <w:tcW w:w="124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SUBTOTAL</w:t>
            </w:r>
          </w:p>
        </w:tc>
        <w:tc>
          <w:tcPr>
            <w:tcW w:w="140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Acquisitions/</w:t>
            </w: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6"/>
              </w:rPr>
              <w:t>2021</w:t>
            </w:r>
            <w:r>
              <w:rPr>
                <w:rFonts w:ascii="Arial" w:cs="Arial" w:eastAsia="Arial" w:hAnsi="Arial"/>
                <w:sz w:val="21"/>
                <w:szCs w:val="21"/>
                <w:b w:val="1"/>
                <w:bCs w:val="1"/>
                <w:color w:val="auto"/>
                <w:w w:val="86"/>
                <w:vertAlign w:val="superscript"/>
              </w:rPr>
              <w:t>(2)</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top w:val="single" w:sz="8" w:color="auto"/>
            </w:tcBorders>
            <w:gridSpan w:val="2"/>
            <w:vMerge w:val="continue"/>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Constant</w:t>
            </w:r>
          </w:p>
        </w:tc>
        <w:tc>
          <w:tcPr>
            <w:tcW w:w="440" w:type="dxa"/>
            <w:vAlign w:val="bottom"/>
          </w:tcPr>
          <w:p>
            <w:pPr>
              <w:spacing w:after="0"/>
              <w:rPr>
                <w:sz w:val="12"/>
                <w:szCs w:val="12"/>
                <w:color w:val="auto"/>
              </w:rPr>
            </w:pPr>
          </w:p>
        </w:tc>
        <w:tc>
          <w:tcPr>
            <w:tcW w:w="1400" w:type="dxa"/>
            <w:vAlign w:val="bottom"/>
            <w:tcBorders>
              <w:top w:val="single" w:sz="8" w:color="auto"/>
            </w:tcBorders>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Currency</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(Divestitures)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Total Revenues</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700</w:t>
            </w:r>
          </w:p>
        </w:tc>
        <w:tc>
          <w:tcPr>
            <w:tcW w:w="18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673</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346</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199</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w:t>
            </w:r>
          </w:p>
        </w:tc>
        <w:tc>
          <w:tcPr>
            <w:tcW w:w="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1,218</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173</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147</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1,614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1,532</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5%</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Recurring Revenues</w:t>
            </w:r>
          </w:p>
        </w:tc>
        <w:tc>
          <w:tcPr>
            <w:tcW w:w="220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60" w:type="dxa"/>
            <w:vAlign w:val="bottom"/>
            <w:tcBorders>
              <w:bottom w:val="single" w:sz="8" w:color="auto"/>
            </w:tcBorders>
            <w:gridSpan w:val="2"/>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626</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152</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1,145</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1,076</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149</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Recurring Revenues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1,291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1,219</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8"/>
              </w:rPr>
              <w:t>Transactions Revenues</w:t>
            </w:r>
          </w:p>
        </w:tc>
        <w:tc>
          <w:tcPr>
            <w:tcW w:w="19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20" w:type="dxa"/>
            <w:vAlign w:val="bottom"/>
            <w:tcBorders>
              <w:bottom w:val="single" w:sz="8" w:color="auto"/>
            </w:tcBorders>
            <w:gridSpan w:val="3"/>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47</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9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47</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9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63%</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9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Transactions Revenues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4"/>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6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5" w:lineRule="exact"/>
        <w:rPr>
          <w:rFonts w:ascii="Arial" w:cs="Arial" w:eastAsia="Arial" w:hAnsi="Arial"/>
          <w:sz w:val="14"/>
          <w:szCs w:val="14"/>
          <w:color w:val="auto"/>
        </w:rPr>
      </w:pPr>
    </w:p>
    <w:p>
      <w:pPr>
        <w:ind w:left="460" w:hanging="452"/>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Revised to reflect the changes made to the company’s segment reporting in the first quarter of 2022.</w:t>
      </w:r>
    </w:p>
    <w:p>
      <w:pPr>
        <w:sectPr>
          <w:pgSz w:w="11900" w:h="16838" w:orient="portrait"/>
          <w:cols w:equalWidth="0" w:num="1">
            <w:col w:w="11240"/>
          </w:cols>
          <w:pgMar w:left="320" w:top="101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20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jc w:val="center"/>
        <w:spacing w:after="0" w:line="185" w:lineRule="auto"/>
        <w:rPr>
          <w:sz w:val="20"/>
          <w:szCs w:val="20"/>
          <w:color w:val="auto"/>
        </w:rPr>
      </w:pPr>
      <w:r>
        <w:rPr>
          <w:rFonts w:ascii="Arial" w:cs="Arial" w:eastAsia="Arial" w:hAnsi="Arial"/>
          <w:sz w:val="17"/>
          <w:szCs w:val="17"/>
          <w:b w:val="1"/>
          <w:bCs w:val="1"/>
          <w:color w:val="auto"/>
        </w:rPr>
        <w:t>Reconciliation of Changes in Revenues to Changes in Revenues on a Constant Currency</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and Organic Basis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center"/>
              <w:ind w:left="253"/>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Foreign</w:t>
            </w:r>
          </w:p>
        </w:tc>
        <w:tc>
          <w:tcPr>
            <w:tcW w:w="124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SUBTOTAL</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Acquisitions/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21"/>
                <w:szCs w:val="21"/>
                <w:b w:val="1"/>
                <w:bCs w:val="1"/>
                <w:color w:val="auto"/>
                <w:vertAlign w:val="superscript"/>
              </w:rPr>
              <w:t>(2)</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Constant</w:t>
            </w:r>
          </w:p>
        </w:tc>
        <w:tc>
          <w:tcPr>
            <w:tcW w:w="4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(Divestitures)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55"/>
        </w:trPr>
        <w:tc>
          <w:tcPr>
            <w:tcW w:w="40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7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$1,398</w:t>
            </w:r>
          </w:p>
        </w:tc>
        <w:tc>
          <w:tcPr>
            <w:tcW w:w="1080" w:type="dxa"/>
            <w:vAlign w:val="bottom"/>
            <w:gridSpan w:val="4"/>
          </w:tcPr>
          <w:p>
            <w:pPr>
              <w:jc w:val="right"/>
              <w:ind w:right="360"/>
              <w:spacing w:after="0" w:line="202" w:lineRule="exact"/>
              <w:rPr>
                <w:sz w:val="20"/>
                <w:szCs w:val="20"/>
                <w:color w:val="auto"/>
              </w:rPr>
            </w:pPr>
            <w:r>
              <w:rPr>
                <w:rFonts w:ascii="Arial" w:cs="Arial" w:eastAsia="Arial" w:hAnsi="Arial"/>
                <w:sz w:val="18"/>
                <w:szCs w:val="18"/>
                <w:color w:val="auto"/>
              </w:rPr>
              <w:t>$1,341</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728</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426</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2,652</w:t>
            </w:r>
          </w:p>
        </w:tc>
        <w:tc>
          <w:tcPr>
            <w:tcW w:w="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2,495</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338</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290</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3,288</w:t>
            </w:r>
          </w:p>
        </w:tc>
        <w:tc>
          <w:tcPr>
            <w:tcW w:w="200" w:type="dxa"/>
            <w:vAlign w:val="bottom"/>
            <w:gridSpan w:val="2"/>
            <w:shd w:val="clear" w:color="auto" w:fill="CCEEFF"/>
          </w:tcPr>
          <w:p>
            <w:pPr>
              <w:spacing w:after="0"/>
              <w:rPr>
                <w:sz w:val="17"/>
                <w:szCs w:val="17"/>
                <w:color w:val="auto"/>
              </w:rPr>
            </w:pPr>
          </w:p>
        </w:tc>
        <w:tc>
          <w:tcPr>
            <w:tcW w:w="108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$ 3,112</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Recurring Revenues</w:t>
            </w:r>
          </w:p>
        </w:tc>
        <w:tc>
          <w:tcPr>
            <w:tcW w:w="2320" w:type="dxa"/>
            <w:vAlign w:val="bottom"/>
            <w:gridSpan w:val="2"/>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60" w:type="dxa"/>
            <w:vAlign w:val="bottom"/>
            <w:tcBorders>
              <w:bottom w:val="single" w:sz="8" w:color="auto"/>
            </w:tcBorders>
            <w:gridSpan w:val="2"/>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78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$1,309</w:t>
            </w:r>
          </w:p>
        </w:tc>
        <w:tc>
          <w:tcPr>
            <w:tcW w:w="108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$1,247</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591</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314</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2,296</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2,152</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298</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Recurring Revenues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2,591</w:t>
            </w:r>
          </w:p>
        </w:tc>
        <w:tc>
          <w:tcPr>
            <w:tcW w:w="200" w:type="dxa"/>
            <w:vAlign w:val="bottom"/>
            <w:gridSpan w:val="2"/>
            <w:shd w:val="clear" w:color="auto" w:fill="CCEEFF"/>
          </w:tcPr>
          <w:p>
            <w:pPr>
              <w:spacing w:after="0"/>
              <w:rPr>
                <w:sz w:val="17"/>
                <w:szCs w:val="17"/>
                <w:color w:val="auto"/>
              </w:rPr>
            </w:pPr>
          </w:p>
        </w:tc>
        <w:tc>
          <w:tcPr>
            <w:tcW w:w="108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2,439</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8"/>
              </w:rPr>
              <w:t>Transactions Revenues</w:t>
            </w:r>
          </w:p>
        </w:tc>
        <w:tc>
          <w:tcPr>
            <w:tcW w:w="20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20" w:type="dxa"/>
            <w:vAlign w:val="bottom"/>
            <w:tcBorders>
              <w:bottom w:val="single" w:sz="8" w:color="auto"/>
            </w:tcBorders>
            <w:gridSpan w:val="3"/>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94</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137</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112</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ind w:left="360"/>
              <w:spacing w:after="0" w:line="230" w:lineRule="exact"/>
              <w:rPr>
                <w:sz w:val="20"/>
                <w:szCs w:val="20"/>
                <w:color w:val="auto"/>
              </w:rPr>
            </w:pPr>
            <w:r>
              <w:rPr>
                <w:rFonts w:ascii="Arial" w:cs="Arial" w:eastAsia="Arial" w:hAnsi="Arial"/>
                <w:sz w:val="18"/>
                <w:szCs w:val="18"/>
                <w:color w:val="auto"/>
              </w:rPr>
              <w:t>“Big 3” Segments Combined</w:t>
            </w:r>
            <w:r>
              <w:rPr>
                <w:rFonts w:ascii="Arial" w:cs="Arial" w:eastAsia="Arial" w:hAnsi="Arial"/>
                <w:sz w:val="26"/>
                <w:szCs w:val="26"/>
                <w:color w:val="auto"/>
                <w:vertAlign w:val="superscript"/>
              </w:rPr>
              <w:t>(1)</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50%</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Transactions Revenues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4"/>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360" w:type="dxa"/>
            <w:vAlign w:val="bottom"/>
            <w:vMerge w:val="continue"/>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Foreign</w:t>
            </w:r>
          </w:p>
        </w:tc>
        <w:tc>
          <w:tcPr>
            <w:tcW w:w="1240" w:type="dxa"/>
            <w:vAlign w:val="bottom"/>
            <w:tcBorders>
              <w:top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SUBTOTAL</w:t>
            </w:r>
          </w:p>
        </w:tc>
        <w:tc>
          <w:tcPr>
            <w:tcW w:w="14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Acquisitions/</w:t>
            </w: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21"/>
                <w:szCs w:val="21"/>
                <w:b w:val="1"/>
                <w:bCs w:val="1"/>
                <w:color w:val="auto"/>
                <w:vertAlign w:val="superscript"/>
              </w:rPr>
              <w:t>(2)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21"/>
                <w:szCs w:val="21"/>
                <w:b w:val="1"/>
                <w:bCs w:val="1"/>
                <w:color w:val="auto"/>
                <w:vertAlign w:val="superscript"/>
              </w:rPr>
              <w:t>(2)</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top w:val="single" w:sz="8" w:color="auto"/>
            </w:tcBorders>
            <w:gridSpan w:val="2"/>
            <w:vMerge w:val="continue"/>
          </w:tcPr>
          <w:p>
            <w:pPr>
              <w:spacing w:after="0"/>
              <w:rPr>
                <w:sz w:val="12"/>
                <w:szCs w:val="12"/>
                <w:color w:val="auto"/>
              </w:rPr>
            </w:pPr>
          </w:p>
        </w:tc>
        <w:tc>
          <w:tcPr>
            <w:tcW w:w="8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Constant</w:t>
            </w:r>
          </w:p>
        </w:tc>
        <w:tc>
          <w:tcPr>
            <w:tcW w:w="440" w:type="dxa"/>
            <w:vAlign w:val="bottom"/>
          </w:tcPr>
          <w:p>
            <w:pPr>
              <w:spacing w:after="0"/>
              <w:rPr>
                <w:sz w:val="12"/>
                <w:szCs w:val="12"/>
                <w:color w:val="auto"/>
              </w:rPr>
            </w:pPr>
          </w:p>
        </w:tc>
        <w:tc>
          <w:tcPr>
            <w:tcW w:w="1400" w:type="dxa"/>
            <w:vAlign w:val="bottom"/>
            <w:tcBorders>
              <w:top w:val="single" w:sz="8" w:color="auto"/>
            </w:tcBorders>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(Divestitures)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55"/>
        </w:trPr>
        <w:tc>
          <w:tcPr>
            <w:tcW w:w="408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7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$2,712</w:t>
            </w:r>
          </w:p>
        </w:tc>
        <w:tc>
          <w:tcPr>
            <w:tcW w:w="1080" w:type="dxa"/>
            <w:vAlign w:val="bottom"/>
            <w:gridSpan w:val="4"/>
          </w:tcPr>
          <w:p>
            <w:pPr>
              <w:jc w:val="right"/>
              <w:ind w:right="360"/>
              <w:spacing w:after="0" w:line="202" w:lineRule="exact"/>
              <w:rPr>
                <w:sz w:val="20"/>
                <w:szCs w:val="20"/>
                <w:color w:val="auto"/>
              </w:rPr>
            </w:pPr>
            <w:r>
              <w:rPr>
                <w:rFonts w:ascii="Arial" w:cs="Arial" w:eastAsia="Arial" w:hAnsi="Arial"/>
                <w:sz w:val="18"/>
                <w:szCs w:val="18"/>
                <w:color w:val="auto"/>
              </w:rPr>
              <w:t>$2,535</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2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7"/>
              </w:rPr>
              <w:t>1,440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1,361</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842</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5,067</w:t>
            </w:r>
          </w:p>
        </w:tc>
        <w:tc>
          <w:tcPr>
            <w:tcW w:w="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7"/>
              </w:rPr>
              <w:t>4,738</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Reuters News</w:t>
            </w:r>
          </w:p>
        </w:tc>
        <w:tc>
          <w:tcPr>
            <w:tcW w:w="12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645</w:t>
            </w: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08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620</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408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Eliminations/Rounding</w:t>
            </w:r>
          </w:p>
        </w:tc>
        <w:tc>
          <w:tcPr>
            <w:tcW w:w="120" w:type="dxa"/>
            <w:vAlign w:val="bottom"/>
          </w:tcPr>
          <w:p>
            <w:pPr>
              <w:spacing w:after="0"/>
              <w:rPr>
                <w:sz w:val="17"/>
                <w:szCs w:val="17"/>
                <w:color w:val="auto"/>
              </w:rPr>
            </w:pPr>
          </w:p>
        </w:tc>
        <w:tc>
          <w:tcPr>
            <w:tcW w:w="6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6,348</w:t>
            </w:r>
          </w:p>
        </w:tc>
        <w:tc>
          <w:tcPr>
            <w:tcW w:w="200" w:type="dxa"/>
            <w:vAlign w:val="bottom"/>
            <w:gridSpan w:val="2"/>
            <w:shd w:val="clear" w:color="auto" w:fill="CCEEFF"/>
          </w:tcPr>
          <w:p>
            <w:pPr>
              <w:spacing w:after="0"/>
              <w:rPr>
                <w:sz w:val="17"/>
                <w:szCs w:val="17"/>
                <w:color w:val="auto"/>
              </w:rPr>
            </w:pPr>
          </w:p>
        </w:tc>
        <w:tc>
          <w:tcPr>
            <w:tcW w:w="108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5,984</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12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5%</w:t>
            </w:r>
          </w:p>
        </w:tc>
        <w:tc>
          <w:tcPr>
            <w:tcW w:w="14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0%</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i w:val="1"/>
          <w:iCs w:val="1"/>
          <w:color w:val="auto"/>
        </w:rPr>
        <w:t>Growth percentages are computed using whole dollars. As a result, percentages calculated from reported amounts may differ from those presented, and growth components may not total due to rounding.</w:t>
      </w:r>
    </w:p>
    <w:p>
      <w:pPr>
        <w:spacing w:after="0" w:line="6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5" w:lineRule="exact"/>
        <w:rPr>
          <w:rFonts w:ascii="Arial" w:cs="Arial" w:eastAsia="Arial" w:hAnsi="Arial"/>
          <w:sz w:val="14"/>
          <w:szCs w:val="14"/>
          <w:color w:val="auto"/>
        </w:rPr>
      </w:pPr>
    </w:p>
    <w:p>
      <w:pPr>
        <w:ind w:left="460" w:hanging="452"/>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Revised to reflect the changes made to the company’s segment reporting in the first quarter of 2022.</w:t>
      </w:r>
    </w:p>
    <w:p>
      <w:pPr>
        <w:sectPr>
          <w:pgSz w:w="11900" w:h="16838" w:orient="portrait"/>
          <w:cols w:equalWidth="0" w:num="1">
            <w:col w:w="11240"/>
          </w:cols>
          <w:pgMar w:left="320" w:top="101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21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jc w:val="center"/>
        <w:spacing w:after="0" w:line="185" w:lineRule="auto"/>
        <w:rPr>
          <w:sz w:val="20"/>
          <w:szCs w:val="20"/>
          <w:color w:val="auto"/>
        </w:rPr>
      </w:pPr>
      <w:r>
        <w:rPr>
          <w:rFonts w:ascii="Arial" w:cs="Arial" w:eastAsia="Arial" w:hAnsi="Arial"/>
          <w:sz w:val="17"/>
          <w:szCs w:val="17"/>
          <w:b w:val="1"/>
          <w:bCs w:val="1"/>
          <w:color w:val="auto"/>
        </w:rPr>
        <w:t>Reconciliation of Changes in Adjusted EBITDA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to Changes on a Constant Currency Basis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21"/>
                <w:szCs w:val="21"/>
                <w:b w:val="1"/>
                <w:bCs w:val="1"/>
                <w:color w:val="auto"/>
                <w:vertAlign w:val="superscript"/>
              </w:rPr>
              <w:t>(2)</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Foreign</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15"/>
        </w:trPr>
        <w:tc>
          <w:tcPr>
            <w:tcW w:w="1500" w:type="dxa"/>
            <w:vAlign w:val="bottom"/>
            <w:tcBorders>
              <w:top w:val="single" w:sz="8" w:color="CCEEFF"/>
              <w:bottom w:val="single" w:sz="8" w:color="CCEEFF"/>
            </w:tcBorders>
            <w:vMerge w:val="restart"/>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Adjusted EBITDA</w:t>
            </w:r>
          </w:p>
        </w:tc>
        <w:tc>
          <w:tcPr>
            <w:tcW w:w="160" w:type="dxa"/>
            <w:vAlign w:val="bottom"/>
            <w:tcBorders>
              <w:top w:val="single" w:sz="8" w:color="CCEEFF"/>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w:t>
            </w:r>
          </w:p>
        </w:tc>
        <w:tc>
          <w:tcPr>
            <w:tcW w:w="48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6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378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500" w:type="dxa"/>
            <w:vAlign w:val="bottom"/>
            <w:tcBorders>
              <w:bottom w:val="single" w:sz="8" w:color="auto"/>
            </w:tcBorders>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78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42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8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304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285</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8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8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tcPr>
          <w:p>
            <w:pPr>
              <w:spacing w:after="0"/>
              <w:rPr>
                <w:sz w:val="17"/>
                <w:szCs w:val="17"/>
                <w:color w:val="auto"/>
              </w:rPr>
            </w:pPr>
          </w:p>
        </w:tc>
        <w:tc>
          <w:tcPr>
            <w:tcW w:w="9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8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74</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487</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8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tcPr>
          <w:p>
            <w:pPr>
              <w:spacing w:after="0"/>
              <w:rPr>
                <w:sz w:val="17"/>
                <w:szCs w:val="17"/>
                <w:color w:val="auto"/>
              </w:rPr>
            </w:pPr>
          </w:p>
        </w:tc>
        <w:tc>
          <w:tcPr>
            <w:tcW w:w="9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8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08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56</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8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00" w:type="dxa"/>
            <w:vAlign w:val="bottom"/>
          </w:tcPr>
          <w:p>
            <w:pPr>
              <w:spacing w:after="0"/>
              <w:rPr>
                <w:sz w:val="17"/>
                <w:szCs w:val="17"/>
                <w:color w:val="auto"/>
              </w:rPr>
            </w:pPr>
          </w:p>
        </w:tc>
        <w:tc>
          <w:tcPr>
            <w:tcW w:w="9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17"/>
                <w:szCs w:val="17"/>
                <w:color w:val="auto"/>
              </w:rPr>
            </w:pPr>
          </w:p>
        </w:tc>
        <w:tc>
          <w:tcPr>
            <w:tcW w:w="8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(76)</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561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502</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12%</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2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Adjusted EBITDA Margin</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(1)</w:t>
            </w: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40" w:type="dxa"/>
            <w:vAlign w:val="bottom"/>
            <w:gridSpan w:val="3"/>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37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140" w:type="dxa"/>
            <w:vAlign w:val="bottom"/>
            <w:tcBorders>
              <w:bottom w:val="single" w:sz="8" w:color="auto"/>
            </w:tcBorders>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8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42.3%</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110bp</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80bp</w:t>
            </w:r>
          </w:p>
        </w:tc>
        <w:tc>
          <w:tcPr>
            <w:tcW w:w="0" w:type="dxa"/>
            <w:vAlign w:val="bottom"/>
          </w:tcPr>
          <w:p>
            <w:pPr>
              <w:spacing w:after="0"/>
              <w:rPr>
                <w:sz w:val="1"/>
                <w:szCs w:val="1"/>
                <w:color w:val="auto"/>
              </w:rPr>
            </w:pPr>
          </w:p>
        </w:tc>
      </w:tr>
      <w:tr>
        <w:trPr>
          <w:trHeight w:val="203"/>
        </w:trPr>
        <w:tc>
          <w:tcPr>
            <w:tcW w:w="608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37.4%</w:t>
            </w: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37.0%</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40bp</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-20bp</w:t>
            </w:r>
          </w:p>
        </w:tc>
        <w:tc>
          <w:tcPr>
            <w:tcW w:w="0" w:type="dxa"/>
            <w:vAlign w:val="bottom"/>
          </w:tcPr>
          <w:p>
            <w:pPr>
              <w:spacing w:after="0"/>
              <w:rPr>
                <w:sz w:val="1"/>
                <w:szCs w:val="1"/>
                <w:color w:val="auto"/>
              </w:rPr>
            </w:pPr>
          </w:p>
        </w:tc>
      </w:tr>
      <w:tr>
        <w:trPr>
          <w:trHeight w:val="203"/>
        </w:trPr>
        <w:tc>
          <w:tcPr>
            <w:tcW w:w="608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36.5%</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90bp</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30bp</w:t>
            </w:r>
          </w:p>
        </w:tc>
        <w:tc>
          <w:tcPr>
            <w:tcW w:w="0" w:type="dxa"/>
            <w:vAlign w:val="bottom"/>
          </w:tcPr>
          <w:p>
            <w:pPr>
              <w:spacing w:after="0"/>
              <w:rPr>
                <w:sz w:val="1"/>
                <w:szCs w:val="1"/>
                <w:color w:val="auto"/>
              </w:rPr>
            </w:pPr>
          </w:p>
        </w:tc>
      </w:tr>
      <w:tr>
        <w:trPr>
          <w:trHeight w:val="203"/>
        </w:trPr>
        <w:tc>
          <w:tcPr>
            <w:tcW w:w="6080" w:type="dxa"/>
            <w:vAlign w:val="bottom"/>
            <w:gridSpan w:val="5"/>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40.7%</w:t>
            </w: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39.9%</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80bp</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40bp</w:t>
            </w:r>
          </w:p>
        </w:tc>
        <w:tc>
          <w:tcPr>
            <w:tcW w:w="0" w:type="dxa"/>
            <w:vAlign w:val="bottom"/>
          </w:tcPr>
          <w:p>
            <w:pPr>
              <w:spacing w:after="0"/>
              <w:rPr>
                <w:sz w:val="1"/>
                <w:szCs w:val="1"/>
                <w:color w:val="auto"/>
              </w:rPr>
            </w:pPr>
          </w:p>
        </w:tc>
      </w:tr>
      <w:tr>
        <w:trPr>
          <w:trHeight w:val="203"/>
        </w:trPr>
        <w:tc>
          <w:tcPr>
            <w:tcW w:w="608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20.2%</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310bp</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03"/>
        </w:trPr>
        <w:tc>
          <w:tcPr>
            <w:tcW w:w="608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tcPr>
          <w:p>
            <w:pPr>
              <w:spacing w:after="0"/>
              <w:rPr>
                <w:sz w:val="17"/>
                <w:szCs w:val="17"/>
                <w:color w:val="auto"/>
              </w:rPr>
            </w:pPr>
          </w:p>
        </w:tc>
        <w:tc>
          <w:tcPr>
            <w:tcW w:w="9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35.4%</w:t>
            </w: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37.9%</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-250bp</w:t>
            </w: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-250bp</w:t>
            </w:r>
          </w:p>
        </w:tc>
        <w:tc>
          <w:tcPr>
            <w:tcW w:w="0" w:type="dxa"/>
            <w:vAlign w:val="bottom"/>
          </w:tcPr>
          <w:p>
            <w:pPr>
              <w:spacing w:after="0"/>
              <w:rPr>
                <w:sz w:val="1"/>
                <w:szCs w:val="1"/>
                <w:color w:val="auto"/>
              </w:rPr>
            </w:pPr>
          </w:p>
        </w:tc>
      </w:tr>
      <w:tr>
        <w:trPr>
          <w:trHeight w:val="203"/>
        </w:trPr>
        <w:tc>
          <w:tcPr>
            <w:tcW w:w="60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34.7%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32.7%</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200bp</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90bp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110bp</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i w:val="1"/>
          <w:iCs w:val="1"/>
          <w:color w:val="auto"/>
        </w:rPr>
        <w:t>Growth percentages and margins are computed using whole dollars. As a result, percentages and margins calculated from reported amounts may differ from those presented, and growth components may not total due to rounding.</w:t>
      </w:r>
    </w:p>
    <w:p>
      <w:pPr>
        <w:spacing w:after="0" w:line="6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5" w:lineRule="exact"/>
        <w:rPr>
          <w:rFonts w:ascii="Arial" w:cs="Arial" w:eastAsia="Arial" w:hAnsi="Arial"/>
          <w:sz w:val="14"/>
          <w:szCs w:val="14"/>
          <w:color w:val="auto"/>
        </w:rPr>
      </w:pPr>
    </w:p>
    <w:p>
      <w:pPr>
        <w:ind w:left="460" w:hanging="452"/>
        <w:spacing w:after="0"/>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Revised to reflect the changes made to the company’s segment reporting in the first quarter of 2022.</w:t>
      </w:r>
    </w:p>
    <w:p>
      <w:pPr>
        <w:sectPr>
          <w:pgSz w:w="11900" w:h="16838" w:orient="portrait"/>
          <w:cols w:equalWidth="0" w:num="1">
            <w:col w:w="11240"/>
          </w:cols>
          <w:pgMar w:left="320" w:top="101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22 of 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Thomson Reuters Corporation</w:t>
      </w:r>
    </w:p>
    <w:p>
      <w:pPr>
        <w:jc w:val="center"/>
        <w:spacing w:after="0" w:line="185" w:lineRule="auto"/>
        <w:rPr>
          <w:sz w:val="20"/>
          <w:szCs w:val="20"/>
          <w:color w:val="auto"/>
        </w:rPr>
      </w:pPr>
      <w:r>
        <w:rPr>
          <w:rFonts w:ascii="Arial" w:cs="Arial" w:eastAsia="Arial" w:hAnsi="Arial"/>
          <w:sz w:val="17"/>
          <w:szCs w:val="17"/>
          <w:b w:val="1"/>
          <w:bCs w:val="1"/>
          <w:color w:val="auto"/>
        </w:rPr>
        <w:t>Reconciliation of Changes in Adjusted EBITDA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 xml:space="preserve"> to Changes on a Constant Currency Basis</w:t>
      </w:r>
      <w:r>
        <w:rPr>
          <w:rFonts w:ascii="Arial" w:cs="Arial" w:eastAsia="Arial" w:hAnsi="Arial"/>
          <w:sz w:val="25"/>
          <w:szCs w:val="25"/>
          <w:b w:val="1"/>
          <w:bCs w:val="1"/>
          <w:color w:val="auto"/>
          <w:vertAlign w:val="superscript"/>
        </w:rPr>
        <w:t>(1)</w:t>
      </w:r>
    </w:p>
    <w:p>
      <w:pPr>
        <w:jc w:val="center"/>
        <w:spacing w:after="0"/>
        <w:rPr>
          <w:sz w:val="20"/>
          <w:szCs w:val="20"/>
          <w:color w:val="auto"/>
        </w:rPr>
      </w:pPr>
      <w:r>
        <w:rPr>
          <w:rFonts w:ascii="Arial" w:cs="Arial" w:eastAsia="Arial" w:hAnsi="Arial"/>
          <w:sz w:val="14"/>
          <w:szCs w:val="14"/>
          <w:color w:val="auto"/>
        </w:rPr>
        <w:t>(millions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113"/>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21"/>
                <w:szCs w:val="21"/>
                <w:b w:val="1"/>
                <w:bCs w:val="1"/>
                <w:color w:val="auto"/>
                <w:vertAlign w:val="superscript"/>
              </w:rPr>
              <w:t>(2)</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Foreign</w:t>
            </w: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15"/>
        </w:trPr>
        <w:tc>
          <w:tcPr>
            <w:tcW w:w="1500" w:type="dxa"/>
            <w:vAlign w:val="bottom"/>
            <w:tcBorders>
              <w:top w:val="single" w:sz="8" w:color="CCEEFF"/>
              <w:bottom w:val="single" w:sz="8" w:color="CCEEFF"/>
            </w:tcBorders>
            <w:vMerge w:val="restart"/>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Adjusted EBITDA</w:t>
            </w:r>
          </w:p>
        </w:tc>
        <w:tc>
          <w:tcPr>
            <w:tcW w:w="160" w:type="dxa"/>
            <w:vAlign w:val="bottom"/>
            <w:tcBorders>
              <w:top w:val="single" w:sz="8" w:color="CCEEFF"/>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w:t>
            </w:r>
          </w:p>
        </w:tc>
        <w:tc>
          <w:tcPr>
            <w:tcW w:w="48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6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3760" w:type="dxa"/>
            <w:vAlign w:val="bottom"/>
            <w:tcBorders>
              <w:top w:val="single" w:sz="8" w:color="CCEEFF"/>
              <w:bottom w:val="single" w:sz="8" w:color="CCEEFF"/>
            </w:tcBorders>
            <w:vMerge w:val="restart"/>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500" w:type="dxa"/>
            <w:vAlign w:val="bottom"/>
            <w:tcBorders>
              <w:bottom w:val="single" w:sz="8" w:color="auto"/>
            </w:tcBorders>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7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right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64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609</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564</w:t>
            </w:r>
          </w:p>
        </w:tc>
        <w:tc>
          <w:tcPr>
            <w:tcW w:w="142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273</w:t>
            </w:r>
          </w:p>
        </w:tc>
        <w:tc>
          <w:tcPr>
            <w:tcW w:w="142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173</w:t>
            </w:r>
          </w:p>
        </w:tc>
        <w:tc>
          <w:tcPr>
            <w:tcW w:w="142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1,108</w:t>
            </w:r>
          </w:p>
        </w:tc>
        <w:tc>
          <w:tcPr>
            <w:tcW w:w="7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1,010</w:t>
            </w:r>
          </w:p>
        </w:tc>
        <w:tc>
          <w:tcPr>
            <w:tcW w:w="142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w:t>
            </w:r>
          </w:p>
        </w:tc>
        <w:tc>
          <w:tcPr>
            <w:tcW w:w="142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3"/>
              </w:rPr>
              <w:t>113</w:t>
            </w:r>
          </w:p>
        </w:tc>
        <w:tc>
          <w:tcPr>
            <w:tcW w:w="142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(131)</w:t>
            </w:r>
          </w:p>
        </w:tc>
        <w:tc>
          <w:tcPr>
            <w:tcW w:w="7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(126)</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w w:val="97"/>
              </w:rPr>
              <w:t>1,161</w:t>
            </w:r>
          </w:p>
        </w:tc>
        <w:tc>
          <w:tcPr>
            <w:tcW w:w="7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1,060</w:t>
            </w:r>
          </w:p>
        </w:tc>
        <w:tc>
          <w:tcPr>
            <w:tcW w:w="142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10%</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1%</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2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Adjusted EBITDA Margin</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(1)</w:t>
            </w: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40" w:type="dxa"/>
            <w:vAlign w:val="bottom"/>
            <w:gridSpan w:val="3"/>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37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140" w:type="dxa"/>
            <w:vAlign w:val="bottom"/>
            <w:tcBorders>
              <w:bottom w:val="single" w:sz="8" w:color="auto"/>
            </w:tcBorders>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43.6%</w:t>
            </w: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380" w:type="dxa"/>
            <w:vAlign w:val="bottom"/>
            <w:tcBorders>
              <w:righ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150bp</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140bp</w:t>
            </w: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37.8%</w:t>
            </w: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37.5%</w:t>
            </w:r>
          </w:p>
        </w:tc>
        <w:tc>
          <w:tcPr>
            <w:tcW w:w="380" w:type="dxa"/>
            <w:vAlign w:val="bottom"/>
          </w:tcPr>
          <w:p>
            <w:pPr>
              <w:spacing w:after="0"/>
              <w:rPr>
                <w:sz w:val="17"/>
                <w:szCs w:val="17"/>
                <w:color w:val="auto"/>
              </w:rPr>
            </w:pPr>
          </w:p>
        </w:tc>
        <w:tc>
          <w:tcPr>
            <w:tcW w:w="10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30bp</w:t>
            </w: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-20bp</w:t>
            </w: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43.2%</w:t>
            </w: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380" w:type="dxa"/>
            <w:vAlign w:val="bottom"/>
            <w:tcBorders>
              <w:righ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280bp</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240bp</w:t>
            </w: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41.8%</w:t>
            </w: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40.5%</w:t>
            </w:r>
          </w:p>
        </w:tc>
        <w:tc>
          <w:tcPr>
            <w:tcW w:w="380" w:type="dxa"/>
            <w:vAlign w:val="bottom"/>
          </w:tcPr>
          <w:p>
            <w:pPr>
              <w:spacing w:after="0"/>
              <w:rPr>
                <w:sz w:val="17"/>
                <w:szCs w:val="17"/>
                <w:color w:val="auto"/>
              </w:rPr>
            </w:pPr>
          </w:p>
        </w:tc>
        <w:tc>
          <w:tcPr>
            <w:tcW w:w="10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130bp</w:t>
            </w: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22.2%</w:t>
            </w: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380" w:type="dxa"/>
            <w:vAlign w:val="bottom"/>
            <w:tcBorders>
              <w:righ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350bp</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170bp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180bp</w:t>
            </w: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36.2%</w:t>
            </w: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38.9%</w:t>
            </w:r>
          </w:p>
        </w:tc>
        <w:tc>
          <w:tcPr>
            <w:tcW w:w="380" w:type="dxa"/>
            <w:vAlign w:val="bottom"/>
          </w:tcPr>
          <w:p>
            <w:pPr>
              <w:spacing w:after="0"/>
              <w:rPr>
                <w:sz w:val="17"/>
                <w:szCs w:val="17"/>
                <w:color w:val="auto"/>
              </w:rPr>
            </w:pPr>
          </w:p>
        </w:tc>
        <w:tc>
          <w:tcPr>
            <w:tcW w:w="10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w w:val="96"/>
              </w:rPr>
              <w:t>-270bp</w:t>
            </w: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0bp</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-270bp</w:t>
            </w: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35.3%</w:t>
            </w: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34.1%</w:t>
            </w:r>
          </w:p>
        </w:tc>
        <w:tc>
          <w:tcPr>
            <w:tcW w:w="380" w:type="dxa"/>
            <w:vAlign w:val="bottom"/>
            <w:tcBorders>
              <w:right w:val="single" w:sz="8" w:color="CCEEFF"/>
            </w:tcBorders>
            <w:shd w:val="clear" w:color="auto" w:fill="CCEEFF"/>
          </w:tcPr>
          <w:p>
            <w:pPr>
              <w:spacing w:after="0"/>
              <w:rPr>
                <w:sz w:val="17"/>
                <w:szCs w:val="17"/>
                <w:color w:val="auto"/>
              </w:rPr>
            </w:pPr>
          </w:p>
        </w:tc>
        <w:tc>
          <w:tcPr>
            <w:tcW w:w="10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120bp</w:t>
            </w: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50bp</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70bp</w:t>
            </w:r>
          </w:p>
        </w:tc>
        <w:tc>
          <w:tcPr>
            <w:tcW w:w="0" w:type="dxa"/>
            <w:vAlign w:val="bottom"/>
          </w:tcPr>
          <w:p>
            <w:pPr>
              <w:spacing w:after="0"/>
              <w:rPr>
                <w:sz w:val="1"/>
                <w:szCs w:val="1"/>
                <w:color w:val="auto"/>
              </w:rPr>
            </w:pPr>
          </w:p>
        </w:tc>
      </w:tr>
      <w:tr>
        <w:trPr>
          <w:trHeight w:val="369"/>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7"/>
          </w:tcPr>
          <w:p>
            <w:pPr>
              <w:jc w:val="right"/>
              <w:ind w:right="112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7"/>
          </w:tcPr>
          <w:p>
            <w:pPr>
              <w:spacing w:after="0" w:line="158" w:lineRule="exact"/>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70"/>
              <w:spacing w:after="0" w:line="175"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20"/>
                <w:szCs w:val="20"/>
                <w:b w:val="1"/>
                <w:bCs w:val="1"/>
                <w:color w:val="auto"/>
                <w:vertAlign w:val="superscript"/>
              </w:rPr>
              <w:t>(2)</w:t>
            </w:r>
          </w:p>
        </w:tc>
        <w:tc>
          <w:tcPr>
            <w:tcW w:w="220" w:type="dxa"/>
            <w:vAlign w:val="bottom"/>
            <w:tcBorders>
              <w:bottom w:val="single" w:sz="8" w:color="CCEEFF"/>
            </w:tcBorders>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CCEEFF"/>
            </w:tcBorders>
            <w:vMerge w:val="restart"/>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Adjusted EBITDA</w:t>
            </w:r>
          </w:p>
        </w:tc>
        <w:tc>
          <w:tcPr>
            <w:tcW w:w="16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w:t>
            </w:r>
          </w:p>
        </w:tc>
        <w:tc>
          <w:tcPr>
            <w:tcW w:w="4400" w:type="dxa"/>
            <w:vAlign w:val="bottom"/>
            <w:tcBorders>
              <w:bottom w:val="single" w:sz="8" w:color="CCEEFF"/>
            </w:tcBorders>
            <w:gridSpan w:val="3"/>
            <w:vMerge w:val="restart"/>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right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500" w:type="dxa"/>
            <w:vAlign w:val="bottom"/>
            <w:tcBorders>
              <w:bottom w:val="single" w:sz="8" w:color="auto"/>
            </w:tcBorders>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4400" w:type="dxa"/>
            <w:vAlign w:val="bottom"/>
            <w:tcBorders>
              <w:bottom w:val="single" w:sz="8" w:color="CCEEFF"/>
            </w:tcBorders>
            <w:gridSpan w:val="3"/>
            <w:vMerge w:val="continue"/>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6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right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132"/>
              <w:spacing w:after="0" w:line="202" w:lineRule="exact"/>
              <w:rPr>
                <w:sz w:val="20"/>
                <w:szCs w:val="20"/>
                <w:color w:val="auto"/>
              </w:rPr>
            </w:pPr>
            <w:r>
              <w:rPr>
                <w:rFonts w:ascii="Arial" w:cs="Arial" w:eastAsia="Arial" w:hAnsi="Arial"/>
                <w:sz w:val="18"/>
                <w:szCs w:val="18"/>
                <w:color w:val="auto"/>
              </w:rPr>
              <w:t>1,091</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496</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1,966</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226</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Corporate costs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w w:val="99"/>
              </w:rPr>
              <w:t>(325)</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4"/>
            <w:shd w:val="clear" w:color="auto" w:fill="CCEEFF"/>
          </w:tcPr>
          <w:p>
            <w:pPr>
              <w:jc w:val="right"/>
              <w:ind w:right="132"/>
              <w:spacing w:after="0" w:line="202" w:lineRule="exact"/>
              <w:rPr>
                <w:sz w:val="20"/>
                <w:szCs w:val="20"/>
                <w:color w:val="auto"/>
              </w:rPr>
            </w:pPr>
            <w:r>
              <w:rPr>
                <w:rFonts w:ascii="Arial" w:cs="Arial" w:eastAsia="Arial" w:hAnsi="Arial"/>
                <w:sz w:val="18"/>
                <w:szCs w:val="18"/>
                <w:b w:val="1"/>
                <w:bCs w:val="1"/>
                <w:color w:val="auto"/>
              </w:rPr>
              <w:t>1,970</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Adjusted EBITDA Margin</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40" w:type="dxa"/>
            <w:vAlign w:val="bottom"/>
            <w:gridSpan w:val="3"/>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37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140" w:type="dxa"/>
            <w:vAlign w:val="bottom"/>
            <w:tcBorders>
              <w:bottom w:val="single" w:sz="8" w:color="auto"/>
            </w:tcBorders>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Legal Professionals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Corporates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34.4%</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Tax &amp; Accounting Professionals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6"/>
                <w:szCs w:val="16"/>
                <w:color w:val="auto"/>
              </w:rPr>
              <w:t>“Big 3” Segments Combined</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ind w:left="360"/>
              <w:spacing w:after="0" w:line="202" w:lineRule="exact"/>
              <w:rPr>
                <w:sz w:val="20"/>
                <w:szCs w:val="20"/>
                <w:color w:val="auto"/>
              </w:rPr>
            </w:pPr>
            <w:r>
              <w:rPr>
                <w:rFonts w:ascii="Arial" w:cs="Arial" w:eastAsia="Arial" w:hAnsi="Arial"/>
                <w:sz w:val="18"/>
                <w:szCs w:val="18"/>
                <w:color w:val="auto"/>
              </w:rPr>
              <w:t>Reuters News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tcPr>
          <w:p>
            <w:pPr>
              <w:ind w:left="360"/>
              <w:spacing w:after="0" w:line="202" w:lineRule="exact"/>
              <w:rPr>
                <w:sz w:val="20"/>
                <w:szCs w:val="20"/>
                <w:color w:val="auto"/>
              </w:rPr>
            </w:pPr>
            <w:r>
              <w:rPr>
                <w:rFonts w:ascii="Arial" w:cs="Arial" w:eastAsia="Arial" w:hAnsi="Arial"/>
                <w:sz w:val="18"/>
                <w:szCs w:val="18"/>
                <w:color w:val="auto"/>
              </w:rPr>
              <w:t>Global Print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37.1%</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31.0%</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 not applicable</w:t>
      </w:r>
    </w:p>
    <w:p>
      <w:pPr>
        <w:spacing w:after="0" w:line="109"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i w:val="1"/>
          <w:iCs w:val="1"/>
          <w:color w:val="auto"/>
        </w:rPr>
        <w:t>Growth percentages and margins are computed using whole dollars. As a result, percentages and margins calculated from reported amounts may differ from those presented, and growth components may not total due to rounding.</w:t>
      </w:r>
    </w:p>
    <w:p>
      <w:pPr>
        <w:spacing w:after="0" w:line="6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Refer to page 23 for additional information on non-IFRS financial measures.</w:t>
      </w:r>
    </w:p>
    <w:p>
      <w:pPr>
        <w:spacing w:after="0" w:line="15" w:lineRule="exact"/>
        <w:rPr>
          <w:rFonts w:ascii="Arial" w:cs="Arial" w:eastAsia="Arial" w:hAnsi="Arial"/>
          <w:sz w:val="14"/>
          <w:szCs w:val="14"/>
          <w:color w:val="auto"/>
        </w:rPr>
      </w:pPr>
    </w:p>
    <w:p>
      <w:pPr>
        <w:ind w:left="460" w:hanging="452"/>
        <w:spacing w:after="0"/>
        <w:tabs>
          <w:tab w:leader="none" w:pos="4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Revised to reflect the changes made to the company’s segment reporting in the first quarter of 2022.</w:t>
      </w:r>
    </w:p>
    <w:p>
      <w:pPr>
        <w:sectPr>
          <w:pgSz w:w="11900" w:h="16838" w:orient="portrait"/>
          <w:cols w:equalWidth="0" w:num="1">
            <w:col w:w="11240"/>
          </w:cols>
          <w:pgMar w:left="320" w:top="101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2074545" cy="3346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074545" cy="334645"/>
                    </a:xfrm>
                    <a:prstGeom prst="rect">
                      <a:avLst/>
                    </a:prstGeom>
                    <a:noFill/>
                  </pic:spPr>
                </pic:pic>
              </a:graphicData>
            </a:graphic>
          </wp:anchor>
        </w:drawing>
        <w:t>Thomson Reuters Reports Second-Quarter 2022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Page 23 of 23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82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Non-IFRS Financial</w:t>
            </w:r>
          </w:p>
        </w:tc>
        <w:tc>
          <w:tcPr>
            <w:tcW w:w="4720" w:type="dxa"/>
            <w:vAlign w:val="bottom"/>
            <w:tcBorders>
              <w:top w:val="single" w:sz="8" w:color="auto"/>
              <w:right w:val="single" w:sz="8" w:color="auto"/>
            </w:tcBorders>
          </w:tcPr>
          <w:p>
            <w:pPr>
              <w:spacing w:after="0"/>
              <w:rPr>
                <w:sz w:val="14"/>
                <w:szCs w:val="14"/>
                <w:color w:val="auto"/>
              </w:rPr>
            </w:pPr>
          </w:p>
        </w:tc>
        <w:tc>
          <w:tcPr>
            <w:tcW w:w="47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4"/>
                <w:szCs w:val="14"/>
                <w:b w:val="1"/>
                <w:bCs w:val="1"/>
                <w:color w:val="auto"/>
              </w:rPr>
              <w:t>Measures</w:t>
            </w:r>
          </w:p>
        </w:tc>
        <w:tc>
          <w:tcPr>
            <w:tcW w:w="4720" w:type="dxa"/>
            <w:vAlign w:val="bottom"/>
            <w:tcBorders>
              <w:bottom w:val="single" w:sz="8" w:color="auto"/>
              <w:right w:val="single" w:sz="8" w:color="auto"/>
            </w:tcBorders>
          </w:tcPr>
          <w:p>
            <w:pPr>
              <w:ind w:left="2060"/>
              <w:spacing w:after="0"/>
              <w:rPr>
                <w:sz w:val="20"/>
                <w:szCs w:val="20"/>
                <w:color w:val="auto"/>
              </w:rPr>
            </w:pPr>
            <w:r>
              <w:rPr>
                <w:rFonts w:ascii="Arial" w:cs="Arial" w:eastAsia="Arial" w:hAnsi="Arial"/>
                <w:sz w:val="14"/>
                <w:szCs w:val="14"/>
                <w:b w:val="1"/>
                <w:bCs w:val="1"/>
                <w:color w:val="auto"/>
              </w:rPr>
              <w:t>Definition</w:t>
            </w:r>
          </w:p>
        </w:tc>
        <w:tc>
          <w:tcPr>
            <w:tcW w:w="472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Why Useful to the Company and Investors</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8"/>
                <w:szCs w:val="18"/>
                <w:color w:val="auto"/>
              </w:rPr>
              <w:t>Adjusted EBITDA</w:t>
            </w:r>
          </w:p>
        </w:tc>
        <w:tc>
          <w:tcPr>
            <w:tcW w:w="472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w w:val="99"/>
              </w:rPr>
              <w:t>Represents earnings or losses from continuing operations</w:t>
            </w:r>
          </w:p>
        </w:tc>
        <w:tc>
          <w:tcPr>
            <w:tcW w:w="472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Provides a consistent basis to evaluate operating</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the related</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before tax expense or benefit, net interest expense, other</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profitability and performance trends by excluding items</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margin</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finance costs or income, depreciation, amortization of</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 company does not consider to be controllable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software and other identifiable intangible assets,</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activities for this purpose.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Thomson Reuters share of post-tax earnings or losses in</w:t>
            </w: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Also, represents a measure commonly reported and</w:t>
            </w: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right w:val="single" w:sz="8" w:color="auto"/>
            </w:tcBorders>
          </w:tcPr>
          <w:p>
            <w:pPr>
              <w:spacing w:after="0"/>
              <w:rPr>
                <w:sz w:val="10"/>
                <w:szCs w:val="10"/>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equity method investments, other operating gains and</w:t>
            </w: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widely used by investors as a valuation metric, as well as</w:t>
            </w: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right w:val="single" w:sz="8" w:color="auto"/>
            </w:tcBorders>
          </w:tcPr>
          <w:p>
            <w:pPr>
              <w:spacing w:after="0"/>
              <w:rPr>
                <w:sz w:val="10"/>
                <w:szCs w:val="10"/>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losses, certain asset impairment charges and fair value</w:t>
            </w: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 assess the company’s ability to incur and service debt.</w:t>
            </w: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spacing w:after="0"/>
              <w:rPr>
                <w:sz w:val="13"/>
                <w:szCs w:val="13"/>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adjustments.</w:t>
            </w:r>
          </w:p>
        </w:tc>
        <w:tc>
          <w:tcPr>
            <w:tcW w:w="47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4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820" w:type="dxa"/>
            <w:vAlign w:val="bottom"/>
            <w:tcBorders>
              <w:left w:val="single" w:sz="8" w:color="auto"/>
              <w:right w:val="single" w:sz="8" w:color="auto"/>
            </w:tcBorders>
          </w:tcPr>
          <w:p>
            <w:pPr>
              <w:spacing w:after="0"/>
              <w:rPr>
                <w:sz w:val="24"/>
                <w:szCs w:val="24"/>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related margin is adjusted EBITDA expressed as a</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percentage of revenues.</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820" w:type="dxa"/>
            <w:vAlign w:val="bottom"/>
            <w:tcBorders>
              <w:left w:val="single" w:sz="8" w:color="auto"/>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Adjusted earnings</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 earnings or loss including dividends declared on</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more comparable basis to analyze earnings.</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and adjusted EPS</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preference shares but excluding the post-tax impacts of</w:t>
            </w: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These measures are commonly used by shareholders to</w:t>
            </w:r>
          </w:p>
        </w:tc>
        <w:tc>
          <w:tcPr>
            <w:tcW w:w="0" w:type="dxa"/>
            <w:vAlign w:val="bottom"/>
          </w:tcPr>
          <w:p>
            <w:pPr>
              <w:spacing w:after="0"/>
              <w:rPr>
                <w:sz w:val="1"/>
                <w:szCs w:val="1"/>
                <w:color w:val="auto"/>
              </w:rPr>
            </w:pPr>
          </w:p>
        </w:tc>
      </w:tr>
      <w:tr>
        <w:trPr>
          <w:trHeight w:val="122"/>
        </w:trPr>
        <w:tc>
          <w:tcPr>
            <w:tcW w:w="1820" w:type="dxa"/>
            <w:vAlign w:val="bottom"/>
            <w:tcBorders>
              <w:left w:val="single" w:sz="8" w:color="auto"/>
              <w:right w:val="single" w:sz="8" w:color="auto"/>
            </w:tcBorders>
          </w:tcPr>
          <w:p>
            <w:pPr>
              <w:spacing w:after="0"/>
              <w:rPr>
                <w:sz w:val="10"/>
                <w:szCs w:val="10"/>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fair value adjustments, amortization of other identifiable</w:t>
            </w: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measure performance.</w:t>
            </w: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spacing w:after="0"/>
              <w:rPr>
                <w:sz w:val="13"/>
                <w:szCs w:val="13"/>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intangible assets, other operating gains and losses,</w:t>
            </w:r>
          </w:p>
        </w:tc>
        <w:tc>
          <w:tcPr>
            <w:tcW w:w="47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820" w:type="dxa"/>
            <w:vAlign w:val="bottom"/>
            <w:tcBorders>
              <w:left w:val="single" w:sz="8" w:color="auto"/>
              <w:right w:val="single" w:sz="8" w:color="auto"/>
            </w:tcBorders>
          </w:tcPr>
          <w:p>
            <w:pPr>
              <w:spacing w:after="0"/>
              <w:rPr>
                <w:sz w:val="3"/>
                <w:szCs w:val="3"/>
                <w:color w:val="auto"/>
              </w:rPr>
            </w:pPr>
          </w:p>
        </w:tc>
        <w:tc>
          <w:tcPr>
            <w:tcW w:w="4720" w:type="dxa"/>
            <w:vAlign w:val="bottom"/>
            <w:tcBorders>
              <w:right w:val="single" w:sz="8" w:color="auto"/>
            </w:tcBorders>
            <w:vMerge w:val="continue"/>
          </w:tcPr>
          <w:p>
            <w:pPr>
              <w:spacing w:after="0"/>
              <w:rPr>
                <w:sz w:val="3"/>
                <w:szCs w:val="3"/>
                <w:color w:val="auto"/>
              </w:rPr>
            </w:pPr>
          </w:p>
        </w:tc>
        <w:tc>
          <w:tcPr>
            <w:tcW w:w="47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certain asset impairment charges, other finance costs or</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income, Thomson Reuters share of post-tax earnings or</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losses in equity method investments, discontinued</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operations and other items affecting comparability.</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820" w:type="dxa"/>
            <w:vAlign w:val="bottom"/>
            <w:tcBorders>
              <w:left w:val="single" w:sz="8" w:color="auto"/>
              <w:right w:val="single" w:sz="8" w:color="auto"/>
            </w:tcBorders>
          </w:tcPr>
          <w:p>
            <w:pPr>
              <w:spacing w:after="0"/>
              <w:rPr>
                <w:sz w:val="24"/>
                <w:szCs w:val="24"/>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post-tax amount of each item is excluded from</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adjusted earnings based on the specific tax rules and tax</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rates associated with the nature and jurisdiction of each</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item.</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820" w:type="dxa"/>
            <w:vAlign w:val="bottom"/>
            <w:tcBorders>
              <w:left w:val="single" w:sz="8" w:color="auto"/>
              <w:right w:val="single" w:sz="8" w:color="auto"/>
            </w:tcBorders>
          </w:tcPr>
          <w:p>
            <w:pPr>
              <w:spacing w:after="0"/>
              <w:rPr>
                <w:sz w:val="24"/>
                <w:szCs w:val="24"/>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Adjusted EPS is calculated from adjusted earnings using</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diluted weighted-average shares and does not represent</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actual earnings or loss per share attributable to</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shareholders.</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820" w:type="dxa"/>
            <w:vAlign w:val="bottom"/>
            <w:tcBorders>
              <w:left w:val="single" w:sz="8" w:color="auto"/>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Effective tax rate on</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Adjusted tax expense divided by pre-tax adjusted</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a basis to analyze the effective tax rate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adjusted earnings</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earnings. Adjusted tax expense is computed as income</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associated with adjusted earnings.</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tax (benefit) expense plus or minus the income tax</w:t>
            </w: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Because the geographical mix of pre-tax profits and</w:t>
            </w: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right w:val="single" w:sz="8" w:color="auto"/>
            </w:tcBorders>
          </w:tcPr>
          <w:p>
            <w:pPr>
              <w:spacing w:after="0"/>
              <w:rPr>
                <w:sz w:val="10"/>
                <w:szCs w:val="10"/>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impacts of all items impacting adjusted earnings (as</w:t>
            </w: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losses in interim periods may be different from that for</w:t>
            </w: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right w:val="single" w:sz="8" w:color="auto"/>
            </w:tcBorders>
          </w:tcPr>
          <w:p>
            <w:pPr>
              <w:spacing w:after="0"/>
              <w:rPr>
                <w:sz w:val="10"/>
                <w:szCs w:val="10"/>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described above), and other tax items impacting</w:t>
            </w: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the full year, our effective tax rate computed in</w:t>
            </w:r>
          </w:p>
        </w:tc>
        <w:tc>
          <w:tcPr>
            <w:tcW w:w="0" w:type="dxa"/>
            <w:vAlign w:val="bottom"/>
          </w:tcPr>
          <w:p>
            <w:pPr>
              <w:spacing w:after="0"/>
              <w:rPr>
                <w:sz w:val="1"/>
                <w:szCs w:val="1"/>
                <w:color w:val="auto"/>
              </w:rPr>
            </w:pPr>
          </w:p>
        </w:tc>
      </w:tr>
      <w:tr>
        <w:trPr>
          <w:trHeight w:val="122"/>
        </w:trPr>
        <w:tc>
          <w:tcPr>
            <w:tcW w:w="1820" w:type="dxa"/>
            <w:vAlign w:val="bottom"/>
            <w:tcBorders>
              <w:left w:val="single" w:sz="8" w:color="auto"/>
              <w:right w:val="single" w:sz="8" w:color="auto"/>
            </w:tcBorders>
          </w:tcPr>
          <w:p>
            <w:pPr>
              <w:spacing w:after="0"/>
              <w:rPr>
                <w:sz w:val="10"/>
                <w:szCs w:val="10"/>
                <w:color w:val="auto"/>
              </w:rPr>
            </w:pP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comparability.</w:t>
            </w:r>
          </w:p>
        </w:tc>
        <w:tc>
          <w:tcPr>
            <w:tcW w:w="4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tcPr>
          <w:p>
            <w:pPr>
              <w:spacing w:after="0"/>
              <w:rPr>
                <w:sz w:val="10"/>
                <w:szCs w:val="10"/>
                <w:color w:val="auto"/>
              </w:rPr>
            </w:pPr>
          </w:p>
        </w:tc>
        <w:tc>
          <w:tcPr>
            <w:tcW w:w="472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ind w:left="100"/>
              <w:spacing w:after="0" w:line="202" w:lineRule="exact"/>
              <w:rPr>
                <w:sz w:val="20"/>
                <w:szCs w:val="20"/>
                <w:color w:val="auto"/>
              </w:rPr>
            </w:pPr>
            <w:r>
              <w:rPr>
                <w:rFonts w:ascii="Arial" w:cs="Arial" w:eastAsia="Arial" w:hAnsi="Arial"/>
                <w:sz w:val="18"/>
                <w:szCs w:val="18"/>
                <w:color w:val="auto"/>
              </w:rPr>
              <w:t>accordance with IFRS may be more volatile by quarter.</w:t>
            </w:r>
          </w:p>
        </w:tc>
        <w:tc>
          <w:tcPr>
            <w:tcW w:w="0" w:type="dxa"/>
            <w:vAlign w:val="bottom"/>
          </w:tcPr>
          <w:p>
            <w:pPr>
              <w:spacing w:after="0"/>
              <w:rPr>
                <w:sz w:val="1"/>
                <w:szCs w:val="1"/>
                <w:color w:val="auto"/>
              </w:rPr>
            </w:pPr>
          </w:p>
        </w:tc>
      </w:tr>
      <w:tr>
        <w:trPr>
          <w:trHeight w:val="85"/>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 interim periods, we also make an adjustment to reflect</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Therefore, we believe that using the expected full-year</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income taxes based on the estimated full-year effective</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effective tax rate provides more comparability among</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tax rate. Earnings or losses for interim periods under</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interim periods.</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IFRS reflect income taxes based on the estimated</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effective tax rates of each of the jurisdictions in which</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Thomson Reuters operates. The non-IFRS adjustment</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reallocates estimated full-year income taxes between</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interim periods but has no effect on full-year income</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taxes.</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820" w:type="dxa"/>
            <w:vAlign w:val="bottom"/>
            <w:tcBorders>
              <w:left w:val="single" w:sz="8" w:color="auto"/>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Free cash flow</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Net cash provided by operating activities, proceeds from</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Helps assess the company’s ability, over the long term,</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disposals of property and equipment, and other investing</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create value for its shareholders as it represents cash</w:t>
            </w: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activities, less capital expenditures, payments of lease</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available to repay debt, pay common dividends and fund</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principal and dividends paid on the company’s preference</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 repurchases and acquisitions.</w:t>
            </w: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before the</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changes in revenues, adjusted EBITDA and the</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better comparability of business trends from</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impact of foreign</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related margin, and adjusted EPS before currency (at</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period to period.</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currency or at</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constant currency or excluding the effects of currency)</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“constant currency”</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are determined by converting the current and equivalent</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prior period’s local currency results using the same</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foreign currency exchange rate.</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Changes in</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Represent changes in revenues of the company’s</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Provides further insight into the performance of the</w:t>
            </w: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revenues computed</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existing businesses at constant currency. The metric</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existing businesses by excluding distortive</w:t>
            </w: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on an “organic”</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excludes the distortive impacts of acquisitions and</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impacts and serves as a better measure of the</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basis</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dispositions from not owning the business in both</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ability to grow its business over the long term.</w:t>
            </w: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comparable periods.</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tcPr>
          <w:p>
            <w:pPr>
              <w:spacing w:after="0"/>
              <w:rPr>
                <w:sz w:val="7"/>
                <w:szCs w:val="7"/>
                <w:color w:val="auto"/>
              </w:rPr>
            </w:pPr>
          </w:p>
        </w:tc>
        <w:tc>
          <w:tcPr>
            <w:tcW w:w="4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12" w:right="31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Accrued capital</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Accrued capital expenditures divided by revenues, where</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Reflects the basis on which the company manages</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expenditures as a</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accrued capital expenditures include amounts that remain</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capital expenditures for internal budgeting purposes.</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percentage of</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unpaid at the end of the reporting period.</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revenues</w:t>
            </w:r>
          </w:p>
        </w:tc>
        <w:tc>
          <w:tcPr>
            <w:tcW w:w="4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Prior to December 31, 2021, the company used capital</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right w:val="single" w:sz="8" w:color="auto"/>
            </w:tcBorders>
          </w:tcPr>
          <w:p>
            <w:pPr>
              <w:spacing w:after="0"/>
              <w:rPr>
                <w:sz w:val="7"/>
                <w:szCs w:val="7"/>
                <w:color w:val="auto"/>
              </w:rPr>
            </w:pPr>
          </w:p>
        </w:tc>
        <w:tc>
          <w:tcPr>
            <w:tcW w:w="4720" w:type="dxa"/>
            <w:vAlign w:val="bottom"/>
            <w:tcBorders>
              <w:right w:val="single" w:sz="8" w:color="auto"/>
            </w:tcBorders>
            <w:vMerge w:val="continue"/>
          </w:tcPr>
          <w:p>
            <w:pPr>
              <w:spacing w:after="0"/>
              <w:rPr>
                <w:sz w:val="7"/>
                <w:szCs w:val="7"/>
                <w:color w:val="auto"/>
              </w:rPr>
            </w:pPr>
          </w:p>
        </w:tc>
        <w:tc>
          <w:tcPr>
            <w:tcW w:w="4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expenditures paid in this calculation, from its consolidated</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statement of cash flow, as measured under IFRS. The</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prior period has been revised to reflect the current</w:t>
            </w:r>
          </w:p>
        </w:tc>
        <w:tc>
          <w:tcPr>
            <w:tcW w:w="4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methodology.</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820" w:type="dxa"/>
            <w:vAlign w:val="bottom"/>
            <w:tcBorders>
              <w:left w:val="single" w:sz="8" w:color="auto"/>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“Big 3” segments</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company’s combined Legal Professionals,</w:t>
            </w: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“Big 3” segments comprised approximately 80% of</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Corporates and Tax &amp; Accounting Professionals</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revenues and represent the core of the company’s</w:t>
            </w: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segments. All measures reported for the “Big 3”</w:t>
            </w:r>
          </w:p>
        </w:tc>
        <w:tc>
          <w:tcPr>
            <w:tcW w:w="4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business information service product offerings.</w:t>
            </w: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segments are non-IFRS financial measures.</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820" w:type="dxa"/>
            <w:vAlign w:val="bottom"/>
            <w:tcBorders>
              <w:left w:val="single" w:sz="8" w:color="auto"/>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4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Please refer to reconciliations for the most directly comparable IFRS financial measures.</w:t>
      </w:r>
    </w:p>
    <w:sectPr>
      <w:pgSz w:w="11900" w:h="16838" w:orient="portrait"/>
      <w:cols w:equalWidth="0" w:num="1">
        <w:col w:w="11260"/>
      </w:cols>
      <w:pgMar w:left="320"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o"/>
      <w:numFmt w:val="bullet"/>
      <w:start w:val="1"/>
    </w:lvl>
    <w:lvl w:ilvl="1">
      <w:lvlJc w:val="left"/>
      <w:lvlText w:val="•"/>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o"/>
      <w:numFmt w:val="bullet"/>
      <w:start w:val="1"/>
    </w:lvl>
  </w:abstractNum>
  <w:abstractNum w:abstractNumId="4">
    <w:nsid w:val="25E45D32"/>
    <w:multiLevelType w:val="hybridMultilevel"/>
    <w:lvl w:ilvl="0">
      <w:lvlJc w:val="left"/>
      <w:lvlText w:val="o"/>
      <w:numFmt w:val="bullet"/>
      <w:start w:val="1"/>
    </w:lvl>
  </w:abstractNum>
  <w:abstractNum w:abstractNumId="5">
    <w:nsid w:val="519B500D"/>
    <w:multiLevelType w:val="hybridMultilevel"/>
    <w:lvl w:ilvl="0">
      <w:lvlJc w:val="left"/>
      <w:lvlText w:val=" "/>
      <w:numFmt w:val="bullet"/>
      <w:start w:val="1"/>
    </w:lvl>
  </w:abstractNum>
  <w:abstractNum w:abstractNumId="6">
    <w:nsid w:val="431BD7B7"/>
    <w:multiLevelType w:val="hybridMultilevel"/>
    <w:lvl w:ilvl="0">
      <w:lvlJc w:val="left"/>
      <w:lvlText w:val="o"/>
      <w:numFmt w:val="bullet"/>
      <w:start w:val="1"/>
    </w:lvl>
  </w:abstractNum>
  <w:abstractNum w:abstractNumId="7">
    <w:nsid w:val="3F2DBA31"/>
    <w:multiLevelType w:val="hybridMultilevel"/>
    <w:lvl w:ilvl="0">
      <w:lvlJc w:val="left"/>
      <w:lvlText w:val="o"/>
      <w:numFmt w:val="bullet"/>
      <w:start w:val="1"/>
    </w:lvl>
  </w:abstractNum>
  <w:abstractNum w:abstractNumId="8">
    <w:nsid w:val="7C83E458"/>
    <w:multiLevelType w:val="hybridMultilevel"/>
    <w:lvl w:ilvl="0">
      <w:lvlJc w:val="left"/>
      <w:lvlText w:val="o"/>
      <w:numFmt w:val="bullet"/>
      <w:start w:val="1"/>
    </w:lvl>
  </w:abstractNum>
  <w:abstractNum w:abstractNumId="9">
    <w:nsid w:val="257130A3"/>
    <w:multiLevelType w:val="hybridMultilevel"/>
    <w:lvl w:ilvl="0">
      <w:lvlJc w:val="left"/>
      <w:lvlText w:val="o"/>
      <w:numFmt w:val="bullet"/>
      <w:start w:val="1"/>
    </w:lvl>
  </w:abstractNum>
  <w:abstractNum w:abstractNumId="10">
    <w:nsid w:val="62BBD95A"/>
    <w:multiLevelType w:val="hybridMultilevel"/>
    <w:lvl w:ilvl="0">
      <w:lvlJc w:val="left"/>
      <w:lvlText w:val="o"/>
      <w:numFmt w:val="bullet"/>
      <w:start w:val="1"/>
    </w:lvl>
  </w:abstractNum>
  <w:abstractNum w:abstractNumId="11">
    <w:nsid w:val="436C6125"/>
    <w:multiLevelType w:val="hybridMultilevel"/>
    <w:lvl w:ilvl="0">
      <w:lvlJc w:val="left"/>
      <w:lvlText w:val="o"/>
      <w:numFmt w:val="bullet"/>
      <w:start w:val="1"/>
    </w:lvl>
  </w:abstractNum>
  <w:abstractNum w:abstractNumId="12">
    <w:nsid w:val="628C895D"/>
    <w:multiLevelType w:val="hybridMultilevel"/>
    <w:lvl w:ilvl="0">
      <w:lvlJc w:val="left"/>
      <w:lvlText w:val="o"/>
      <w:numFmt w:val="bullet"/>
      <w:start w:val="1"/>
    </w:lvl>
  </w:abstractNum>
  <w:abstractNum w:abstractNumId="13">
    <w:nsid w:val="333AB105"/>
    <w:multiLevelType w:val="hybridMultilevel"/>
    <w:lvl w:ilvl="0">
      <w:lvlJc w:val="left"/>
      <w:lvlText w:val="o"/>
      <w:numFmt w:val="bullet"/>
      <w:start w:val="1"/>
    </w:lvl>
    <w:lvl w:ilvl="1">
      <w:lvlJc w:val="left"/>
      <w:lvlText w:val="•"/>
      <w:numFmt w:val="bullet"/>
      <w:start w:val="1"/>
    </w:lvl>
  </w:abstractNum>
  <w:abstractNum w:abstractNumId="14">
    <w:nsid w:val="721DA317"/>
    <w:multiLevelType w:val="hybridMultilevel"/>
    <w:lvl w:ilvl="0">
      <w:lvlJc w:val="left"/>
      <w:lvlText w:val="o"/>
      <w:numFmt w:val="bullet"/>
      <w:start w:val="1"/>
    </w:lvl>
  </w:abstractNum>
  <w:abstractNum w:abstractNumId="15">
    <w:nsid w:val="2443A858"/>
    <w:multiLevelType w:val="hybridMultilevel"/>
    <w:lvl w:ilvl="0">
      <w:lvlJc w:val="left"/>
      <w:lvlText w:val="o"/>
      <w:numFmt w:val="bullet"/>
      <w:start w:val="1"/>
    </w:lvl>
  </w:abstractNum>
  <w:abstractNum w:abstractNumId="16">
    <w:nsid w:val="2D1D5AE9"/>
    <w:multiLevelType w:val="hybridMultilevel"/>
    <w:lvl w:ilvl="0">
      <w:lvlJc w:val="left"/>
      <w:lvlText w:val="o"/>
      <w:numFmt w:val="bullet"/>
      <w:start w:val="1"/>
    </w:lvl>
  </w:abstractNum>
  <w:abstractNum w:abstractNumId="17">
    <w:nsid w:val="6763845E"/>
    <w:multiLevelType w:val="hybridMultilevel"/>
    <w:lvl w:ilvl="0">
      <w:lvlJc w:val="left"/>
      <w:lvlText w:val=" "/>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2022-08-04T06:15:42Z</dcterms:created>
  <dcterms:modified xsi:type="dcterms:W3CDTF">2022-08-04T06:15:42Z</dcterms:modified>
</cp:coreProperties>
</file>