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6" w:lineRule="exact"/>
        <w:rPr>
          <w:sz w:val="24"/>
          <w:szCs w:val="24"/>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b w:val="1"/>
          <w:bCs w:val="1"/>
          <w:color w:val="auto"/>
        </w:rPr>
        <w:t>For the month of June 2022</w:t>
      </w:r>
      <w:r>
        <w:rPr>
          <w:sz w:val="20"/>
          <w:szCs w:val="20"/>
          <w:color w:val="auto"/>
        </w:rPr>
        <w:tab/>
      </w:r>
      <w:r>
        <w:rPr>
          <w:rFonts w:ascii="Times New Roman" w:cs="Times New Roman" w:eastAsia="Times New Roman" w:hAnsi="Times New Roman"/>
          <w:sz w:val="18"/>
          <w:szCs w:val="18"/>
          <w:b w:val="1"/>
          <w:bCs w:val="1"/>
          <w:color w:val="auto"/>
        </w:rPr>
        <w:t>Commission File Number: 1-31349</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Bay Street,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M5H 2R2, 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304" w:lineRule="exact"/>
        <w:rPr>
          <w:sz w:val="24"/>
          <w:szCs w:val="24"/>
          <w:color w:val="auto"/>
        </w:rPr>
      </w:pPr>
    </w:p>
    <w:p>
      <w:pPr>
        <w:jc w:val="center"/>
        <w:ind w:right="20"/>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1020"/>
          </w:cols>
          <w:pgMar w:left="440" w:top="200"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 E. Gold</w:t>
      </w:r>
    </w:p>
    <w:p>
      <w:pPr>
        <w:spacing w:after="0" w:line="23"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8040" w:type="dxa"/>
            <w:vAlign w:val="bottom"/>
          </w:tcPr>
          <w:p>
            <w:pPr>
              <w:spacing w:after="0"/>
              <w:rPr>
                <w:sz w:val="24"/>
                <w:szCs w:val="24"/>
                <w:color w:val="auto"/>
              </w:rPr>
            </w:pPr>
          </w:p>
        </w:tc>
      </w:tr>
      <w:tr>
        <w:trPr>
          <w:trHeight w:val="2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9"/>
              </w:rPr>
              <w:t>News release dated June 8, 2022 – Thomson Reuters Announces Annual Renewal of Normal Course Issuer Bid and New</w:t>
            </w:r>
          </w:p>
        </w:tc>
      </w:tr>
      <w:tr>
        <w:trPr>
          <w:trHeight w:val="234"/>
        </w:trPr>
        <w:tc>
          <w:tcPr>
            <w:tcW w:w="920" w:type="dxa"/>
            <w:vAlign w:val="bottom"/>
          </w:tcPr>
          <w:p>
            <w:pPr>
              <w:spacing w:after="0"/>
              <w:rPr>
                <w:sz w:val="20"/>
                <w:szCs w:val="20"/>
                <w:color w:val="auto"/>
              </w:rPr>
            </w:pPr>
          </w:p>
        </w:tc>
        <w:tc>
          <w:tcPr>
            <w:tcW w:w="96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US$2.0 Billion Buyback Program</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Notice of Intention to Make a Normal Course Issuer Bid</w:t>
            </w:r>
          </w:p>
        </w:tc>
      </w:tr>
    </w:tbl>
    <w:p>
      <w:pPr>
        <w:ind w:left="920"/>
        <w:spacing w:after="0"/>
        <w:rPr>
          <w:sz w:val="20"/>
          <w:szCs w:val="20"/>
          <w:color w:val="auto"/>
        </w:rPr>
        <w:sectPr>
          <w:pgSz w:w="11900" w:h="16838" w:orient="portrait"/>
          <w:cols w:equalWidth="0" w:num="1">
            <w:col w:w="10560"/>
          </w:cols>
          <w:pgMar w:left="440" w:top="266" w:right="8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911350"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Announces Annual Renewal of Normal Course Issuer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and New US$2.0 Billion Share Repurchase Program</w:t>
      </w:r>
    </w:p>
    <w:p>
      <w:pPr>
        <w:spacing w:after="0" w:line="19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TORONTO, June 8, 2022 – </w:t>
      </w:r>
      <w:r>
        <w:rPr>
          <w:rFonts w:ascii="Arial" w:cs="Arial" w:eastAsia="Arial" w:hAnsi="Arial"/>
          <w:sz w:val="18"/>
          <w:szCs w:val="18"/>
          <w:color w:val="auto"/>
        </w:rPr>
        <w:t>Thomson Reuters Corporation (TSX/NYSE: TRI) today announced it has received approval from the Toronto</w:t>
      </w:r>
      <w:r>
        <w:rPr>
          <w:rFonts w:ascii="Arial" w:cs="Arial" w:eastAsia="Arial" w:hAnsi="Arial"/>
          <w:sz w:val="18"/>
          <w:szCs w:val="18"/>
          <w:b w:val="1"/>
          <w:bCs w:val="1"/>
          <w:color w:val="auto"/>
        </w:rPr>
        <w:t xml:space="preserve"> </w:t>
      </w:r>
      <w:r>
        <w:rPr>
          <w:rFonts w:ascii="Arial" w:cs="Arial" w:eastAsia="Arial" w:hAnsi="Arial"/>
          <w:sz w:val="18"/>
          <w:szCs w:val="18"/>
          <w:color w:val="auto"/>
        </w:rPr>
        <w:t>Stock Exchange (TSX) for the annual renewal of its normal course issuer bid (NCIB). The company also announced that it plans to repurchase up to US$2.0 billion of its shares under the new NCIB.</w:t>
      </w:r>
    </w:p>
    <w:p>
      <w:pPr>
        <w:spacing w:after="0" w:line="16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Under the new NCIB, up to 24 million common shares (which represents approximately 5% of the company’s issued and outstanding common shares) may be repurchased between June 13, 2022 and June 12, 2023.</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From time to time when Thomson Reuters does not possess material nonpublic information about itself or its securities, it may enter into a pre-defined plan with its broker to allow for the repurchase of shares at times when Thomson Reuters ordinarily would not be active in the market due to its own internal trading blackout periods, insider trading rules or otherwise. Any such plans entered into with Thomson Reuters’ broker will be adopted in accordance with applicable Canadian securities laws and the requirements of Rule 10b5-1 under the U.S. Securities Exchange Act of 1934, as amended. Thomson Reuters plans to enter into such a plan later this month with its broker pursuant to which shares may be repurchased under the new NCIB.</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Thomson Reuters has historically maintained a disciplined capital strategy that balances growth, long-term financial leverage, credit ratings and returns to shareholders through dividends and share repurchases. The NCIB provides the company with a flexible way to provide returns to shareholders who choose to participate by selling their shares. Thomson Reuters expects to have significant capital capacity over the next four years, which would provide it with options for additional investments and returns to shareholders. In addition to cash generated from its operating activities, the company has disclosed that it plans to monetize its interest in London Stock Exchange Group plc (LSEG) over time after the expiration of applicable contractual lock-up provisions. As of June 7, 2022, Thomson Reuters indirectly owned approximately 72.4 million LSEG shares, which had a market value of approximately US$6.5 billion based on LSEG’s closing share price on that date.</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Under the new NCIB, shares may be repurchased in open market transactions on the TSX, the New York Stock Exchange (NYSE) and/or other exchanges and alternative trading systems, if eligible, or by such other means as may be permitted by the TSX and/or NYSE or under applicable law, including private agreement purchases if Thomson Reuters receives an issuer bid exemption order in the future from applicable securities regulatory authorities in Canada for such purchases. The price that Thomson Reuters will pay for common shares in open market transactions will be the market price at the time of purchase or such other price as may be permitted by the TSX. Any private agreement purchases made under an exemption order may be at a discount to the prevailing market price. In accordance with TSX rules, any daily repurchases (other than pursuant to a block purchase exception) on the TSX under the renewed NCIB are limited to a maximum of 98,051 shares, which represents 25% of the average daily trading volume on the TSX of 392,204 for the six months ended May 31, 2022 (net of repurchases made by the company during that time period). On May 31, 2022, there were 487,122,905 Thomson Reuters common shares outstanding. Any shares that are repurchased are cancelled.</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Decisions regarding any future repurchases will depend on certain factors, such as market conditions, share price and other opportunities to invest capital for growth. Thomson Reuters may elect to suspend or discontinue share repurchases at any time, in accordance with applicable laws.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For its NCIB that began on January 4, 2021 and expired on January 3, 2022, Thomson Reuters previously received approval from the TSX to repurchase up to 20 million common shares. Of this amount, Thomson Reuters repurchased 12,795,358 common shares for a total cost of approximately US$1.4 billion, representing an average price of US$109.42 per share. Thomson Reuters repurchased the common shares through the facilities of the TSX, the NYSE and other alternative trading systems through its broker.</w:t>
      </w:r>
    </w:p>
    <w:p>
      <w:pPr>
        <w:sectPr>
          <w:pgSz w:w="11900" w:h="16838" w:orient="portrait"/>
          <w:cols w:equalWidth="0" w:num="1">
            <w:col w:w="11240"/>
          </w:cols>
          <w:pgMar w:left="320" w:top="122" w:right="339" w:bottom="1440" w:gutter="0" w:footer="0" w:header="0"/>
        </w:sectPr>
      </w:pPr>
    </w:p>
    <w:bookmarkStart w:id="4" w:name="page5"/>
    <w:bookmarkEnd w:id="4"/>
    <w:p>
      <w:pPr>
        <w:ind w:right="2000"/>
        <w:spacing w:after="0" w:line="24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185166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48285"/>
                    </a:xfrm>
                    <a:prstGeom prst="rect">
                      <a:avLst/>
                    </a:prstGeom>
                    <a:noFill/>
                  </pic:spPr>
                </pic:pic>
              </a:graphicData>
            </a:graphic>
          </wp:anchor>
        </w:drawing>
        <w:t>Thomson Reuters Announces Annual Renewal of Normal Course Issuer Bid and New US$2.0 Billion Share Repurchase Program</w:t>
      </w:r>
    </w:p>
    <w:p>
      <w:pPr>
        <w:spacing w:after="0"/>
        <w:rPr>
          <w:sz w:val="20"/>
          <w:szCs w:val="20"/>
          <w:color w:val="auto"/>
        </w:rPr>
      </w:pPr>
      <w:r>
        <w:rPr>
          <w:rFonts w:ascii="Arial" w:cs="Arial" w:eastAsia="Arial" w:hAnsi="Arial"/>
          <w:sz w:val="18"/>
          <w:szCs w:val="18"/>
          <w:color w:val="auto"/>
        </w:rPr>
        <w:t>Page 2 of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Thomson Reuters (TSX/NYSE: TRI)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tr.com and for the latest world news, reuters.com.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statements in this news release are forward-looking, including statements regarding the company’s plans to repurchase up to</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US$ 2.0 billion of its common shares, its intentions related to future share repurchases and expectations regarding its future capital capacity and plans to sell LSEG shares in the future. While the company believes that it has a reasonable basis for making forward-looking statements in this news release, they are not a guarantee of future performance or outcomes and there is no assurance that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You are cautioned not to place undue reliance on forward-looking statements which reflect expectations only as of the date of this news release. Except as may be required by applicable law, Thomson Reuters disclaims any obligation to update or revise any forward-looking statements.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401"/>
        </w:trPr>
        <w:tc>
          <w:tcPr>
            <w:tcW w:w="5240" w:type="dxa"/>
            <w:vAlign w:val="bottom"/>
            <w:gridSpan w:val="2"/>
          </w:tcPr>
          <w:p>
            <w:pPr>
              <w:spacing w:after="0"/>
              <w:rPr>
                <w:sz w:val="20"/>
                <w:szCs w:val="20"/>
                <w:color w:val="auto"/>
              </w:rPr>
            </w:pPr>
            <w:r>
              <w:rPr>
                <w:rFonts w:ascii="Arial" w:cs="Arial" w:eastAsia="Arial" w:hAnsi="Arial"/>
                <w:sz w:val="18"/>
                <w:szCs w:val="18"/>
                <w:color w:val="auto"/>
              </w:rPr>
              <w:t>MEDIA</w:t>
            </w:r>
          </w:p>
        </w:tc>
        <w:tc>
          <w:tcPr>
            <w:tcW w:w="2740" w:type="dxa"/>
            <w:vAlign w:val="bottom"/>
            <w:gridSpan w:val="3"/>
          </w:tcPr>
          <w:p>
            <w:pPr>
              <w:ind w:left="620"/>
              <w:spacing w:after="0"/>
              <w:rPr>
                <w:sz w:val="20"/>
                <w:szCs w:val="20"/>
                <w:color w:val="auto"/>
              </w:rPr>
            </w:pPr>
            <w:r>
              <w:rPr>
                <w:rFonts w:ascii="Arial" w:cs="Arial" w:eastAsia="Arial" w:hAnsi="Arial"/>
                <w:sz w:val="18"/>
                <w:szCs w:val="18"/>
                <w:color w:val="auto"/>
              </w:rPr>
              <w:t>INVESTORS</w:t>
            </w: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Melissa Cassar</w:t>
            </w:r>
          </w:p>
        </w:tc>
        <w:tc>
          <w:tcPr>
            <w:tcW w:w="274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Gary Bisbee</w:t>
            </w: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Head of Commercial Communications &amp; Corporate Affairs</w:t>
            </w:r>
          </w:p>
        </w:tc>
        <w:tc>
          <w:tcPr>
            <w:tcW w:w="2740" w:type="dxa"/>
            <w:vAlign w:val="bottom"/>
            <w:gridSpan w:val="3"/>
          </w:tcPr>
          <w:p>
            <w:pPr>
              <w:ind w:left="620"/>
              <w:spacing w:after="0" w:line="202" w:lineRule="exact"/>
              <w:rPr>
                <w:sz w:val="20"/>
                <w:szCs w:val="20"/>
                <w:color w:val="auto"/>
              </w:rPr>
            </w:pPr>
            <w:r>
              <w:rPr>
                <w:rFonts w:ascii="Arial" w:cs="Arial" w:eastAsia="Arial" w:hAnsi="Arial"/>
                <w:sz w:val="18"/>
                <w:szCs w:val="18"/>
                <w:color w:val="auto"/>
                <w:w w:val="98"/>
              </w:rPr>
              <w:t>Head of Investor Relations</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+1 437 388-3619</w:t>
            </w:r>
          </w:p>
        </w:tc>
        <w:tc>
          <w:tcPr>
            <w:tcW w:w="3360" w:type="dxa"/>
            <w:vAlign w:val="bottom"/>
          </w:tcPr>
          <w:p>
            <w:pPr>
              <w:spacing w:after="0"/>
              <w:rPr>
                <w:sz w:val="17"/>
                <w:szCs w:val="17"/>
                <w:color w:val="auto"/>
              </w:rPr>
            </w:pPr>
          </w:p>
        </w:tc>
        <w:tc>
          <w:tcPr>
            <w:tcW w:w="220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+1 646 540 3249</w:t>
            </w:r>
          </w:p>
        </w:tc>
        <w:tc>
          <w:tcPr>
            <w:tcW w:w="540" w:type="dxa"/>
            <w:vAlign w:val="bottom"/>
          </w:tcPr>
          <w:p>
            <w:pPr>
              <w:spacing w:after="0"/>
              <w:rPr>
                <w:sz w:val="17"/>
                <w:szCs w:val="17"/>
                <w:color w:val="auto"/>
              </w:rPr>
            </w:pPr>
          </w:p>
        </w:tc>
      </w:tr>
      <w:tr>
        <w:trPr>
          <w:trHeight w:val="194"/>
        </w:trPr>
        <w:tc>
          <w:tcPr>
            <w:tcW w:w="1880" w:type="dxa"/>
            <w:vAlign w:val="bottom"/>
          </w:tcPr>
          <w:p>
            <w:pPr>
              <w:spacing w:after="0" w:line="195" w:lineRule="exact"/>
              <w:rPr>
                <w:sz w:val="20"/>
                <w:szCs w:val="20"/>
                <w:color w:val="auto"/>
              </w:rPr>
            </w:pPr>
            <w:r>
              <w:rPr>
                <w:rFonts w:ascii="Arial" w:cs="Arial" w:eastAsia="Arial" w:hAnsi="Arial"/>
                <w:sz w:val="18"/>
                <w:szCs w:val="18"/>
                <w:color w:val="auto"/>
                <w:w w:val="99"/>
              </w:rPr>
              <w:t>melissa.cassar@tr.com</w:t>
            </w:r>
          </w:p>
        </w:tc>
        <w:tc>
          <w:tcPr>
            <w:tcW w:w="3360" w:type="dxa"/>
            <w:vAlign w:val="bottom"/>
          </w:tcPr>
          <w:p>
            <w:pPr>
              <w:spacing w:after="0"/>
              <w:rPr>
                <w:sz w:val="16"/>
                <w:szCs w:val="16"/>
                <w:color w:val="auto"/>
              </w:rPr>
            </w:pPr>
          </w:p>
        </w:tc>
        <w:tc>
          <w:tcPr>
            <w:tcW w:w="274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gary.bisbee@tr.com</w:t>
            </w:r>
          </w:p>
        </w:tc>
      </w:tr>
      <w:tr>
        <w:trPr>
          <w:trHeight w:val="20"/>
        </w:trPr>
        <w:tc>
          <w:tcPr>
            <w:tcW w:w="18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080"/>
          </w:cols>
          <w:pgMar w:left="320" w:top="877"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34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Sought – </w:t>
      </w:r>
      <w:r>
        <w:rPr>
          <w:rFonts w:ascii="Arial" w:cs="Arial" w:eastAsia="Arial" w:hAnsi="Arial"/>
          <w:sz w:val="18"/>
          <w:szCs w:val="18"/>
          <w:color w:val="auto"/>
        </w:rPr>
        <w:t>State the following:</w:t>
      </w:r>
    </w:p>
    <w:p>
      <w:pPr>
        <w:spacing w:after="0" w:line="117" w:lineRule="exact"/>
        <w:rPr>
          <w:rFonts w:ascii="Arial" w:cs="Arial" w:eastAsia="Arial" w:hAnsi="Arial"/>
          <w:sz w:val="18"/>
          <w:szCs w:val="18"/>
          <w:b w:val="1"/>
          <w:bCs w:val="1"/>
          <w:color w:val="auto"/>
        </w:rPr>
      </w:pPr>
    </w:p>
    <w:p>
      <w:pPr>
        <w:ind w:left="1000" w:hanging="547"/>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Class(es) of securities subject to the NCIB:</w:t>
      </w:r>
    </w:p>
    <w:p>
      <w:pPr>
        <w:spacing w:after="0" w:line="10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i w:val="1"/>
          <w:iCs w:val="1"/>
          <w:color w:val="auto"/>
        </w:rPr>
        <w:t>Common Shares of Thomson Reuters (“Common Shares”)</w:t>
      </w:r>
    </w:p>
    <w:p>
      <w:pPr>
        <w:spacing w:after="0" w:line="115" w:lineRule="exact"/>
        <w:rPr>
          <w:rFonts w:ascii="Arial" w:cs="Arial" w:eastAsia="Arial" w:hAnsi="Arial"/>
          <w:sz w:val="18"/>
          <w:szCs w:val="18"/>
          <w:color w:val="auto"/>
        </w:rPr>
      </w:pPr>
    </w:p>
    <w:p>
      <w:pPr>
        <w:ind w:left="1000" w:hanging="547"/>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number of securities:</w:t>
      </w:r>
    </w:p>
    <w:p>
      <w:pPr>
        <w:spacing w:after="0" w:line="117" w:lineRule="exact"/>
        <w:rPr>
          <w:rFonts w:ascii="Arial" w:cs="Arial" w:eastAsia="Arial" w:hAnsi="Arial"/>
          <w:sz w:val="18"/>
          <w:szCs w:val="18"/>
          <w:color w:val="auto"/>
        </w:rPr>
      </w:pPr>
    </w:p>
    <w:p>
      <w:pPr>
        <w:ind w:left="1460" w:right="560" w:hanging="453"/>
        <w:spacing w:after="0" w:line="271" w:lineRule="auto"/>
        <w:tabs>
          <w:tab w:leader="none" w:pos="1460" w:val="left"/>
        </w:tabs>
        <w:numPr>
          <w:ilvl w:val="2"/>
          <w:numId w:val="1"/>
        </w:numPr>
        <w:rPr>
          <w:rFonts w:ascii="Arial" w:cs="Arial" w:eastAsia="Arial" w:hAnsi="Arial"/>
          <w:sz w:val="18"/>
          <w:szCs w:val="18"/>
          <w:color w:val="auto"/>
        </w:rPr>
      </w:pPr>
      <w:r>
        <w:rPr>
          <w:rFonts w:ascii="Arial" w:cs="Arial" w:eastAsia="Arial" w:hAnsi="Arial"/>
          <w:sz w:val="18"/>
          <w:szCs w:val="18"/>
          <w:color w:val="auto"/>
        </w:rPr>
        <w:t>issued and outstanding (number must be within two calendar weeks of the commencement date of the NCIB): (as of May 31, 2022):</w:t>
      </w:r>
    </w:p>
    <w:p>
      <w:pPr>
        <w:spacing w:after="0" w:line="4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i w:val="1"/>
          <w:iCs w:val="1"/>
          <w:color w:val="auto"/>
        </w:rPr>
        <w:t>487,122,905 Common Shares</w:t>
      </w:r>
    </w:p>
    <w:p>
      <w:pPr>
        <w:spacing w:after="0" w:line="115" w:lineRule="exact"/>
        <w:rPr>
          <w:rFonts w:ascii="Arial" w:cs="Arial" w:eastAsia="Arial" w:hAnsi="Arial"/>
          <w:sz w:val="18"/>
          <w:szCs w:val="18"/>
          <w:color w:val="auto"/>
        </w:rPr>
      </w:pPr>
    </w:p>
    <w:p>
      <w:pPr>
        <w:ind w:left="1460" w:right="6280" w:hanging="453"/>
        <w:spacing w:after="0" w:line="367" w:lineRule="auto"/>
        <w:tabs>
          <w:tab w:leader="none" w:pos="1444"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if applicable, in the total public float: (as of ): </w:t>
      </w:r>
      <w:r>
        <w:rPr>
          <w:rFonts w:ascii="Arial" w:cs="Arial" w:eastAsia="Arial" w:hAnsi="Arial"/>
          <w:sz w:val="18"/>
          <w:szCs w:val="18"/>
          <w:i w:val="1"/>
          <w:iCs w:val="1"/>
          <w:color w:val="auto"/>
        </w:rPr>
        <w:t>Not applicable</w:t>
      </w:r>
    </w:p>
    <w:p>
      <w:pPr>
        <w:spacing w:after="0" w:line="1" w:lineRule="exact"/>
        <w:rPr>
          <w:rFonts w:ascii="Arial" w:cs="Arial" w:eastAsia="Arial" w:hAnsi="Arial"/>
          <w:sz w:val="18"/>
          <w:szCs w:val="18"/>
          <w:color w:val="auto"/>
        </w:rPr>
      </w:pPr>
    </w:p>
    <w:p>
      <w:pPr>
        <w:ind w:left="1000" w:hanging="547"/>
        <w:spacing w:after="0"/>
        <w:tabs>
          <w:tab w:leader="none" w:pos="100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Percentage of securities that may be purchased under the NCIB:</w:t>
      </w:r>
    </w:p>
    <w:p>
      <w:pPr>
        <w:spacing w:after="0" w:line="117" w:lineRule="exact"/>
        <w:rPr>
          <w:rFonts w:ascii="Arial" w:cs="Arial" w:eastAsia="Arial" w:hAnsi="Arial"/>
          <w:sz w:val="18"/>
          <w:szCs w:val="18"/>
          <w:color w:val="auto"/>
        </w:rPr>
      </w:pPr>
    </w:p>
    <w:p>
      <w:pPr>
        <w:ind w:left="1460" w:hanging="453"/>
        <w:spacing w:after="0"/>
        <w:tabs>
          <w:tab w:leader="none" w:pos="1460" w:val="left"/>
        </w:tabs>
        <w:numPr>
          <w:ilvl w:val="2"/>
          <w:numId w:val="1"/>
        </w:numPr>
        <w:rPr>
          <w:rFonts w:ascii="Arial" w:cs="Arial" w:eastAsia="Arial" w:hAnsi="Arial"/>
          <w:sz w:val="18"/>
          <w:szCs w:val="18"/>
          <w:color w:val="auto"/>
        </w:rPr>
      </w:pPr>
      <w:r>
        <w:rPr>
          <w:rFonts w:ascii="Arial" w:cs="Arial" w:eastAsia="Arial" w:hAnsi="Arial"/>
          <w:sz w:val="18"/>
          <w:szCs w:val="18"/>
          <w:color w:val="auto"/>
        </w:rPr>
        <w:t>% of issued and outstanding (maximum 5%):</w:t>
      </w:r>
    </w:p>
    <w:p>
      <w:pPr>
        <w:spacing w:after="0" w:line="10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i w:val="1"/>
          <w:iCs w:val="1"/>
          <w:color w:val="auto"/>
        </w:rPr>
        <w:t>4.93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60" w:right="5140" w:hanging="453"/>
        <w:spacing w:after="0" w:line="367" w:lineRule="auto"/>
        <w:tabs>
          <w:tab w:leader="none" w:pos="1444"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of the public float, as the case may be (maximum 10%): </w:t>
      </w:r>
      <w:r>
        <w:rPr>
          <w:rFonts w:ascii="Arial" w:cs="Arial" w:eastAsia="Arial" w:hAnsi="Arial"/>
          <w:sz w:val="18"/>
          <w:szCs w:val="18"/>
          <w:i w:val="1"/>
          <w:iCs w:val="1"/>
          <w:color w:val="auto"/>
        </w:rPr>
        <w:t>Not applicable</w:t>
      </w:r>
    </w:p>
    <w:p>
      <w:pPr>
        <w:spacing w:after="0" w:line="1" w:lineRule="exact"/>
        <w:rPr>
          <w:rFonts w:ascii="Arial" w:cs="Arial" w:eastAsia="Arial" w:hAnsi="Arial"/>
          <w:sz w:val="18"/>
          <w:szCs w:val="18"/>
          <w:color w:val="auto"/>
        </w:rPr>
      </w:pPr>
    </w:p>
    <w:p>
      <w:pPr>
        <w:ind w:left="1020" w:right="4720" w:hanging="567"/>
        <w:spacing w:after="0" w:line="367" w:lineRule="auto"/>
        <w:tabs>
          <w:tab w:leader="none" w:pos="100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Maximum number of securities that may be acquired under the NCIB: </w:t>
      </w:r>
      <w:r>
        <w:rPr>
          <w:rFonts w:ascii="Arial" w:cs="Arial" w:eastAsia="Arial" w:hAnsi="Arial"/>
          <w:sz w:val="18"/>
          <w:szCs w:val="18"/>
          <w:i w:val="1"/>
          <w:iCs w:val="1"/>
          <w:color w:val="auto"/>
        </w:rPr>
        <w:t>Up to 24,000,000 Common Shares</w:t>
      </w:r>
    </w:p>
    <w:p>
      <w:pPr>
        <w:spacing w:after="0" w:line="1" w:lineRule="exact"/>
        <w:rPr>
          <w:rFonts w:ascii="Arial" w:cs="Arial" w:eastAsia="Arial" w:hAnsi="Arial"/>
          <w:sz w:val="18"/>
          <w:szCs w:val="18"/>
          <w:color w:val="auto"/>
        </w:rPr>
      </w:pPr>
    </w:p>
    <w:p>
      <w:pPr>
        <w:ind w:left="1020" w:right="1440" w:hanging="567"/>
        <w:spacing w:after="0" w:line="367" w:lineRule="auto"/>
        <w:tabs>
          <w:tab w:leader="none" w:pos="100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Number of securities the issuer actually intends to acquire under the NCIB (i.e., not necessarily the maximum): </w:t>
      </w:r>
      <w:r>
        <w:rPr>
          <w:rFonts w:ascii="Arial" w:cs="Arial" w:eastAsia="Arial" w:hAnsi="Arial"/>
          <w:sz w:val="18"/>
          <w:szCs w:val="18"/>
          <w:i w:val="1"/>
          <w:iCs w:val="1"/>
          <w:color w:val="auto"/>
        </w:rPr>
        <w:t>Up to 24,000,000 Common Shares</w:t>
      </w:r>
    </w:p>
    <w:p>
      <w:pPr>
        <w:spacing w:after="0" w:line="1" w:lineRule="exact"/>
        <w:rPr>
          <w:rFonts w:ascii="Arial" w:cs="Arial" w:eastAsia="Arial" w:hAnsi="Arial"/>
          <w:sz w:val="18"/>
          <w:szCs w:val="18"/>
          <w:color w:val="auto"/>
        </w:rPr>
      </w:pPr>
    </w:p>
    <w:p>
      <w:pPr>
        <w:ind w:left="1020" w:right="7640" w:hanging="567"/>
        <w:spacing w:after="0" w:line="367" w:lineRule="auto"/>
        <w:tabs>
          <w:tab w:leader="none" w:pos="100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Is the issuer an investment fund: </w:t>
      </w:r>
      <w:r>
        <w:rPr>
          <w:rFonts w:ascii="Arial" w:cs="Arial" w:eastAsia="Arial" w:hAnsi="Arial"/>
          <w:sz w:val="18"/>
          <w:szCs w:val="18"/>
          <w:i w:val="1"/>
          <w:iCs w:val="1"/>
          <w:color w:val="auto"/>
        </w:rPr>
        <w:t>No</w:t>
      </w:r>
    </w:p>
    <w:p>
      <w:pPr>
        <w:spacing w:after="0" w:line="1" w:lineRule="exact"/>
        <w:rPr>
          <w:rFonts w:ascii="Arial" w:cs="Arial" w:eastAsia="Arial" w:hAnsi="Arial"/>
          <w:sz w:val="18"/>
          <w:szCs w:val="18"/>
          <w:color w:val="auto"/>
        </w:rPr>
      </w:pPr>
    </w:p>
    <w:p>
      <w:pPr>
        <w:ind w:left="1460" w:hanging="453"/>
        <w:spacing w:after="0"/>
        <w:tabs>
          <w:tab w:leader="none" w:pos="1460" w:val="left"/>
        </w:tabs>
        <w:numPr>
          <w:ilvl w:val="2"/>
          <w:numId w:val="1"/>
        </w:numPr>
        <w:rPr>
          <w:rFonts w:ascii="Arial" w:cs="Arial" w:eastAsia="Arial" w:hAnsi="Arial"/>
          <w:sz w:val="18"/>
          <w:szCs w:val="18"/>
          <w:color w:val="auto"/>
        </w:rPr>
      </w:pPr>
      <w:r>
        <w:rPr>
          <w:rFonts w:ascii="Arial" w:cs="Arial" w:eastAsia="Arial" w:hAnsi="Arial"/>
          <w:sz w:val="18"/>
          <w:szCs w:val="18"/>
          <w:color w:val="auto"/>
        </w:rPr>
        <w:t>If the answer is NO:</w:t>
      </w:r>
    </w:p>
    <w:p>
      <w:pPr>
        <w:spacing w:after="0" w:line="117" w:lineRule="exact"/>
        <w:rPr>
          <w:rFonts w:ascii="Arial" w:cs="Arial" w:eastAsia="Arial" w:hAnsi="Arial"/>
          <w:sz w:val="18"/>
          <w:szCs w:val="18"/>
          <w:color w:val="auto"/>
        </w:rPr>
      </w:pPr>
    </w:p>
    <w:p>
      <w:pPr>
        <w:ind w:left="2020" w:hanging="554"/>
        <w:spacing w:after="0"/>
        <w:tabs>
          <w:tab w:leader="none" w:pos="2020" w:val="left"/>
        </w:tabs>
        <w:numPr>
          <w:ilvl w:val="3"/>
          <w:numId w:val="1"/>
        </w:numPr>
        <w:rPr>
          <w:rFonts w:ascii="Arial" w:cs="Arial" w:eastAsia="Arial" w:hAnsi="Arial"/>
          <w:sz w:val="18"/>
          <w:szCs w:val="18"/>
          <w:color w:val="auto"/>
        </w:rPr>
      </w:pPr>
      <w:r>
        <w:rPr>
          <w:rFonts w:ascii="Arial" w:cs="Arial" w:eastAsia="Arial" w:hAnsi="Arial"/>
          <w:sz w:val="18"/>
          <w:szCs w:val="18"/>
          <w:color w:val="auto"/>
        </w:rPr>
        <w:t>the average daily trading volume for six months prior to date hereof:</w:t>
      </w:r>
    </w:p>
    <w:p>
      <w:pPr>
        <w:spacing w:after="0" w:line="105" w:lineRule="exact"/>
        <w:rPr>
          <w:rFonts w:ascii="Arial" w:cs="Arial" w:eastAsia="Arial" w:hAnsi="Arial"/>
          <w:sz w:val="18"/>
          <w:szCs w:val="18"/>
          <w:color w:val="auto"/>
        </w:rPr>
      </w:pPr>
    </w:p>
    <w:p>
      <w:pPr>
        <w:ind w:left="2020" w:right="240"/>
        <w:spacing w:after="0" w:line="269" w:lineRule="auto"/>
        <w:rPr>
          <w:rFonts w:ascii="Arial" w:cs="Arial" w:eastAsia="Arial" w:hAnsi="Arial"/>
          <w:sz w:val="18"/>
          <w:szCs w:val="18"/>
          <w:color w:val="auto"/>
        </w:rPr>
      </w:pPr>
      <w:r>
        <w:rPr>
          <w:rFonts w:ascii="Arial" w:cs="Arial" w:eastAsia="Arial" w:hAnsi="Arial"/>
          <w:sz w:val="18"/>
          <w:szCs w:val="18"/>
          <w:i w:val="1"/>
          <w:iCs w:val="1"/>
          <w:color w:val="auto"/>
        </w:rPr>
        <w:t>392,204 Common Shares – average daily trading volume on the TSX for the six most recently completed months ended May 31, 2022.</w:t>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560"/>
          </w:cols>
          <w:pgMar w:left="320" w:top="121" w:right="339" w:bottom="1440" w:gutter="0" w:footer="0" w:header="0"/>
          <w:type w:val="continuous"/>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14" w:lineRule="exact"/>
        <w:rPr>
          <w:sz w:val="20"/>
          <w:szCs w:val="20"/>
          <w:color w:val="auto"/>
        </w:rPr>
      </w:pPr>
    </w:p>
    <w:p>
      <w:pPr>
        <w:ind w:left="2020" w:right="120" w:hanging="554"/>
        <w:spacing w:after="0" w:line="367" w:lineRule="auto"/>
        <w:tabs>
          <w:tab w:leader="none" w:pos="2010" w:val="left"/>
        </w:tabs>
        <w:numPr>
          <w:ilvl w:val="3"/>
          <w:numId w:val="2"/>
        </w:numPr>
        <w:rPr>
          <w:rFonts w:ascii="Arial" w:cs="Arial" w:eastAsia="Arial" w:hAnsi="Arial"/>
          <w:sz w:val="18"/>
          <w:szCs w:val="18"/>
          <w:color w:val="auto"/>
        </w:rPr>
      </w:pPr>
      <w:r>
        <w:rPr>
          <w:rFonts w:ascii="Arial" w:cs="Arial" w:eastAsia="Arial" w:hAnsi="Arial"/>
          <w:sz w:val="18"/>
          <w:szCs w:val="18"/>
          <w:color w:val="auto"/>
        </w:rPr>
        <w:t>the number of shares purchased pursuant to a previous NCIB on TSX during the most recent six calendar months: None</w:t>
      </w:r>
    </w:p>
    <w:p>
      <w:pPr>
        <w:spacing w:after="0" w:line="1" w:lineRule="exact"/>
        <w:rPr>
          <w:rFonts w:ascii="Arial" w:cs="Arial" w:eastAsia="Arial" w:hAnsi="Arial"/>
          <w:sz w:val="18"/>
          <w:szCs w:val="18"/>
          <w:color w:val="auto"/>
        </w:rPr>
      </w:pPr>
    </w:p>
    <w:p>
      <w:pPr>
        <w:ind w:left="2020" w:hanging="554"/>
        <w:spacing w:after="0"/>
        <w:tabs>
          <w:tab w:leader="none" w:pos="2020" w:val="left"/>
        </w:tabs>
        <w:numPr>
          <w:ilvl w:val="3"/>
          <w:numId w:val="2"/>
        </w:numPr>
        <w:rPr>
          <w:rFonts w:ascii="Arial" w:cs="Arial" w:eastAsia="Arial" w:hAnsi="Arial"/>
          <w:sz w:val="18"/>
          <w:szCs w:val="18"/>
          <w:color w:val="auto"/>
        </w:rPr>
      </w:pPr>
      <w:r>
        <w:rPr>
          <w:rFonts w:ascii="Arial" w:cs="Arial" w:eastAsia="Arial" w:hAnsi="Arial"/>
          <w:sz w:val="18"/>
          <w:szCs w:val="18"/>
          <w:color w:val="auto"/>
        </w:rPr>
        <w:t>the daily limit (25% of ADTV):</w:t>
      </w:r>
    </w:p>
    <w:p>
      <w:pPr>
        <w:spacing w:after="0" w:line="10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i w:val="1"/>
          <w:iCs w:val="1"/>
          <w:color w:val="auto"/>
        </w:rPr>
        <w:t>98,051 Common Shares</w:t>
      </w:r>
    </w:p>
    <w:p>
      <w:pPr>
        <w:spacing w:after="0" w:line="115" w:lineRule="exact"/>
        <w:rPr>
          <w:rFonts w:ascii="Arial" w:cs="Arial" w:eastAsia="Arial" w:hAnsi="Arial"/>
          <w:sz w:val="18"/>
          <w:szCs w:val="18"/>
          <w:color w:val="auto"/>
        </w:rPr>
      </w:pPr>
    </w:p>
    <w:p>
      <w:pPr>
        <w:ind w:left="1020" w:right="6080" w:hanging="567"/>
        <w:spacing w:after="0" w:line="360" w:lineRule="auto"/>
        <w:tabs>
          <w:tab w:leader="none" w:pos="1008"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Does the issuer have a class of restricted securities: </w:t>
      </w:r>
      <w:r>
        <w:rPr>
          <w:rFonts w:ascii="Arial" w:cs="Arial" w:eastAsia="Arial" w:hAnsi="Arial"/>
          <w:sz w:val="18"/>
          <w:szCs w:val="18"/>
          <w:i w:val="1"/>
          <w:iCs w:val="1"/>
          <w:color w:val="auto"/>
        </w:rPr>
        <w:t>No</w:t>
      </w:r>
    </w:p>
    <w:p>
      <w:pPr>
        <w:ind w:left="1020"/>
        <w:spacing w:after="0"/>
        <w:rPr>
          <w:rFonts w:ascii="Arial" w:cs="Arial" w:eastAsia="Arial" w:hAnsi="Arial"/>
          <w:sz w:val="18"/>
          <w:szCs w:val="18"/>
          <w:color w:val="auto"/>
        </w:rPr>
      </w:pPr>
      <w:r>
        <w:rPr>
          <w:rFonts w:ascii="Arial" w:cs="Arial" w:eastAsia="Arial" w:hAnsi="Arial"/>
          <w:sz w:val="18"/>
          <w:szCs w:val="18"/>
          <w:color w:val="auto"/>
        </w:rPr>
        <w:t>If the answer is YES:</w:t>
      </w:r>
    </w:p>
    <w:p>
      <w:pPr>
        <w:spacing w:after="0" w:line="117" w:lineRule="exact"/>
        <w:rPr>
          <w:rFonts w:ascii="Arial" w:cs="Arial" w:eastAsia="Arial" w:hAnsi="Arial"/>
          <w:sz w:val="18"/>
          <w:szCs w:val="18"/>
          <w:color w:val="auto"/>
        </w:rPr>
      </w:pPr>
    </w:p>
    <w:p>
      <w:pPr>
        <w:ind w:left="1460" w:right="5960" w:hanging="453"/>
        <w:spacing w:after="0" w:line="367" w:lineRule="auto"/>
        <w:tabs>
          <w:tab w:leader="none" w:pos="1444"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describe the voting rights of all equity securities: </w:t>
      </w:r>
      <w:r>
        <w:rPr>
          <w:rFonts w:ascii="Arial" w:cs="Arial" w:eastAsia="Arial" w:hAnsi="Arial"/>
          <w:sz w:val="18"/>
          <w:szCs w:val="18"/>
          <w:i w:val="1"/>
          <w:iCs w:val="1"/>
          <w:color w:val="auto"/>
        </w:rPr>
        <w:t>Not applicable</w:t>
      </w:r>
    </w:p>
    <w:p>
      <w:pPr>
        <w:spacing w:after="0" w:line="1" w:lineRule="exact"/>
        <w:rPr>
          <w:rFonts w:ascii="Arial" w:cs="Arial" w:eastAsia="Arial" w:hAnsi="Arial"/>
          <w:sz w:val="18"/>
          <w:szCs w:val="18"/>
          <w:color w:val="auto"/>
        </w:rPr>
      </w:pPr>
    </w:p>
    <w:p>
      <w:pPr>
        <w:ind w:left="1460" w:right="360" w:hanging="453"/>
        <w:spacing w:after="0" w:line="271" w:lineRule="auto"/>
        <w:tabs>
          <w:tab w:leader="none" w:pos="1460" w:val="left"/>
        </w:tabs>
        <w:numPr>
          <w:ilvl w:val="2"/>
          <w:numId w:val="3"/>
        </w:numPr>
        <w:rPr>
          <w:rFonts w:ascii="Arial" w:cs="Arial" w:eastAsia="Arial" w:hAnsi="Arial"/>
          <w:sz w:val="18"/>
          <w:szCs w:val="18"/>
          <w:color w:val="auto"/>
        </w:rPr>
      </w:pPr>
      <w:r>
        <w:rPr>
          <w:rFonts w:ascii="Arial" w:cs="Arial" w:eastAsia="Arial" w:hAnsi="Arial"/>
          <w:sz w:val="18"/>
          <w:szCs w:val="18"/>
          <w:color w:val="auto"/>
        </w:rPr>
        <w:t>if the issuer does not propose to make the same NCIB for all classes of voting and equity securities, the reasons for so limiting the NCIB:</w:t>
      </w:r>
    </w:p>
    <w:p>
      <w:pPr>
        <w:spacing w:after="0" w:line="4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i w:val="1"/>
          <w:iCs w:val="1"/>
          <w:color w:val="auto"/>
        </w:rPr>
        <w:t>Not applicable</w:t>
      </w:r>
    </w:p>
    <w:p>
      <w:pPr>
        <w:spacing w:after="0" w:line="115" w:lineRule="exact"/>
        <w:rPr>
          <w:rFonts w:ascii="Arial" w:cs="Arial" w:eastAsia="Arial" w:hAnsi="Arial"/>
          <w:sz w:val="18"/>
          <w:szCs w:val="18"/>
          <w:color w:val="auto"/>
        </w:rPr>
      </w:pPr>
    </w:p>
    <w:p>
      <w:pPr>
        <w:ind w:left="1020" w:hanging="567"/>
        <w:spacing w:after="0" w:line="367" w:lineRule="auto"/>
        <w:tabs>
          <w:tab w:leader="none" w:pos="1008"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Whether the securities are going to be cancelled. If such securities are not cancelled, state how such securities will be dealt with: </w:t>
      </w:r>
      <w:r>
        <w:rPr>
          <w:rFonts w:ascii="Arial" w:cs="Arial" w:eastAsia="Arial" w:hAnsi="Arial"/>
          <w:sz w:val="18"/>
          <w:szCs w:val="18"/>
          <w:i w:val="1"/>
          <w:iCs w:val="1"/>
          <w:color w:val="auto"/>
        </w:rPr>
        <w:t>Any Common Shares that are repurchased will be cancelled.</w:t>
      </w:r>
    </w:p>
    <w:p>
      <w:pPr>
        <w:spacing w:after="0" w:line="1" w:lineRule="exact"/>
        <w:rPr>
          <w:rFonts w:ascii="Arial" w:cs="Arial" w:eastAsia="Arial" w:hAnsi="Arial"/>
          <w:sz w:val="18"/>
          <w:szCs w:val="18"/>
          <w:color w:val="auto"/>
        </w:rPr>
      </w:pPr>
    </w:p>
    <w:p>
      <w:pPr>
        <w:ind w:left="460" w:right="180" w:hanging="452"/>
        <w:spacing w:after="0" w:line="271"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Duration – </w:t>
      </w:r>
      <w:r>
        <w:rPr>
          <w:rFonts w:ascii="Arial" w:cs="Arial" w:eastAsia="Arial" w:hAnsi="Arial"/>
          <w:sz w:val="18"/>
          <w:szCs w:val="18"/>
          <w:color w:val="auto"/>
        </w:rPr>
        <w:t>State the dates on which the NCIB will commence and terminate. The NCIB may not extend for a period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year from the date on which purchases may commence. (i.e. May 1, 2004 to April 30, 2005):</w:t>
      </w:r>
    </w:p>
    <w:p>
      <w:pPr>
        <w:spacing w:after="0" w:line="4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NCIB will commence on June 13, 2022 and will terminate no later than June 12, 2023.</w:t>
      </w:r>
    </w:p>
    <w:p>
      <w:pPr>
        <w:spacing w:after="0" w:line="115"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 of Acquisition – </w:t>
      </w:r>
      <w:r>
        <w:rPr>
          <w:rFonts w:ascii="Arial" w:cs="Arial" w:eastAsia="Arial" w:hAnsi="Arial"/>
          <w:sz w:val="18"/>
          <w:szCs w:val="18"/>
          <w:color w:val="auto"/>
        </w:rPr>
        <w:t>State the following:</w:t>
      </w:r>
    </w:p>
    <w:p>
      <w:pPr>
        <w:spacing w:after="0" w:line="117" w:lineRule="exact"/>
        <w:rPr>
          <w:rFonts w:ascii="Arial" w:cs="Arial" w:eastAsia="Arial" w:hAnsi="Arial"/>
          <w:sz w:val="18"/>
          <w:szCs w:val="18"/>
          <w:b w:val="1"/>
          <w:bCs w:val="1"/>
          <w:color w:val="auto"/>
        </w:rPr>
      </w:pPr>
    </w:p>
    <w:p>
      <w:pPr>
        <w:ind w:left="1000" w:right="400" w:hanging="547"/>
        <w:spacing w:after="0" w:line="271"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purchases will be effected through the facilities of TSX and identify any other exchanges or market places on which purchases will be made:</w:t>
      </w:r>
    </w:p>
    <w:p>
      <w:pPr>
        <w:spacing w:after="0" w:line="47" w:lineRule="exact"/>
        <w:rPr>
          <w:rFonts w:ascii="Arial" w:cs="Arial" w:eastAsia="Arial" w:hAnsi="Arial"/>
          <w:sz w:val="18"/>
          <w:szCs w:val="18"/>
          <w:color w:val="auto"/>
        </w:rPr>
      </w:pPr>
    </w:p>
    <w:p>
      <w:pPr>
        <w:ind w:left="1020" w:right="20"/>
        <w:spacing w:after="0" w:line="243" w:lineRule="auto"/>
        <w:rPr>
          <w:rFonts w:ascii="Arial" w:cs="Arial" w:eastAsia="Arial" w:hAnsi="Arial"/>
          <w:sz w:val="18"/>
          <w:szCs w:val="18"/>
          <w:color w:val="auto"/>
        </w:rPr>
      </w:pPr>
      <w:r>
        <w:rPr>
          <w:rFonts w:ascii="Arial" w:cs="Arial" w:eastAsia="Arial" w:hAnsi="Arial"/>
          <w:sz w:val="18"/>
          <w:szCs w:val="18"/>
          <w:i w:val="1"/>
          <w:iCs w:val="1"/>
          <w:color w:val="auto"/>
        </w:rPr>
        <w:t>Purchases of Common Shares will be effected through the facilities of the TSX, the New York Stock Exchange and/or other exchanges and alternative trading systems, if eligible, or by such other means as may be permitted by the TSX and/or New York Stock Exchange or under applicable law by a registered investment dealer (or an affiliate of the dealer), including private agreement purchases or share purchase program agreement purchases if Thomson Reuters receives an issuer bid exemption order in the future from applicable securities regulatory authorities in Canada for such purchases.</w:t>
      </w:r>
    </w:p>
    <w:p>
      <w:pPr>
        <w:sectPr>
          <w:pgSz w:w="11900" w:h="16838" w:orient="portrait"/>
          <w:cols w:equalWidth="0" w:num="1">
            <w:col w:w="11240"/>
          </w:cols>
          <w:pgMar w:left="320" w:top="269" w:right="339" w:bottom="1440" w:gutter="0" w:footer="0" w:header="0"/>
        </w:sectPr>
      </w:pPr>
    </w:p>
    <w:p>
      <w:pPr>
        <w:spacing w:after="0" w:line="111"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560"/>
          </w:cols>
          <w:pgMar w:left="320" w:top="269" w:right="339"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14" w:lineRule="exact"/>
        <w:rPr>
          <w:sz w:val="20"/>
          <w:szCs w:val="20"/>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purchase and payment for the securities will be made by the issuer in accordance with the requirements of TSX:</w:t>
      </w:r>
    </w:p>
    <w:p>
      <w:pPr>
        <w:spacing w:after="0" w:line="105" w:lineRule="exact"/>
        <w:rPr>
          <w:rFonts w:ascii="Arial" w:cs="Arial" w:eastAsia="Arial" w:hAnsi="Arial"/>
          <w:sz w:val="18"/>
          <w:szCs w:val="18"/>
          <w:color w:val="auto"/>
        </w:rPr>
      </w:pPr>
    </w:p>
    <w:p>
      <w:pPr>
        <w:ind w:left="1020" w:right="200"/>
        <w:spacing w:after="0" w:line="269" w:lineRule="auto"/>
        <w:rPr>
          <w:rFonts w:ascii="Arial" w:cs="Arial" w:eastAsia="Arial" w:hAnsi="Arial"/>
          <w:sz w:val="18"/>
          <w:szCs w:val="18"/>
          <w:color w:val="auto"/>
        </w:rPr>
      </w:pPr>
      <w:r>
        <w:rPr>
          <w:rFonts w:ascii="Arial" w:cs="Arial" w:eastAsia="Arial" w:hAnsi="Arial"/>
          <w:sz w:val="18"/>
          <w:szCs w:val="18"/>
          <w:i w:val="1"/>
          <w:iCs w:val="1"/>
          <w:color w:val="auto"/>
        </w:rPr>
        <w:t>Purchase and payment for the Common Shares will be made by Thomson Reuters in accordance with the requirements of the TSX and applicable securities laws.</w:t>
      </w:r>
    </w:p>
    <w:p>
      <w:pPr>
        <w:spacing w:after="0" w:line="60" w:lineRule="exact"/>
        <w:rPr>
          <w:rFonts w:ascii="Arial" w:cs="Arial" w:eastAsia="Arial" w:hAnsi="Arial"/>
          <w:sz w:val="18"/>
          <w:szCs w:val="18"/>
          <w:color w:val="auto"/>
        </w:rPr>
      </w:pPr>
    </w:p>
    <w:p>
      <w:pPr>
        <w:ind w:left="1000" w:right="220" w:hanging="547"/>
        <w:spacing w:after="0" w:line="271"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price that the issuer will pay for any securities acquired by it will be the market price of the securities at the time of acquisition:</w:t>
      </w:r>
    </w:p>
    <w:p>
      <w:pPr>
        <w:spacing w:after="0" w:line="47" w:lineRule="exact"/>
        <w:rPr>
          <w:rFonts w:ascii="Arial" w:cs="Arial" w:eastAsia="Arial" w:hAnsi="Arial"/>
          <w:sz w:val="18"/>
          <w:szCs w:val="18"/>
          <w:color w:val="auto"/>
        </w:rPr>
      </w:pPr>
    </w:p>
    <w:p>
      <w:pPr>
        <w:ind w:left="1020" w:right="220"/>
        <w:spacing w:after="0" w:line="252" w:lineRule="auto"/>
        <w:rPr>
          <w:rFonts w:ascii="Arial" w:cs="Arial" w:eastAsia="Arial" w:hAnsi="Arial"/>
          <w:sz w:val="18"/>
          <w:szCs w:val="18"/>
          <w:color w:val="auto"/>
        </w:rPr>
      </w:pPr>
      <w:r>
        <w:rPr>
          <w:rFonts w:ascii="Arial" w:cs="Arial" w:eastAsia="Arial" w:hAnsi="Arial"/>
          <w:sz w:val="18"/>
          <w:szCs w:val="18"/>
          <w:i w:val="1"/>
          <w:iCs w:val="1"/>
          <w:color w:val="auto"/>
        </w:rPr>
        <w:t>The price that Thomson Reuters will pay for the Common Shares in open market transactions acquired by it will be the market price of the Common Shares at the time of acquisition or such other price as may be permitted by the TSX. Any private agreement purchases made under an exemption order may be at a discount to the prevailing market price.</w:t>
      </w:r>
    </w:p>
    <w:p>
      <w:pPr>
        <w:spacing w:after="0" w:line="75" w:lineRule="exact"/>
        <w:rPr>
          <w:rFonts w:ascii="Arial" w:cs="Arial" w:eastAsia="Arial" w:hAnsi="Arial"/>
          <w:sz w:val="18"/>
          <w:szCs w:val="18"/>
          <w:color w:val="auto"/>
        </w:rPr>
      </w:pPr>
    </w:p>
    <w:p>
      <w:pPr>
        <w:ind w:left="1000" w:right="20" w:hanging="547"/>
        <w:spacing w:after="0" w:line="271"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purchases (other than by way of exempt offer) will be made other than by means of open market transactions during the period the NCIB is outstanding:</w:t>
      </w:r>
    </w:p>
    <w:p>
      <w:pPr>
        <w:spacing w:after="0" w:line="47" w:lineRule="exact"/>
        <w:rPr>
          <w:rFonts w:ascii="Arial" w:cs="Arial" w:eastAsia="Arial" w:hAnsi="Arial"/>
          <w:sz w:val="18"/>
          <w:szCs w:val="18"/>
          <w:color w:val="auto"/>
        </w:rPr>
      </w:pPr>
    </w:p>
    <w:p>
      <w:pPr>
        <w:ind w:left="1020" w:right="160"/>
        <w:spacing w:after="0" w:line="269" w:lineRule="auto"/>
        <w:rPr>
          <w:rFonts w:ascii="Arial" w:cs="Arial" w:eastAsia="Arial" w:hAnsi="Arial"/>
          <w:sz w:val="18"/>
          <w:szCs w:val="18"/>
          <w:color w:val="auto"/>
        </w:rPr>
      </w:pPr>
      <w:r>
        <w:rPr>
          <w:rFonts w:ascii="Arial" w:cs="Arial" w:eastAsia="Arial" w:hAnsi="Arial"/>
          <w:sz w:val="18"/>
          <w:szCs w:val="18"/>
          <w:i w:val="1"/>
          <w:iCs w:val="1"/>
          <w:color w:val="auto"/>
        </w:rPr>
        <w:t>Thomson Reuters does not presently intend to purchase Common Shares other than by means of open market transactions or private agreement purchases under an exemption order during the period the NCIB is outstanding.</w:t>
      </w:r>
    </w:p>
    <w:p>
      <w:pPr>
        <w:spacing w:after="0" w:line="60" w:lineRule="exact"/>
        <w:rPr>
          <w:rFonts w:ascii="Arial" w:cs="Arial" w:eastAsia="Arial" w:hAnsi="Arial"/>
          <w:sz w:val="18"/>
          <w:szCs w:val="18"/>
          <w:color w:val="auto"/>
        </w:rPr>
      </w:pPr>
    </w:p>
    <w:p>
      <w:pPr>
        <w:ind w:left="460" w:right="120" w:hanging="452"/>
        <w:spacing w:after="0" w:line="271"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Offered – </w:t>
      </w:r>
      <w:r>
        <w:rPr>
          <w:rFonts w:ascii="Arial" w:cs="Arial" w:eastAsia="Arial" w:hAnsi="Arial"/>
          <w:sz w:val="18"/>
          <w:szCs w:val="18"/>
          <w:color w:val="auto"/>
        </w:rPr>
        <w:t>State whether there are any restrictions on the price the offeror is prepared to pay and any other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NCIB, such as specific funds available, method of purchasing, etc.:</w:t>
      </w:r>
    </w:p>
    <w:p>
      <w:pPr>
        <w:spacing w:after="0" w:line="47" w:lineRule="exact"/>
        <w:rPr>
          <w:rFonts w:ascii="Arial" w:cs="Arial" w:eastAsia="Arial" w:hAnsi="Arial"/>
          <w:sz w:val="18"/>
          <w:szCs w:val="18"/>
          <w:b w:val="1"/>
          <w:bCs w:val="1"/>
          <w:color w:val="auto"/>
        </w:rPr>
      </w:pPr>
    </w:p>
    <w:p>
      <w:pPr>
        <w:ind w:left="460" w:right="80"/>
        <w:spacing w:after="0" w:line="252" w:lineRule="auto"/>
        <w:rPr>
          <w:rFonts w:ascii="Arial" w:cs="Arial" w:eastAsia="Arial" w:hAnsi="Arial"/>
          <w:sz w:val="18"/>
          <w:szCs w:val="18"/>
          <w:b w:val="1"/>
          <w:bCs w:val="1"/>
          <w:color w:val="auto"/>
        </w:rPr>
      </w:pPr>
      <w:r>
        <w:rPr>
          <w:rFonts w:ascii="Arial" w:cs="Arial" w:eastAsia="Arial" w:hAnsi="Arial"/>
          <w:sz w:val="18"/>
          <w:szCs w:val="18"/>
          <w:i w:val="1"/>
          <w:iCs w:val="1"/>
          <w:color w:val="auto"/>
        </w:rPr>
        <w:t>There are no restrictions on the consideration to be offered by Thomson Reuters under the NCIB and there are no other restrictions relating to the NCIB. Thomson Reuters and holders of the Common Shares will be responsible for the payment of commissions to their respective brokers through which purchases and sales will be made at the applicable prevailing rates at the time of purchase.</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NCIB – </w:t>
      </w:r>
      <w:r>
        <w:rPr>
          <w:rFonts w:ascii="Arial" w:cs="Arial" w:eastAsia="Arial" w:hAnsi="Arial"/>
          <w:sz w:val="18"/>
          <w:szCs w:val="18"/>
          <w:color w:val="auto"/>
        </w:rPr>
        <w:t>State the purpose or business reasons for the NCIB:</w:t>
      </w:r>
    </w:p>
    <w:p>
      <w:pPr>
        <w:spacing w:after="0" w:line="105" w:lineRule="exact"/>
        <w:rPr>
          <w:rFonts w:ascii="Arial" w:cs="Arial" w:eastAsia="Arial" w:hAnsi="Arial"/>
          <w:sz w:val="18"/>
          <w:szCs w:val="18"/>
          <w:b w:val="1"/>
          <w:bCs w:val="1"/>
          <w:color w:val="auto"/>
        </w:rPr>
      </w:pPr>
    </w:p>
    <w:p>
      <w:pPr>
        <w:ind w:left="460"/>
        <w:spacing w:after="0" w:line="246" w:lineRule="auto"/>
        <w:rPr>
          <w:rFonts w:ascii="Arial" w:cs="Arial" w:eastAsia="Arial" w:hAnsi="Arial"/>
          <w:sz w:val="18"/>
          <w:szCs w:val="18"/>
          <w:b w:val="1"/>
          <w:bCs w:val="1"/>
          <w:color w:val="auto"/>
        </w:rPr>
      </w:pPr>
      <w:r>
        <w:rPr>
          <w:rFonts w:ascii="Arial" w:cs="Arial" w:eastAsia="Arial" w:hAnsi="Arial"/>
          <w:sz w:val="18"/>
          <w:szCs w:val="18"/>
          <w:i w:val="1"/>
          <w:iCs w:val="1"/>
          <w:color w:val="auto"/>
        </w:rPr>
        <w:t>In authorizing the NCIB, the Thomson Reuters Board believes that the purchase of Common Shares from time to time can be undertaken at prices that make the acquisition of such Common Shares an appropriate use of Thomson Reuters available funds and an appropriate mechanism for returning capital to its shareholders. On June 8, 2022, Thomson Reuters announced that it plans to repurchase up to US$2.0 billion of its Common Shares. Purchases under this NCIB will be made as part of those plans.</w:t>
      </w:r>
    </w:p>
    <w:p>
      <w:pPr>
        <w:spacing w:after="0" w:line="80" w:lineRule="exact"/>
        <w:rPr>
          <w:rFonts w:ascii="Arial" w:cs="Arial" w:eastAsia="Arial" w:hAnsi="Arial"/>
          <w:sz w:val="18"/>
          <w:szCs w:val="18"/>
          <w:b w:val="1"/>
          <w:bCs w:val="1"/>
          <w:color w:val="auto"/>
        </w:rPr>
      </w:pPr>
    </w:p>
    <w:p>
      <w:pPr>
        <w:ind w:left="460" w:right="40" w:hanging="452"/>
        <w:spacing w:after="0" w:line="244"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Valuation – </w:t>
      </w:r>
      <w:r>
        <w:rPr>
          <w:rFonts w:ascii="Arial" w:cs="Arial" w:eastAsia="Arial" w:hAnsi="Arial"/>
          <w:sz w:val="18"/>
          <w:szCs w:val="18"/>
          <w:color w:val="auto"/>
        </w:rPr>
        <w:t>State whether there has been any appraisal or valuation of the issuer to the best knowledge of the directors or officers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 after reasonable enquiry, regarding the issuer, its material assets or securities prepared within the two years preceding the date of the notice, together with a statement of a reasonable time and place at which such appraisal or valuation, or a copy thereof, may be inspected. For this purpose, the phrase appraisal or valuation means both an independent appraisal or valuation and a material non-independent appraisal or valuation. If there has been such an appraisal or valuation, include</w:t>
      </w:r>
    </w:p>
    <w:p>
      <w:pPr>
        <w:sectPr>
          <w:pgSz w:w="11900" w:h="16838" w:orient="portrait"/>
          <w:cols w:equalWidth="0" w:num="1">
            <w:col w:w="11240"/>
          </w:cols>
          <w:pgMar w:left="320" w:top="269" w:right="339" w:bottom="1440" w:gutter="0" w:footer="0" w:header="0"/>
        </w:sectPr>
      </w:pPr>
    </w:p>
    <w:p>
      <w:pPr>
        <w:spacing w:after="0" w:line="109"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560"/>
          </w:cols>
          <w:pgMar w:left="320" w:top="269" w:right="339"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such appraisal or valuation:</w:t>
      </w:r>
    </w:p>
    <w:p>
      <w:pPr>
        <w:spacing w:after="0" w:line="106" w:lineRule="exact"/>
        <w:rPr>
          <w:sz w:val="20"/>
          <w:szCs w:val="20"/>
          <w:color w:val="auto"/>
        </w:rPr>
      </w:pPr>
    </w:p>
    <w:p>
      <w:pPr>
        <w:ind w:left="460" w:right="80"/>
        <w:spacing w:after="0" w:line="269" w:lineRule="auto"/>
        <w:rPr>
          <w:sz w:val="20"/>
          <w:szCs w:val="20"/>
          <w:color w:val="auto"/>
        </w:rPr>
      </w:pPr>
      <w:r>
        <w:rPr>
          <w:rFonts w:ascii="Arial" w:cs="Arial" w:eastAsia="Arial" w:hAnsi="Arial"/>
          <w:sz w:val="18"/>
          <w:szCs w:val="18"/>
          <w:i w:val="1"/>
          <w:iCs w:val="1"/>
          <w:color w:val="auto"/>
        </w:rPr>
        <w:t>The directors and officers of Thomson Reuters, after reasonable enquiry, have no knowledge of any appraisal or valuation regarding Thomson Reuters, its material assets or securities, prepared within the last two years preceding the date of this notice.</w:t>
      </w:r>
    </w:p>
    <w:p>
      <w:pPr>
        <w:spacing w:after="0" w:line="6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Previous Purchases – </w:t>
      </w:r>
      <w:r>
        <w:rPr>
          <w:rFonts w:ascii="Arial" w:cs="Arial" w:eastAsia="Arial" w:hAnsi="Arial"/>
          <w:sz w:val="18"/>
          <w:szCs w:val="18"/>
          <w:color w:val="auto"/>
        </w:rPr>
        <w:t>Where the issuer has purchased securities under a NCIB within the past 12 months, state the following:</w:t>
      </w:r>
    </w:p>
    <w:p>
      <w:pPr>
        <w:spacing w:after="0" w:line="117" w:lineRule="exact"/>
        <w:rPr>
          <w:rFonts w:ascii="Arial" w:cs="Arial" w:eastAsia="Arial" w:hAnsi="Arial"/>
          <w:sz w:val="18"/>
          <w:szCs w:val="18"/>
          <w:b w:val="1"/>
          <w:bCs w:val="1"/>
          <w:color w:val="auto"/>
        </w:rPr>
      </w:pPr>
    </w:p>
    <w:p>
      <w:pPr>
        <w:ind w:left="1000" w:hanging="547"/>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method of acquisition:</w:t>
      </w:r>
    </w:p>
    <w:p>
      <w:pPr>
        <w:spacing w:after="0" w:line="105" w:lineRule="exact"/>
        <w:rPr>
          <w:rFonts w:ascii="Arial" w:cs="Arial" w:eastAsia="Arial" w:hAnsi="Arial"/>
          <w:sz w:val="18"/>
          <w:szCs w:val="18"/>
          <w:color w:val="auto"/>
        </w:rPr>
      </w:pPr>
    </w:p>
    <w:p>
      <w:pPr>
        <w:ind w:left="1020"/>
        <w:spacing w:after="0" w:line="269" w:lineRule="auto"/>
        <w:rPr>
          <w:rFonts w:ascii="Arial" w:cs="Arial" w:eastAsia="Arial" w:hAnsi="Arial"/>
          <w:sz w:val="18"/>
          <w:szCs w:val="18"/>
          <w:color w:val="auto"/>
        </w:rPr>
      </w:pPr>
      <w:r>
        <w:rPr>
          <w:rFonts w:ascii="Arial" w:cs="Arial" w:eastAsia="Arial" w:hAnsi="Arial"/>
          <w:sz w:val="18"/>
          <w:szCs w:val="18"/>
          <w:i w:val="1"/>
          <w:iCs w:val="1"/>
          <w:color w:val="auto"/>
        </w:rPr>
        <w:t>Purchases of Common Shares were effected through the facilities of the TSX, the NYSE and other alternative trading systems by RBC Dominion Securities Inc., a registered investment dealer.</w:t>
      </w:r>
    </w:p>
    <w:p>
      <w:pPr>
        <w:spacing w:after="0" w:line="60" w:lineRule="exact"/>
        <w:rPr>
          <w:rFonts w:ascii="Arial" w:cs="Arial" w:eastAsia="Arial" w:hAnsi="Arial"/>
          <w:sz w:val="18"/>
          <w:szCs w:val="18"/>
          <w:color w:val="auto"/>
        </w:rPr>
      </w:pPr>
    </w:p>
    <w:p>
      <w:pPr>
        <w:ind w:left="1020" w:right="5280" w:hanging="567"/>
        <w:spacing w:after="0" w:line="367" w:lineRule="auto"/>
        <w:tabs>
          <w:tab w:leader="none" w:pos="100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number of securities sought and approved for purchase: </w:t>
      </w:r>
      <w:r>
        <w:rPr>
          <w:rFonts w:ascii="Arial" w:cs="Arial" w:eastAsia="Arial" w:hAnsi="Arial"/>
          <w:sz w:val="18"/>
          <w:szCs w:val="18"/>
          <w:i w:val="1"/>
          <w:iCs w:val="1"/>
          <w:color w:val="auto"/>
        </w:rPr>
        <w:t>20,000,000</w:t>
      </w:r>
    </w:p>
    <w:p>
      <w:pPr>
        <w:spacing w:after="0" w:line="1" w:lineRule="exact"/>
        <w:rPr>
          <w:rFonts w:ascii="Arial" w:cs="Arial" w:eastAsia="Arial" w:hAnsi="Arial"/>
          <w:sz w:val="18"/>
          <w:szCs w:val="18"/>
          <w:color w:val="auto"/>
        </w:rPr>
      </w:pPr>
    </w:p>
    <w:p>
      <w:pPr>
        <w:ind w:left="1020" w:right="6520" w:hanging="567"/>
        <w:spacing w:after="0" w:line="367" w:lineRule="auto"/>
        <w:tabs>
          <w:tab w:leader="none" w:pos="100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number of securities actually purchased: </w:t>
      </w:r>
      <w:r>
        <w:rPr>
          <w:rFonts w:ascii="Arial" w:cs="Arial" w:eastAsia="Arial" w:hAnsi="Arial"/>
          <w:sz w:val="18"/>
          <w:szCs w:val="18"/>
          <w:i w:val="1"/>
          <w:iCs w:val="1"/>
          <w:color w:val="auto"/>
        </w:rPr>
        <w:t>12,795,358</w:t>
      </w:r>
    </w:p>
    <w:p>
      <w:pPr>
        <w:spacing w:after="0" w:line="1" w:lineRule="exact"/>
        <w:rPr>
          <w:rFonts w:ascii="Arial" w:cs="Arial" w:eastAsia="Arial" w:hAnsi="Arial"/>
          <w:sz w:val="18"/>
          <w:szCs w:val="18"/>
          <w:color w:val="auto"/>
        </w:rPr>
      </w:pPr>
    </w:p>
    <w:p>
      <w:pPr>
        <w:ind w:left="1020" w:right="6460" w:hanging="567"/>
        <w:spacing w:after="0" w:line="367" w:lineRule="auto"/>
        <w:tabs>
          <w:tab w:leader="none" w:pos="100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weighted average price paid per security: </w:t>
      </w:r>
      <w:r>
        <w:rPr>
          <w:rFonts w:ascii="Arial" w:cs="Arial" w:eastAsia="Arial" w:hAnsi="Arial"/>
          <w:sz w:val="18"/>
          <w:szCs w:val="18"/>
          <w:i w:val="1"/>
          <w:iCs w:val="1"/>
          <w:color w:val="auto"/>
        </w:rPr>
        <w:t>US$109.42</w:t>
      </w:r>
    </w:p>
    <w:p>
      <w:pPr>
        <w:spacing w:after="0" w:line="1" w:lineRule="exact"/>
        <w:rPr>
          <w:rFonts w:ascii="Arial" w:cs="Arial" w:eastAsia="Arial" w:hAnsi="Arial"/>
          <w:sz w:val="18"/>
          <w:szCs w:val="18"/>
          <w:color w:val="auto"/>
        </w:rPr>
      </w:pPr>
    </w:p>
    <w:p>
      <w:pPr>
        <w:ind w:left="460" w:right="40" w:hanging="452"/>
        <w:spacing w:after="0" w:line="367" w:lineRule="auto"/>
        <w:tabs>
          <w:tab w:leader="none" w:pos="45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Persons Acting Jointly or In Concert with the Issuer – </w:t>
      </w:r>
      <w:r>
        <w:rPr>
          <w:rFonts w:ascii="Arial" w:cs="Arial" w:eastAsia="Arial" w:hAnsi="Arial"/>
          <w:sz w:val="18"/>
          <w:szCs w:val="18"/>
          <w:color w:val="auto"/>
        </w:rPr>
        <w:t>Disclose the identity of any party acting jointly or in concert with the issuer: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There are no persons acting jointly or in concert with Thomson Reuters.</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Insiders, Affiliates and Associates –</w:t>
      </w:r>
    </w:p>
    <w:p>
      <w:pPr>
        <w:spacing w:after="0" w:line="117" w:lineRule="exact"/>
        <w:rPr>
          <w:rFonts w:ascii="Arial" w:cs="Arial" w:eastAsia="Arial" w:hAnsi="Arial"/>
          <w:sz w:val="18"/>
          <w:szCs w:val="18"/>
          <w:b w:val="1"/>
          <w:bCs w:val="1"/>
          <w:color w:val="auto"/>
        </w:rPr>
      </w:pPr>
    </w:p>
    <w:p>
      <w:pPr>
        <w:ind w:left="1000" w:hanging="547"/>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name of every director or senior officer of the issuer who intends to sell securities of the issuer during the course of the NCIB:</w:t>
      </w:r>
    </w:p>
    <w:p>
      <w:pPr>
        <w:spacing w:after="0" w:line="105" w:lineRule="exact"/>
        <w:rPr>
          <w:rFonts w:ascii="Arial" w:cs="Arial" w:eastAsia="Arial" w:hAnsi="Arial"/>
          <w:sz w:val="18"/>
          <w:szCs w:val="18"/>
          <w:color w:val="auto"/>
        </w:rPr>
      </w:pPr>
    </w:p>
    <w:p>
      <w:pPr>
        <w:ind w:left="1020" w:right="140"/>
        <w:spacing w:after="0" w:line="243" w:lineRule="auto"/>
        <w:rPr>
          <w:rFonts w:ascii="Arial" w:cs="Arial" w:eastAsia="Arial" w:hAnsi="Arial"/>
          <w:sz w:val="18"/>
          <w:szCs w:val="18"/>
          <w:color w:val="auto"/>
        </w:rPr>
      </w:pPr>
      <w:r>
        <w:rPr>
          <w:rFonts w:ascii="Arial" w:cs="Arial" w:eastAsia="Arial" w:hAnsi="Arial"/>
          <w:sz w:val="18"/>
          <w:szCs w:val="18"/>
          <w:i w:val="1"/>
          <w:iCs w:val="1"/>
          <w:color w:val="auto"/>
        </w:rPr>
        <w:t>No director or senior officer of Thomson Reuters presently intends to sell Common Shares during the course of the NCIB. During the course of this NCIB, directors and senior officers of Thomson Reuters may from time to time effect such sales of Common Shares as may be necessary or desirable in their personal circumstances and sales of Common Shares by such persons may occur as a result of the exercise by such persons of outstanding stock options or the vesting of restricted share units or deferred share units.</w:t>
      </w:r>
    </w:p>
    <w:p>
      <w:pPr>
        <w:sectPr>
          <w:pgSz w:w="11900" w:h="16838" w:orient="portrait"/>
          <w:cols w:equalWidth="0" w:num="1">
            <w:col w:w="11040"/>
          </w:cols>
          <w:pgMar w:left="320" w:top="269" w:right="539" w:bottom="1440" w:gutter="0" w:footer="0" w:header="0"/>
        </w:sectPr>
      </w:pPr>
    </w:p>
    <w:p>
      <w:pPr>
        <w:spacing w:after="0" w:line="111"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360"/>
          </w:cols>
          <w:pgMar w:left="320" w:top="269" w:right="5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14" w:lineRule="exact"/>
        <w:rPr>
          <w:sz w:val="20"/>
          <w:szCs w:val="20"/>
          <w:color w:val="auto"/>
        </w:rPr>
      </w:pPr>
    </w:p>
    <w:p>
      <w:pPr>
        <w:jc w:val="both"/>
        <w:ind w:left="1000" w:right="180" w:hanging="547"/>
        <w:spacing w:after="0" w:line="25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their intention is known after reasonable enquiry, the name of every associate of a director or senior officer of the issuer, person acting jointly or in concert with the issuer, or person holding 10% or more of any class of equity securities of the issuer, who intends to sell securities:</w:t>
      </w:r>
    </w:p>
    <w:p>
      <w:pPr>
        <w:spacing w:after="0" w:line="62" w:lineRule="exact"/>
        <w:rPr>
          <w:rFonts w:ascii="Arial" w:cs="Arial" w:eastAsia="Arial" w:hAnsi="Arial"/>
          <w:sz w:val="18"/>
          <w:szCs w:val="18"/>
          <w:color w:val="auto"/>
        </w:rPr>
      </w:pPr>
    </w:p>
    <w:p>
      <w:pPr>
        <w:jc w:val="both"/>
        <w:ind w:left="1020"/>
        <w:spacing w:after="0" w:line="258" w:lineRule="auto"/>
        <w:rPr>
          <w:rFonts w:ascii="Arial" w:cs="Arial" w:eastAsia="Arial" w:hAnsi="Arial"/>
          <w:sz w:val="18"/>
          <w:szCs w:val="18"/>
          <w:color w:val="auto"/>
        </w:rPr>
      </w:pPr>
      <w:r>
        <w:rPr>
          <w:rFonts w:ascii="Arial" w:cs="Arial" w:eastAsia="Arial" w:hAnsi="Arial"/>
          <w:sz w:val="17"/>
          <w:szCs w:val="17"/>
          <w:i w:val="1"/>
          <w:iCs w:val="1"/>
          <w:color w:val="auto"/>
        </w:rPr>
        <w:t>Except as set forth below, to the knowledge of Thomson Reuters, its directors and senior officers, after reasonable enquiry, (i) no associate of a director or senior officer of Thomson Reuters; (ii) no person acting jointly or in concert with Thomson Reuters; and</w:t>
      </w:r>
    </w:p>
    <w:p>
      <w:pPr>
        <w:ind w:left="1020" w:right="500" w:hanging="1"/>
        <w:spacing w:after="0" w:line="250" w:lineRule="auto"/>
        <w:tabs>
          <w:tab w:leader="none" w:pos="1310" w:val="left"/>
        </w:tabs>
        <w:numPr>
          <w:ilvl w:val="1"/>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no person holding 10% or more of any class of equity securities of Thomson Reuters presently intends to sell Common Shares during the course of this NCIB.</w:t>
      </w:r>
    </w:p>
    <w:p>
      <w:pPr>
        <w:spacing w:after="0" w:line="66" w:lineRule="exact"/>
        <w:rPr>
          <w:sz w:val="20"/>
          <w:szCs w:val="20"/>
          <w:color w:val="auto"/>
        </w:rPr>
      </w:pPr>
    </w:p>
    <w:p>
      <w:pPr>
        <w:ind w:left="1020" w:right="20"/>
        <w:spacing w:after="0" w:line="241" w:lineRule="auto"/>
        <w:rPr>
          <w:sz w:val="20"/>
          <w:szCs w:val="20"/>
          <w:color w:val="auto"/>
        </w:rPr>
      </w:pPr>
      <w:r>
        <w:rPr>
          <w:rFonts w:ascii="Arial" w:cs="Arial" w:eastAsia="Arial" w:hAnsi="Arial"/>
          <w:sz w:val="18"/>
          <w:szCs w:val="18"/>
          <w:i w:val="1"/>
          <w:iCs w:val="1"/>
          <w:color w:val="auto"/>
        </w:rPr>
        <w:t>As of May 31, 2022, The Woodbridge Company Limited and other companies affiliated with it (“Woodbridge”) beneficially owned 325,874,187 Common Shares, or approximately 67% of the outstanding Common Shares. Woodbridge plans to continue to hold its Common Shares for the long term and accordingly to maintain its controlling interest in Thomson Reuters. From time to time, Woodbridge disposes of Common Shares in amounts that are not material for liquidity and other reasons and such disposals may occur during the course of this NCIB. Thomson Reuters and Woodbridge have a protocol in place to ensure that Thomson Reuters is not purchasing Common Shares on the open market on any day when Woodbridge is selling Common Shares.</w:t>
      </w:r>
    </w:p>
    <w:p>
      <w:pPr>
        <w:spacing w:after="0" w:line="87" w:lineRule="exact"/>
        <w:rPr>
          <w:sz w:val="20"/>
          <w:szCs w:val="20"/>
          <w:color w:val="auto"/>
        </w:rPr>
      </w:pPr>
    </w:p>
    <w:p>
      <w:pPr>
        <w:ind w:left="460" w:right="160" w:hanging="452"/>
        <w:spacing w:after="0" w:line="253"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from the NCIB – </w:t>
      </w:r>
      <w:r>
        <w:rPr>
          <w:rFonts w:ascii="Arial" w:cs="Arial" w:eastAsia="Arial" w:hAnsi="Arial"/>
          <w:sz w:val="18"/>
          <w:szCs w:val="18"/>
          <w:color w:val="auto"/>
        </w:rPr>
        <w:t>State direct or indirect benefits to any of the persons or companies named in item 9 of selling or not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issuer during the course of the NCIB. An answer to this item is not required where the benefits to such person or company of selling or not selling securities are the same as the benefits to any other securityholder who sells or does not sell:</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Not applicable</w:t>
      </w:r>
    </w:p>
    <w:p>
      <w:pPr>
        <w:spacing w:after="0" w:line="115" w:lineRule="exact"/>
        <w:rPr>
          <w:rFonts w:ascii="Arial" w:cs="Arial" w:eastAsia="Arial" w:hAnsi="Arial"/>
          <w:sz w:val="18"/>
          <w:szCs w:val="18"/>
          <w:b w:val="1"/>
          <w:bCs w:val="1"/>
          <w:color w:val="auto"/>
        </w:rPr>
      </w:pPr>
    </w:p>
    <w:p>
      <w:pPr>
        <w:ind w:left="460" w:right="540" w:hanging="452"/>
        <w:spacing w:after="0" w:line="271"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Changes in the Affairs of the Issuer </w:t>
      </w:r>
      <w:r>
        <w:rPr>
          <w:rFonts w:ascii="Arial" w:cs="Arial" w:eastAsia="Arial" w:hAnsi="Arial"/>
          <w:sz w:val="18"/>
          <w:szCs w:val="18"/>
          <w:color w:val="auto"/>
        </w:rPr>
        <w:t>– Disclose any previously undisclosed material changes or plans or proposals for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changes in the affairs of the issuer:</w:t>
      </w:r>
    </w:p>
    <w:p>
      <w:pPr>
        <w:spacing w:after="0" w:line="47" w:lineRule="exact"/>
        <w:rPr>
          <w:rFonts w:ascii="Arial" w:cs="Arial" w:eastAsia="Arial" w:hAnsi="Arial"/>
          <w:sz w:val="18"/>
          <w:szCs w:val="18"/>
          <w:b w:val="1"/>
          <w:bCs w:val="1"/>
          <w:color w:val="auto"/>
        </w:rPr>
      </w:pPr>
    </w:p>
    <w:p>
      <w:pPr>
        <w:ind w:left="460" w:right="380"/>
        <w:spacing w:after="0" w:line="269" w:lineRule="auto"/>
        <w:rPr>
          <w:rFonts w:ascii="Arial" w:cs="Arial" w:eastAsia="Arial" w:hAnsi="Arial"/>
          <w:sz w:val="18"/>
          <w:szCs w:val="18"/>
          <w:b w:val="1"/>
          <w:bCs w:val="1"/>
          <w:color w:val="auto"/>
        </w:rPr>
      </w:pPr>
      <w:r>
        <w:rPr>
          <w:rFonts w:ascii="Arial" w:cs="Arial" w:eastAsia="Arial" w:hAnsi="Arial"/>
          <w:sz w:val="18"/>
          <w:szCs w:val="18"/>
          <w:i w:val="1"/>
          <w:iCs w:val="1"/>
          <w:color w:val="auto"/>
        </w:rPr>
        <w:t>To the knowledge of Thomson Reuters, its directors and senior officers, after reasonable enquiry, there are no undisclosed material changes in the affairs of Thomson Reuters.</w:t>
      </w:r>
    </w:p>
    <w:p>
      <w:pPr>
        <w:sectPr>
          <w:pgSz w:w="11900" w:h="16838" w:orient="portrait"/>
          <w:cols w:equalWidth="0" w:num="1">
            <w:col w:w="11240"/>
          </w:cols>
          <w:pgMar w:left="320" w:top="269" w:right="339" w:bottom="1440" w:gutter="0" w:footer="0" w:header="0"/>
        </w:sectPr>
      </w:pPr>
    </w:p>
    <w:p>
      <w:pPr>
        <w:spacing w:after="0" w:line="88"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560"/>
          </w:cols>
          <w:pgMar w:left="320" w:top="269" w:right="339"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Participating Organization Information –</w:t>
      </w:r>
    </w:p>
    <w:p>
      <w:pPr>
        <w:spacing w:after="0" w:line="117" w:lineRule="exact"/>
        <w:rPr>
          <w:rFonts w:ascii="Arial" w:cs="Arial" w:eastAsia="Arial" w:hAnsi="Arial"/>
          <w:sz w:val="18"/>
          <w:szCs w:val="18"/>
          <w:b w:val="1"/>
          <w:bCs w:val="1"/>
          <w:color w:val="auto"/>
        </w:rPr>
      </w:pPr>
    </w:p>
    <w:p>
      <w:pPr>
        <w:ind w:left="1000" w:hanging="54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Name of brokerage firm: </w:t>
      </w:r>
      <w:r>
        <w:rPr>
          <w:rFonts w:ascii="Arial" w:cs="Arial" w:eastAsia="Arial" w:hAnsi="Arial"/>
          <w:sz w:val="18"/>
          <w:szCs w:val="18"/>
          <w:i w:val="1"/>
          <w:iCs w:val="1"/>
          <w:color w:val="auto"/>
        </w:rPr>
        <w:t>TD Securities Inc.</w:t>
      </w:r>
    </w:p>
    <w:p>
      <w:pPr>
        <w:spacing w:after="0" w:line="13" w:lineRule="exact"/>
        <w:rPr>
          <w:rFonts w:ascii="Arial" w:cs="Arial" w:eastAsia="Arial" w:hAnsi="Arial"/>
          <w:sz w:val="18"/>
          <w:szCs w:val="18"/>
          <w:color w:val="auto"/>
        </w:rPr>
      </w:pPr>
    </w:p>
    <w:p>
      <w:pPr>
        <w:ind w:left="1000" w:hanging="547"/>
        <w:spacing w:after="0" w:line="234"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Name of registered representative: </w:t>
      </w:r>
      <w:r>
        <w:rPr>
          <w:rFonts w:ascii="Arial" w:cs="Arial" w:eastAsia="Arial" w:hAnsi="Arial"/>
          <w:sz w:val="18"/>
          <w:szCs w:val="18"/>
          <w:i w:val="1"/>
          <w:iCs w:val="1"/>
          <w:color w:val="auto"/>
        </w:rPr>
        <w:t>George Stratis, Managing Director</w:t>
      </w:r>
    </w:p>
    <w:p>
      <w:pPr>
        <w:ind w:left="1000" w:hanging="547"/>
        <w:spacing w:after="0" w:line="234"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Address of brokerage firm: </w:t>
      </w:r>
      <w:r>
        <w:rPr>
          <w:rFonts w:ascii="Arial" w:cs="Arial" w:eastAsia="Arial" w:hAnsi="Arial"/>
          <w:sz w:val="18"/>
          <w:szCs w:val="18"/>
          <w:i w:val="1"/>
          <w:iCs w:val="1"/>
          <w:color w:val="auto"/>
        </w:rPr>
        <w:t>222 Bay Street, 7</w:t>
      </w:r>
      <w:r>
        <w:rPr>
          <w:rFonts w:ascii="Arial" w:cs="Arial" w:eastAsia="Arial" w:hAnsi="Arial"/>
          <w:sz w:val="15"/>
          <w:szCs w:val="15"/>
          <w:i w:val="1"/>
          <w:iCs w:val="1"/>
          <w:color w:val="auto"/>
        </w:rPr>
        <w:t>th</w:t>
      </w:r>
      <w:r>
        <w:rPr>
          <w:rFonts w:ascii="Arial" w:cs="Arial" w:eastAsia="Arial" w:hAnsi="Arial"/>
          <w:sz w:val="18"/>
          <w:szCs w:val="18"/>
          <w:color w:val="auto"/>
        </w:rPr>
        <w:t xml:space="preserve"> </w:t>
      </w:r>
      <w:r>
        <w:rPr>
          <w:rFonts w:ascii="Arial" w:cs="Arial" w:eastAsia="Arial" w:hAnsi="Arial"/>
          <w:sz w:val="18"/>
          <w:szCs w:val="18"/>
          <w:i w:val="1"/>
          <w:iCs w:val="1"/>
          <w:color w:val="auto"/>
        </w:rPr>
        <w:t>Floor, Toronto, Ontario, M5K 1A2, Canada</w:t>
      </w:r>
    </w:p>
    <w:p>
      <w:pPr>
        <w:ind w:left="1000" w:hanging="547"/>
        <w:spacing w:after="0" w:line="234"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Fax number: </w:t>
      </w:r>
      <w:r>
        <w:rPr>
          <w:rFonts w:ascii="Arial" w:cs="Arial" w:eastAsia="Arial" w:hAnsi="Arial"/>
          <w:sz w:val="18"/>
          <w:szCs w:val="18"/>
          <w:i w:val="1"/>
          <w:iCs w:val="1"/>
          <w:color w:val="auto"/>
        </w:rPr>
        <w:t>+1(416) 982-8107</w:t>
      </w:r>
    </w:p>
    <w:p>
      <w:pPr>
        <w:ind w:left="1000" w:hanging="54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Telephone number: </w:t>
      </w:r>
      <w:r>
        <w:rPr>
          <w:rFonts w:ascii="Arial" w:cs="Arial" w:eastAsia="Arial" w:hAnsi="Arial"/>
          <w:sz w:val="18"/>
          <w:szCs w:val="18"/>
          <w:i w:val="1"/>
          <w:iCs w:val="1"/>
          <w:color w:val="auto"/>
        </w:rPr>
        <w:t>+1(416) 982-2692</w:t>
      </w:r>
    </w:p>
    <w:p>
      <w:pPr>
        <w:spacing w:after="0" w:line="99"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Disclose any significant information regarding the NCIB not disclosed above, including any details regarding the use of put options or forward purchase contracts in conjunction with the NCIB:</w:t>
      </w:r>
    </w:p>
    <w:p>
      <w:pPr>
        <w:spacing w:after="0" w:line="30" w:lineRule="exact"/>
        <w:rPr>
          <w:rFonts w:ascii="Arial" w:cs="Arial" w:eastAsia="Arial" w:hAnsi="Arial"/>
          <w:sz w:val="18"/>
          <w:szCs w:val="18"/>
          <w:b w:val="1"/>
          <w:bCs w:val="1"/>
          <w:color w:val="auto"/>
        </w:rPr>
      </w:pPr>
    </w:p>
    <w:p>
      <w:pPr>
        <w:ind w:left="460"/>
        <w:spacing w:after="0" w:line="252" w:lineRule="auto"/>
        <w:rPr>
          <w:rFonts w:ascii="Arial" w:cs="Arial" w:eastAsia="Arial" w:hAnsi="Arial"/>
          <w:sz w:val="18"/>
          <w:szCs w:val="18"/>
          <w:b w:val="1"/>
          <w:bCs w:val="1"/>
          <w:color w:val="auto"/>
        </w:rPr>
      </w:pPr>
      <w:r>
        <w:rPr>
          <w:rFonts w:ascii="Arial" w:cs="Arial" w:eastAsia="Arial" w:hAnsi="Arial"/>
          <w:sz w:val="18"/>
          <w:szCs w:val="18"/>
          <w:i w:val="1"/>
          <w:iCs w:val="1"/>
          <w:color w:val="auto"/>
        </w:rPr>
        <w:t>On May 31, 2022, there were 487,122,905 Common Shares issued and outstanding. Decisions regarding any future repurchases will depend on certain factors, such as market conditions, share price and other opportunities to invest capital for growth. Thomson Reuters may elect to suspend or discontinue share repurchases at any time, in accordance with applicable laws.</w:t>
      </w:r>
    </w:p>
    <w:p>
      <w:pPr>
        <w:spacing w:after="0" w:line="63" w:lineRule="exact"/>
        <w:rPr>
          <w:rFonts w:ascii="Arial" w:cs="Arial" w:eastAsia="Arial" w:hAnsi="Arial"/>
          <w:sz w:val="18"/>
          <w:szCs w:val="18"/>
          <w:b w:val="1"/>
          <w:bCs w:val="1"/>
          <w:color w:val="auto"/>
        </w:rPr>
      </w:pPr>
    </w:p>
    <w:p>
      <w:pPr>
        <w:ind w:left="460"/>
        <w:spacing w:after="0" w:line="241" w:lineRule="auto"/>
        <w:rPr>
          <w:rFonts w:ascii="Arial" w:cs="Arial" w:eastAsia="Arial" w:hAnsi="Arial"/>
          <w:sz w:val="18"/>
          <w:szCs w:val="18"/>
          <w:b w:val="1"/>
          <w:bCs w:val="1"/>
          <w:color w:val="auto"/>
        </w:rPr>
      </w:pPr>
      <w:r>
        <w:rPr>
          <w:rFonts w:ascii="Arial" w:cs="Arial" w:eastAsia="Arial" w:hAnsi="Arial"/>
          <w:sz w:val="18"/>
          <w:szCs w:val="18"/>
          <w:i w:val="1"/>
          <w:iCs w:val="1"/>
          <w:color w:val="auto"/>
        </w:rPr>
        <w:t>From time to time when Thomson Reuters does not possess material nonpublic information about itself or its securities, it may enter into a pre-defined plan with its broker to allow for the repurchase of Common Shares at times when it ordinarily would not be active in the market due to its own internal trading blackout periods, insider trading rules or otherwise. Any such plans entered into with Thomson Reuters broker will be adopted in accordance with applicable Canadian securities laws and the requirements of Rule 10b5-1 under the U.S. Securities Exchange Act of 1934, as amended. Thomson Reuters plans to enter into such a plan later this month with its broker pursuant to which Common Shares may be repurchased under the NCIB.</w:t>
      </w:r>
    </w:p>
    <w:p>
      <w:pPr>
        <w:sectPr>
          <w:pgSz w:w="11900" w:h="16838" w:orient="portrait"/>
          <w:cols w:equalWidth="0" w:num="1">
            <w:col w:w="11220"/>
          </w:cols>
          <w:pgMar w:left="320" w:top="269" w:right="359" w:bottom="1440" w:gutter="0" w:footer="0" w:header="0"/>
        </w:sectPr>
      </w:pPr>
    </w:p>
    <w:p>
      <w:pPr>
        <w:spacing w:after="0" w:line="114" w:lineRule="exact"/>
        <w:rPr>
          <w:sz w:val="20"/>
          <w:szCs w:val="20"/>
          <w:color w:val="auto"/>
        </w:rPr>
      </w:pPr>
    </w:p>
    <w:p>
      <w:pPr>
        <w:ind w:right="3340"/>
        <w:spacing w:after="0" w:line="281" w:lineRule="auto"/>
        <w:rPr>
          <w:sz w:val="20"/>
          <w:szCs w:val="20"/>
          <w:color w:val="auto"/>
        </w:rPr>
      </w:pPr>
      <w:r>
        <w:rPr>
          <w:rFonts w:ascii="Arial" w:cs="Arial" w:eastAsia="Arial" w:hAnsi="Arial"/>
          <w:sz w:val="18"/>
          <w:szCs w:val="18"/>
          <w:b w:val="1"/>
          <w:bCs w:val="1"/>
          <w:color w:val="auto"/>
        </w:rPr>
        <w:t>Form 12 – Notice of Intention to make a Normal Course Issuer Bid (as at May 5, 2022)</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2022, TSX Inc.</w:t>
      </w:r>
    </w:p>
    <w:p>
      <w:pPr>
        <w:sectPr>
          <w:pgSz w:w="11900" w:h="16838" w:orient="portrait"/>
          <w:cols w:equalWidth="0" w:num="2">
            <w:col w:w="8960" w:space="720"/>
            <w:col w:w="1540"/>
          </w:cols>
          <w:pgMar w:left="320" w:top="269" w:right="359"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12 | Issuer Name: Thomson Reuters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(“Thomson Reuters”)</w:t>
      </w:r>
    </w:p>
    <w:p>
      <w:pPr>
        <w:ind w:left="460"/>
        <w:spacing w:after="0"/>
        <w:rPr>
          <w:sz w:val="20"/>
          <w:szCs w:val="20"/>
          <w:color w:val="auto"/>
        </w:rPr>
      </w:pPr>
      <w:r>
        <w:rPr>
          <w:rFonts w:ascii="Arial" w:cs="Arial" w:eastAsia="Arial" w:hAnsi="Arial"/>
          <w:sz w:val="18"/>
          <w:szCs w:val="18"/>
          <w:b w:val="1"/>
          <w:bCs w:val="1"/>
          <w:color w:val="auto"/>
        </w:rPr>
        <w:t>Stock Symbol: 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31750</wp:posOffset>
            </wp:positionV>
            <wp:extent cx="6849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14" w:lineRule="exact"/>
        <w:rPr>
          <w:sz w:val="20"/>
          <w:szCs w:val="20"/>
          <w:color w:val="auto"/>
        </w:rPr>
      </w:pPr>
    </w:p>
    <w:p>
      <w:pPr>
        <w:ind w:left="460" w:hanging="452"/>
        <w:spacing w:after="0" w:line="247"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Certificate – </w:t>
      </w:r>
      <w:r>
        <w:rPr>
          <w:rFonts w:ascii="Arial" w:cs="Arial" w:eastAsia="Arial" w:hAnsi="Arial"/>
          <w:sz w:val="18"/>
          <w:szCs w:val="18"/>
          <w:color w:val="auto"/>
        </w:rPr>
        <w:t>The undersigned, a director or senior officer of the issuer duly authorized by the issuer’s board of directors, certifies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notice is complete and accurate and in compliance with Section 629 of the TSX Company Manual. This notice contains no untrue statement of a material fact and does not omit to state a material fact that is required to be stated or that is necessary to make a statement not misleading in the light of the circumstances in which it is made.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60" w:type="dxa"/>
            <w:vAlign w:val="bottom"/>
            <w:gridSpan w:val="3"/>
          </w:tcPr>
          <w:p>
            <w:pPr>
              <w:spacing w:after="0"/>
              <w:rPr>
                <w:sz w:val="20"/>
                <w:szCs w:val="20"/>
                <w:color w:val="auto"/>
              </w:rPr>
            </w:pPr>
            <w:r>
              <w:rPr>
                <w:rFonts w:ascii="Arial" w:cs="Arial" w:eastAsia="Arial" w:hAnsi="Arial"/>
                <w:sz w:val="18"/>
                <w:szCs w:val="18"/>
                <w:color w:val="auto"/>
              </w:rPr>
              <w:t>/s/ Mike Eastwood</w:t>
            </w:r>
          </w:p>
        </w:tc>
        <w:tc>
          <w:tcPr>
            <w:tcW w:w="3380" w:type="dxa"/>
            <w:vAlign w:val="bottom"/>
          </w:tcPr>
          <w:p>
            <w:pPr>
              <w:spacing w:after="0"/>
              <w:rPr>
                <w:sz w:val="19"/>
                <w:szCs w:val="19"/>
                <w:color w:val="auto"/>
              </w:rPr>
            </w:pPr>
          </w:p>
        </w:tc>
      </w:tr>
      <w:tr>
        <w:trPr>
          <w:trHeight w:val="191"/>
        </w:trPr>
        <w:tc>
          <w:tcPr>
            <w:tcW w:w="44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Name: Mike Eastwood</w:t>
            </w:r>
          </w:p>
        </w:tc>
        <w:tc>
          <w:tcPr>
            <w:tcW w:w="31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71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Chief Financial Officer</w:t>
            </w:r>
          </w:p>
        </w:tc>
        <w:tc>
          <w:tcPr>
            <w:tcW w:w="3380" w:type="dxa"/>
            <w:vAlign w:val="bottom"/>
          </w:tcPr>
          <w:p>
            <w:pPr>
              <w:spacing w:after="0"/>
              <w:rPr>
                <w:sz w:val="17"/>
                <w:szCs w:val="17"/>
                <w:color w:val="auto"/>
              </w:rPr>
            </w:pPr>
          </w:p>
        </w:tc>
      </w:tr>
      <w:tr>
        <w:trPr>
          <w:trHeight w:val="23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7140" w:type="dxa"/>
            <w:vAlign w:val="bottom"/>
            <w:gridSpan w:val="2"/>
          </w:tcPr>
          <w:p>
            <w:pPr>
              <w:ind w:left="80"/>
              <w:spacing w:after="0"/>
              <w:rPr>
                <w:sz w:val="20"/>
                <w:szCs w:val="20"/>
                <w:color w:val="auto"/>
              </w:rPr>
            </w:pPr>
            <w:r>
              <w:rPr>
                <w:rFonts w:ascii="Arial" w:cs="Arial" w:eastAsia="Arial" w:hAnsi="Arial"/>
                <w:sz w:val="18"/>
                <w:szCs w:val="18"/>
                <w:color w:val="auto"/>
              </w:rPr>
              <w:t>June 8, 2022</w:t>
            </w:r>
          </w:p>
        </w:tc>
        <w:tc>
          <w:tcPr>
            <w:tcW w:w="3380" w:type="dxa"/>
            <w:vAlign w:val="bottom"/>
          </w:tcPr>
          <w:p>
            <w:pPr>
              <w:spacing w:after="0"/>
              <w:rPr>
                <w:sz w:val="20"/>
                <w:szCs w:val="20"/>
                <w:color w:val="auto"/>
              </w:rPr>
            </w:pPr>
          </w:p>
        </w:tc>
      </w:tr>
      <w:tr>
        <w:trPr>
          <w:trHeight w:val="31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Form 12 – Notice of Intention to make a Normal Course Issuer Bid</w:t>
            </w:r>
          </w:p>
        </w:tc>
        <w:tc>
          <w:tcPr>
            <w:tcW w:w="3380" w:type="dxa"/>
            <w:vAlign w:val="bottom"/>
          </w:tcPr>
          <w:p>
            <w:pPr>
              <w:ind w:left="2020"/>
              <w:spacing w:after="0"/>
              <w:rPr>
                <w:sz w:val="20"/>
                <w:szCs w:val="20"/>
                <w:color w:val="auto"/>
              </w:rPr>
            </w:pPr>
            <w:r>
              <w:rPr>
                <w:rFonts w:ascii="Arial" w:cs="Arial" w:eastAsia="Arial" w:hAnsi="Arial"/>
                <w:sz w:val="18"/>
                <w:szCs w:val="18"/>
                <w:color w:val="auto"/>
                <w:w w:val="97"/>
              </w:rPr>
              <w:t>© 2022, TSX Inc.</w:t>
            </w:r>
          </w:p>
        </w:tc>
      </w:tr>
      <w:tr>
        <w:trPr>
          <w:trHeight w:val="247"/>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(as at May 5, 2022)</w:t>
            </w:r>
          </w:p>
        </w:tc>
        <w:tc>
          <w:tcPr>
            <w:tcW w:w="338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040"/>
      </w:cols>
      <w:pgMar w:left="320" w:top="26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lowerLetter"/>
      <w:start w:val="1"/>
    </w:lvl>
  </w:abstractNum>
  <w:abstractNum w:abstractNumId="3">
    <w:nsid w:val="79E2A9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Letter"/>
      <w:start w:val="2"/>
    </w:lvl>
  </w:abstractNum>
  <w:abstractNum w:abstractNumId="5">
    <w:nsid w:val="515F007C"/>
    <w:multiLevelType w:val="hybridMultilevel"/>
    <w:lvl w:ilvl="0">
      <w:lvlJc w:val="left"/>
      <w:lvlText w:val="%1."/>
      <w:numFmt w:val="decimal"/>
      <w:start w:val="4"/>
    </w:lvl>
    <w:lvl w:ilvl="1">
      <w:lvlJc w:val="left"/>
      <w:lvlText w:val="%2"/>
      <w:numFmt w:val="lowerLetter"/>
      <w:start w:val="1"/>
    </w:lvl>
  </w:abstractNum>
  <w:abstractNum w:abstractNumId="6">
    <w:nsid w:val="5BD062C2"/>
    <w:multiLevelType w:val="hybridMultilevel"/>
    <w:lvl w:ilvl="0">
      <w:lvlJc w:val="left"/>
      <w:lvlText w:val="%1."/>
      <w:numFmt w:val="decimal"/>
      <w:start w:val="7"/>
    </w:lvl>
    <w:lvl w:ilvl="1">
      <w:lvlJc w:val="left"/>
      <w:lvlText w:val="%2)"/>
      <w:numFmt w:val="lowerLetter"/>
      <w:start w:val="1"/>
    </w:lvl>
  </w:abstractNum>
  <w:abstractNum w:abstractNumId="7">
    <w:nsid w:val="12200854"/>
    <w:multiLevelType w:val="hybridMultilevel"/>
    <w:lvl w:ilvl="0">
      <w:lvlJc w:val="left"/>
      <w:lvlText w:val="%1)"/>
      <w:numFmt w:val="lowerLetter"/>
      <w:start w:val="2"/>
    </w:lvl>
    <w:lvl w:ilvl="1">
      <w:lvlJc w:val="left"/>
      <w:lvlText w:val="(%2)"/>
      <w:numFmt w:val="lowerRoman"/>
      <w:start w:val="3"/>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decimal"/>
      <w:start w:val="12"/>
    </w:lvl>
    <w:lvl w:ilvl="1">
      <w:lvlJc w:val="left"/>
      <w:lvlText w:val="%2)"/>
      <w:numFmt w:val="lowerLetter"/>
      <w:start w:val="1"/>
    </w:lvl>
  </w:abstractNum>
  <w:abstractNum w:abstractNumId="10">
    <w:nsid w:val="1F16E9E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2022-06-08T16:05:22Z</dcterms:created>
  <dcterms:modified xsi:type="dcterms:W3CDTF">2022-06-08T16:05:22Z</dcterms:modified>
</cp:coreProperties>
</file>