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66174d6k.htm"/>
      <w:bookmarkStart w:id="1" w:name="ksd766174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PURSUANT TO RULE 13a-16 OR 15d-16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SECURITIES EXCHANGE ACT OF 1934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left"/>
              <w:rPr/>
            </w:pPr>
            <w:r>
              <w:rPr/>
              <w:t>For the month of March 2024</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right"/>
              <w:rPr/>
            </w:pPr>
            <w:r>
              <w:rPr/>
              <w:t>Commission File Number: 1-31349</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THOMSON REUTERS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19 Duncan Street </w:t>
      </w:r>
    </w:p>
    <w:p>
      <w:pPr>
        <w:pStyle w:val="TextBody"/>
        <w:bidi w:val="0"/>
        <w:spacing w:before="0" w:after="0"/>
        <w:jc w:val="center"/>
        <w:rPr>
          <w:rFonts w:ascii="Times New Roman" w:hAnsi="Times New Roman"/>
          <w:b/>
          <w:sz w:val="20"/>
        </w:rPr>
      </w:pPr>
      <w:r>
        <w:rPr>
          <w:rFonts w:ascii="Times New Roman" w:hAnsi="Times New Roman"/>
          <w:b/>
          <w:sz w:val="20"/>
        </w:rPr>
        <w:t xml:space="preserve">Toronto, Ontario M5H 3H1, Canada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THOMSON REUTERS CORPORATION</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Ruddick</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 Jennifer Ruddick</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  Deputy 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March 7,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6"/>
        <w:gridCol w:w="639"/>
        <w:gridCol w:w="8390"/>
      </w:tblGrid>
      <w:tr>
        <w:trPr/>
        <w:tc>
          <w:tcPr>
            <w:tcW w:w="1176" w:type="dxa"/>
            <w:tcBorders/>
            <w:vAlign w:val="center"/>
          </w:tcPr>
          <w:p>
            <w:pPr>
              <w:pStyle w:val="TableContents"/>
              <w:bidi w:val="0"/>
              <w:spacing w:before="0" w:after="283"/>
              <w:jc w:val="left"/>
              <w:rPr>
                <w:sz w:val="4"/>
                <w:szCs w:val="4"/>
              </w:rPr>
            </w:pPr>
            <w:r>
              <w:rPr>
                <w:sz w:val="4"/>
                <w:szCs w:val="4"/>
              </w:rPr>
            </w:r>
          </w:p>
        </w:tc>
        <w:tc>
          <w:tcPr>
            <w:tcW w:w="639" w:type="dxa"/>
            <w:tcBorders/>
            <w:vAlign w:val="bottom"/>
          </w:tcPr>
          <w:p>
            <w:pPr>
              <w:pStyle w:val="TableContents"/>
              <w:bidi w:val="0"/>
              <w:spacing w:before="0" w:after="283"/>
              <w:jc w:val="left"/>
              <w:rPr>
                <w:sz w:val="4"/>
                <w:szCs w:val="4"/>
              </w:rPr>
            </w:pPr>
            <w:r>
              <w:rPr>
                <w:sz w:val="4"/>
                <w:szCs w:val="4"/>
              </w:rPr>
            </w:r>
          </w:p>
        </w:tc>
        <w:tc>
          <w:tcPr>
            <w:tcW w:w="8390" w:type="dxa"/>
            <w:tcBorders/>
            <w:vAlign w:val="center"/>
          </w:tcPr>
          <w:p>
            <w:pPr>
              <w:pStyle w:val="TableContents"/>
              <w:bidi w:val="0"/>
              <w:spacing w:before="0" w:after="283"/>
              <w:jc w:val="left"/>
              <w:rPr>
                <w:sz w:val="4"/>
                <w:szCs w:val="4"/>
              </w:rPr>
            </w:pPr>
            <w:r>
              <w:rPr>
                <w:sz w:val="4"/>
                <w:szCs w:val="4"/>
              </w:rPr>
            </w:r>
          </w:p>
        </w:tc>
      </w:tr>
      <w:tr>
        <w:trPr/>
        <w:tc>
          <w:tcPr>
            <w:tcW w:w="1176"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Number</w:t>
            </w:r>
          </w:p>
        </w:tc>
        <w:tc>
          <w:tcPr>
            <w:tcW w:w="639" w:type="dxa"/>
            <w:tcBorders/>
            <w:vAlign w:val="bottom"/>
          </w:tcPr>
          <w:p>
            <w:pPr>
              <w:pStyle w:val="TableContents"/>
              <w:bidi w:val="0"/>
              <w:spacing w:before="0" w:after="283"/>
              <w:jc w:val="left"/>
              <w:rPr/>
            </w:pPr>
            <w:r>
              <w:rPr/>
              <w:t> </w:t>
            </w:r>
          </w:p>
        </w:tc>
        <w:tc>
          <w:tcPr>
            <w:tcW w:w="839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rHeight w:val="120" w:hRule="atLeast"/>
        </w:trPr>
        <w:tc>
          <w:tcPr>
            <w:tcW w:w="1176" w:type="dxa"/>
            <w:tcBorders/>
            <w:vAlign w:val="center"/>
          </w:tcPr>
          <w:p>
            <w:pPr>
              <w:pStyle w:val="TableContents"/>
              <w:bidi w:val="0"/>
              <w:spacing w:before="0" w:after="283"/>
              <w:jc w:val="left"/>
              <w:rPr>
                <w:sz w:val="4"/>
                <w:szCs w:val="4"/>
              </w:rPr>
            </w:pPr>
            <w:r>
              <w:rPr>
                <w:sz w:val="4"/>
                <w:szCs w:val="4"/>
              </w:rPr>
            </w:r>
          </w:p>
        </w:tc>
        <w:tc>
          <w:tcPr>
            <w:tcW w:w="9029" w:type="dxa"/>
            <w:gridSpan w:val="2"/>
            <w:tcBorders/>
            <w:vAlign w:val="center"/>
          </w:tcPr>
          <w:p>
            <w:pPr>
              <w:pStyle w:val="TableContents"/>
              <w:bidi w:val="0"/>
              <w:spacing w:before="0" w:after="283"/>
              <w:jc w:val="left"/>
              <w:rPr>
                <w:sz w:val="4"/>
                <w:szCs w:val="4"/>
              </w:rPr>
            </w:pPr>
            <w:r>
              <w:rPr>
                <w:sz w:val="4"/>
                <w:szCs w:val="4"/>
              </w:rPr>
            </w:r>
          </w:p>
        </w:tc>
      </w:tr>
      <w:tr>
        <w:trPr/>
        <w:tc>
          <w:tcPr>
            <w:tcW w:w="1176" w:type="dxa"/>
            <w:tcBorders/>
          </w:tcPr>
          <w:p>
            <w:pPr>
              <w:pStyle w:val="TableContents"/>
              <w:bidi w:val="0"/>
              <w:spacing w:before="0" w:after="283"/>
              <w:jc w:val="left"/>
              <w:rPr/>
            </w:pPr>
            <w:r>
              <w:rPr/>
              <w:t>99.1</w:t>
            </w:r>
          </w:p>
        </w:tc>
        <w:tc>
          <w:tcPr>
            <w:tcW w:w="639"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News release dated March 7, 2024  Thomson Reuters Files 2023 Annual Report</w:t>
            </w:r>
          </w:p>
        </w:tc>
      </w:tr>
    </w:tbl>
    <w:p>
      <w:pPr>
        <w:pStyle w:val="TextBody"/>
        <w:bidi w:val="0"/>
        <w:spacing w:before="0" w:after="0"/>
        <w:jc w:val="right"/>
        <w:rPr>
          <w:rFonts w:ascii="Times New Roman" w:hAnsi="Times New Roman"/>
          <w:b/>
          <w:sz w:val="20"/>
        </w:rPr>
      </w:pPr>
      <w:bookmarkStart w:id="2" w:name="d766174dex991.htm"/>
      <w:bookmarkStart w:id="3" w:name="ksd766174dex991"/>
      <w:bookmarkEnd w:id="2"/>
      <w:bookmarkEnd w:id="3"/>
      <w:r>
        <w:rPr>
          <w:rFonts w:ascii="ARIAL" w:hAnsi="ARIAL"/>
          <w:b/>
          <w:sz w:val="20"/>
        </w:rPr>
        <w:t>Exhibit 99.1</w:t>
      </w:r>
      <w:r>
        <w:rPr>
          <w:rFonts w:ascii="Times New Roman" w:hAnsi="Times New Roman"/>
          <w:b/>
          <w:sz w:val="20"/>
        </w:rPr>
        <w:t xml:space="preserve"> </w:t>
      </w:r>
      <w:r>
        <w:br w:type="page"/>
      </w:r>
    </w:p>
    <w:p>
      <w:pPr>
        <w:pStyle w:val="TextBody"/>
        <w:bidi w:val="0"/>
        <w:spacing w:before="240" w:after="0"/>
        <w:jc w:val="center"/>
        <w:rPr>
          <w:rFonts w:ascii="ARIAL" w:hAnsi="ARIAL"/>
          <w:b/>
          <w:sz w:val="20"/>
        </w:rPr>
      </w:pPr>
      <w:r>
        <w:rPr>
          <w:rFonts w:ascii="ARIAL" w:hAnsi="ARIAL"/>
          <w:b/>
          <w:sz w:val="20"/>
        </w:rPr>
        <w:t xml:space="preserve">Thomson Reuters Files 2023 Annual Report </w:t>
      </w:r>
    </w:p>
    <w:p>
      <w:pPr>
        <w:pStyle w:val="TextBody"/>
        <w:bidi w:val="0"/>
        <w:spacing w:before="240" w:after="0"/>
        <w:jc w:val="left"/>
        <w:rPr>
          <w:rFonts w:ascii="ARIAL" w:hAnsi="ARIAL"/>
          <w:sz w:val="20"/>
        </w:rPr>
      </w:pPr>
      <w:r>
        <w:rPr>
          <w:rFonts w:ascii="ARIAL" w:hAnsi="ARIAL"/>
          <w:b/>
          <w:sz w:val="20"/>
        </w:rPr>
        <w:t>TORONTO, March</w:t>
      </w:r>
      <w:r>
        <w:rPr>
          <w:rFonts w:ascii="ARIAL" w:hAnsi="ARIAL"/>
          <w:sz w:val="20"/>
        </w:rPr>
        <w:t> </w:t>
      </w:r>
      <w:r>
        <w:rPr>
          <w:rFonts w:ascii="ARIAL" w:hAnsi="ARIAL"/>
          <w:b/>
          <w:sz w:val="20"/>
        </w:rPr>
        <w:t>7, 2024</w:t>
      </w:r>
      <w:r>
        <w:rPr>
          <w:rFonts w:ascii="ARIAL" w:hAnsi="ARIAL"/>
          <w:sz w:val="20"/>
        </w:rPr>
        <w:t xml:space="preserve">  Thomson Reuters (TSX/NYSE: TRI) today filed its annual report for the year ended December 31, 2023. The annual report contains audited financial statements, managements discussion and analysis (MD&amp;A) and other disclosures. </w:t>
      </w:r>
    </w:p>
    <w:p>
      <w:pPr>
        <w:pStyle w:val="TextBody"/>
        <w:bidi w:val="0"/>
        <w:spacing w:before="240" w:after="0"/>
        <w:jc w:val="left"/>
        <w:rPr>
          <w:rFonts w:ascii="ARIAL" w:hAnsi="ARIAL"/>
          <w:sz w:val="20"/>
        </w:rPr>
      </w:pPr>
      <w:r>
        <w:rPr>
          <w:rFonts w:ascii="ARIAL" w:hAnsi="ARIAL"/>
          <w:sz w:val="20"/>
        </w:rPr>
        <w:t xml:space="preserve">The annual report is now available in the </w:t>
      </w:r>
      <w:r>
        <w:rPr>
          <w:rFonts w:ascii="ARIAL" w:hAnsi="ARIAL"/>
          <w:sz w:val="20"/>
          <w:u w:val="single"/>
        </w:rPr>
        <w:t>Investor Relations</w:t>
      </w:r>
      <w:r>
        <w:rPr>
          <w:rFonts w:ascii="ARIAL" w:hAnsi="ARIAL"/>
          <w:sz w:val="20"/>
        </w:rPr>
        <w:t xml:space="preserve"> section of </w:t>
      </w:r>
      <w:r>
        <w:rPr>
          <w:rFonts w:ascii="ARIAL" w:hAnsi="ARIAL"/>
          <w:sz w:val="20"/>
          <w:u w:val="single"/>
        </w:rPr>
        <w:t>tr.com</w:t>
      </w:r>
      <w:r>
        <w:rPr>
          <w:rFonts w:ascii="ARIAL" w:hAnsi="ARIAL"/>
          <w:sz w:val="20"/>
        </w:rPr>
        <w:t>. The annual report was filed with the Canadian securities regulatory agencies and is available at </w:t>
      </w:r>
      <w:r>
        <w:rPr>
          <w:rFonts w:ascii="ARIAL" w:hAnsi="ARIAL"/>
          <w:sz w:val="20"/>
          <w:u w:val="single"/>
        </w:rPr>
        <w:t>sedarplus.ca</w:t>
      </w:r>
      <w:r>
        <w:rPr>
          <w:rFonts w:ascii="ARIAL" w:hAnsi="ARIAL"/>
          <w:sz w:val="20"/>
        </w:rPr>
        <w:t>. The annual report was also filed with the U.S. Securities and Exchange Commission on Form 40-F and is available at </w:t>
      </w:r>
      <w:r>
        <w:rPr>
          <w:rFonts w:ascii="ARIAL" w:hAnsi="ARIAL"/>
          <w:sz w:val="20"/>
          <w:u w:val="single"/>
        </w:rPr>
        <w:t>sec.gov</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Hard copies of the annual report may be obtained, free of charge, by contacting Thomson Reuters Investor Relations at </w:t>
      </w:r>
      <w:r>
        <w:rPr>
          <w:rFonts w:ascii="ARIAL" w:hAnsi="ARIAL"/>
          <w:sz w:val="20"/>
          <w:u w:val="single"/>
        </w:rPr>
        <w:t>investor.relations@thomsonreuters.com</w:t>
      </w:r>
      <w:r>
        <w:rPr>
          <w:rFonts w:ascii="ARIAL" w:hAnsi="ARIAL"/>
          <w:sz w:val="20"/>
        </w:rPr>
        <w:t xml:space="preserve">. Copies may also be requested by writing to Thomson Reuters Investor Relations, 3 Times Square, New York, NY, 10036, United States. </w:t>
      </w:r>
    </w:p>
    <w:p>
      <w:pPr>
        <w:pStyle w:val="TextBody"/>
        <w:bidi w:val="0"/>
        <w:spacing w:before="360" w:after="0"/>
        <w:jc w:val="left"/>
        <w:rPr>
          <w:rFonts w:ascii="ARIAL" w:hAnsi="ARIAL"/>
          <w:b/>
          <w:sz w:val="20"/>
        </w:rPr>
      </w:pPr>
      <w:r>
        <w:rPr>
          <w:rFonts w:ascii="ARIAL" w:hAnsi="ARIAL"/>
          <w:b/>
          <w:sz w:val="20"/>
        </w:rPr>
        <w:t xml:space="preserve">Thomson Reuters </w:t>
      </w:r>
    </w:p>
    <w:p>
      <w:pPr>
        <w:pStyle w:val="TextBody"/>
        <w:bidi w:val="0"/>
        <w:spacing w:before="120" w:after="0"/>
        <w:jc w:val="left"/>
        <w:rPr>
          <w:rFonts w:ascii="ARIAL" w:hAnsi="ARIAL"/>
          <w:sz w:val="20"/>
        </w:rPr>
      </w:pPr>
      <w:r>
        <w:rPr>
          <w:rFonts w:ascii="ARIAL" w:hAnsi="ARIAL"/>
          <w:sz w:val="20"/>
        </w:rPr>
        <w:t xml:space="preserve">Thomson Reuters (TSX/NYSE: TRI) informs the way forward by bringing together the trusted content and technology that people and organizations need to make the right decisions. The company serves professionals across legal, tax,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w:t>
      </w:r>
      <w:r>
        <w:rPr>
          <w:rFonts w:ascii="ARIAL" w:hAnsi="ARIAL"/>
          <w:sz w:val="20"/>
          <w:u w:val="single"/>
        </w:rPr>
        <w:t>tr.com</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7"/>
        <w:gridCol w:w="120"/>
        <w:gridCol w:w="4778"/>
      </w:tblGrid>
      <w:tr>
        <w:trPr/>
        <w:tc>
          <w:tcPr>
            <w:tcW w:w="53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8" w:type="dxa"/>
            <w:tcBorders/>
            <w:vAlign w:val="center"/>
          </w:tcPr>
          <w:p>
            <w:pPr>
              <w:pStyle w:val="TableContents"/>
              <w:bidi w:val="0"/>
              <w:spacing w:before="0" w:after="283"/>
              <w:jc w:val="left"/>
              <w:rPr>
                <w:sz w:val="4"/>
                <w:szCs w:val="4"/>
              </w:rPr>
            </w:pPr>
            <w:r>
              <w:rPr>
                <w:sz w:val="4"/>
                <w:szCs w:val="4"/>
              </w:rPr>
            </w:r>
          </w:p>
        </w:tc>
      </w:tr>
      <w:tr>
        <w:trPr/>
        <w:tc>
          <w:tcPr>
            <w:tcW w:w="5307" w:type="dxa"/>
            <w:tcBorders/>
          </w:tcPr>
          <w:p>
            <w:pPr>
              <w:pStyle w:val="TableContents"/>
              <w:bidi w:val="0"/>
              <w:spacing w:before="0" w:after="0"/>
              <w:jc w:val="left"/>
              <w:rPr>
                <w:rFonts w:ascii="ARIAL" w:hAnsi="ARIAL"/>
                <w:b/>
                <w:sz w:val="20"/>
              </w:rPr>
            </w:pPr>
            <w:r>
              <w:rPr>
                <w:rFonts w:ascii="ARIAL" w:hAnsi="ARIAL"/>
                <w:b/>
                <w:sz w:val="20"/>
              </w:rPr>
              <w:t>MEDIA</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Gehna Singh Kareckas</w:t>
            </w:r>
          </w:p>
          <w:p>
            <w:pPr>
              <w:pStyle w:val="TableContents"/>
              <w:bidi w:val="0"/>
              <w:spacing w:before="0" w:after="0"/>
              <w:jc w:val="left"/>
              <w:rPr>
                <w:rFonts w:ascii="ARIAL" w:hAnsi="ARIAL"/>
                <w:sz w:val="20"/>
              </w:rPr>
            </w:pPr>
            <w:r>
              <w:rPr>
                <w:rFonts w:ascii="ARIAL" w:hAnsi="ARIAL"/>
                <w:sz w:val="20"/>
              </w:rPr>
              <w:t>Senior Director, Corporate Affairs</w:t>
            </w:r>
          </w:p>
          <w:p>
            <w:pPr>
              <w:pStyle w:val="TableContents"/>
              <w:bidi w:val="0"/>
              <w:spacing w:before="0" w:after="0"/>
              <w:jc w:val="left"/>
              <w:rPr>
                <w:rFonts w:ascii="ARIAL" w:hAnsi="ARIAL"/>
                <w:sz w:val="20"/>
              </w:rPr>
            </w:pPr>
            <w:r>
              <w:rPr>
                <w:rFonts w:ascii="ARIAL" w:hAnsi="ARIAL"/>
                <w:sz w:val="20"/>
              </w:rPr>
              <w:t>+1 613 979 4272</w:t>
            </w:r>
          </w:p>
          <w:p>
            <w:pPr>
              <w:pStyle w:val="TableContents"/>
              <w:bidi w:val="0"/>
              <w:spacing w:before="0" w:after="20"/>
              <w:jc w:val="left"/>
              <w:rPr>
                <w:rFonts w:ascii="ARIAL" w:hAnsi="ARIAL"/>
                <w:sz w:val="20"/>
                <w:u w:val="single"/>
              </w:rPr>
            </w:pPr>
            <w:r>
              <w:rPr>
                <w:rFonts w:ascii="ARIAL" w:hAnsi="ARIAL"/>
                <w:sz w:val="20"/>
                <w:u w:val="single"/>
              </w:rPr>
              <w:t>gehna.singhkareckas@thomsonreuters.com</w:t>
            </w:r>
          </w:p>
        </w:tc>
        <w:tc>
          <w:tcPr>
            <w:tcW w:w="120"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0"/>
              <w:jc w:val="left"/>
              <w:rPr>
                <w:rFonts w:ascii="ARIAL" w:hAnsi="ARIAL"/>
                <w:b/>
                <w:sz w:val="20"/>
              </w:rPr>
            </w:pPr>
            <w:r>
              <w:rPr>
                <w:rFonts w:ascii="ARIAL" w:hAnsi="ARIAL"/>
                <w:b/>
                <w:sz w:val="20"/>
              </w:rPr>
              <w:t>INVESTORS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Gary E. Bisbee, CFA</w:t>
            </w:r>
          </w:p>
          <w:p>
            <w:pPr>
              <w:pStyle w:val="TableContents"/>
              <w:bidi w:val="0"/>
              <w:spacing w:before="0" w:after="0"/>
              <w:jc w:val="left"/>
              <w:rPr>
                <w:rFonts w:ascii="ARIAL" w:hAnsi="ARIAL"/>
                <w:sz w:val="20"/>
              </w:rPr>
            </w:pPr>
            <w:r>
              <w:rPr>
                <w:rFonts w:ascii="ARIAL" w:hAnsi="ARIAL"/>
                <w:sz w:val="20"/>
              </w:rPr>
              <w:t>Head of Investor Relations</w:t>
            </w:r>
          </w:p>
          <w:p>
            <w:pPr>
              <w:pStyle w:val="TableContents"/>
              <w:bidi w:val="0"/>
              <w:spacing w:before="0" w:after="0"/>
              <w:jc w:val="left"/>
              <w:rPr>
                <w:rFonts w:ascii="ARIAL" w:hAnsi="ARIAL"/>
                <w:sz w:val="20"/>
              </w:rPr>
            </w:pPr>
            <w:r>
              <w:rPr>
                <w:rFonts w:ascii="ARIAL" w:hAnsi="ARIAL"/>
                <w:sz w:val="20"/>
              </w:rPr>
              <w:t>+1 646 540 3249</w:t>
            </w:r>
          </w:p>
          <w:p>
            <w:pPr>
              <w:pStyle w:val="TableContents"/>
              <w:bidi w:val="0"/>
              <w:spacing w:before="0" w:after="20"/>
              <w:jc w:val="left"/>
              <w:rPr>
                <w:rFonts w:ascii="ARIAL" w:hAnsi="ARIAL"/>
                <w:sz w:val="20"/>
                <w:u w:val="single"/>
              </w:rPr>
            </w:pPr>
            <w:r>
              <w:rPr>
                <w:rFonts w:ascii="ARIAL" w:hAnsi="ARIAL"/>
                <w:sz w:val="20"/>
                <w:u w:val="single"/>
              </w:rPr>
              <w:t>gary.bisbee@thomsonreuters.com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418</Words>
  <Characters>2406</Characters>
  <CharactersWithSpaces>2834</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 NEWS RELEASE</dc:title>
</cp:coreProperties>
</file>